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13, 2024</w:t>
      </w:r>
    </w:p>
    <w:p>
      <w:pPr>
        <w:spacing w:after="0" w:line="6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Amendment No. 2</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to</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AI,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00" w:type="dxa"/>
            <w:vAlign w:val="bottom"/>
          </w:tcPr>
          <w:p>
            <w:pPr>
              <w:jc w:val="center"/>
              <w:ind w:right="2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0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AI, Inc.</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0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James Rogers</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rPr>
              <w:t>Andrew Polovin</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Tempus AI,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0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110 N. Wacker Drive, Suite 4200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0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(312) 881-6500</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Issued June 13, 2024</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11,100,000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133985</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AI, Inc. We are offering 11,100,000 shares of our Class A common stock.</w:t>
      </w:r>
    </w:p>
    <w:p>
      <w:pPr>
        <w:spacing w:after="0" w:line="6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$35.00 and $37.00 per share.</w:t>
      </w:r>
    </w:p>
    <w:p>
      <w:pPr>
        <w:jc w:val="both"/>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have granted the underwriters the option to purchase up to an additional 1,665,000 shares of Class A common stock on the same terms as set forth above within 30 days from the date of this prospectus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94615</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(i) on the date that our Chief Executive Officer, Founder and Chairman ceases to serve as an executive officer or member of our Board of Directors or (ii) on the trading day that is no less than 90 days and no more than 150 days following the date on which he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65.3%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102870</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Class A common stock has been approved for listing on the Nasdaq Global Select Market under the symbol “TEM.”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128270</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2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132715</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42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 Share</w:t>
            </w:r>
          </w:p>
        </w:tc>
        <w:tc>
          <w:tcPr>
            <w:tcW w:w="740" w:type="dxa"/>
            <w:vAlign w:val="bottom"/>
            <w:gridSpan w:val="2"/>
          </w:tcPr>
          <w:p>
            <w:pPr>
              <w:jc w:val="center"/>
              <w:ind w:left="37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r>
      <w:tr>
        <w:trPr>
          <w:trHeight w:val="174"/>
        </w:trPr>
        <w:tc>
          <w:tcPr>
            <w:tcW w:w="9420" w:type="dxa"/>
            <w:vAlign w:val="bottom"/>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Initial public offering price</w:t>
            </w:r>
          </w:p>
        </w:tc>
        <w:tc>
          <w:tcPr>
            <w:tcW w:w="18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w w:val="71"/>
              </w:rPr>
              <w:t> </w:t>
            </w: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5"/>
                <w:szCs w:val="5"/>
                <w:i w:val="1"/>
                <w:iCs w:val="1"/>
                <w:color w:val="auto"/>
                <w:w w:val="78"/>
              </w:rPr>
              <w:t> </w:t>
            </w:r>
          </w:p>
        </w:tc>
        <w:tc>
          <w:tcPr>
            <w:tcW w:w="540" w:type="dxa"/>
            <w:vAlign w:val="bottom"/>
          </w:tcPr>
          <w:p>
            <w:pPr>
              <w:jc w:val="right"/>
              <w:ind w:right="381"/>
              <w:spacing w:after="0" w:line="175" w:lineRule="exact"/>
              <w:rPr>
                <w:sz w:val="20"/>
                <w:szCs w:val="20"/>
                <w:color w:val="auto"/>
              </w:rPr>
            </w:pPr>
            <w:r>
              <w:rPr>
                <w:rFonts w:ascii="Times New Roman" w:cs="Times New Roman" w:eastAsia="Times New Roman" w:hAnsi="Times New Roman"/>
                <w:sz w:val="16"/>
                <w:szCs w:val="16"/>
                <w:i w:val="1"/>
                <w:iCs w:val="1"/>
                <w:color w:val="auto"/>
                <w:w w:val="74"/>
              </w:rPr>
              <w:t> </w:t>
            </w:r>
          </w:p>
        </w:tc>
        <w:tc>
          <w:tcPr>
            <w:tcW w:w="440" w:type="dxa"/>
            <w:vAlign w:val="bottom"/>
          </w:tcPr>
          <w:p>
            <w:pPr>
              <w:spacing w:after="0"/>
              <w:rPr>
                <w:sz w:val="15"/>
                <w:szCs w:val="15"/>
                <w:color w:val="auto"/>
              </w:rPr>
            </w:pPr>
          </w:p>
        </w:tc>
        <w:tc>
          <w:tcPr>
            <w:tcW w:w="3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i w:val="1"/>
                <w:iCs w:val="1"/>
                <w:color w:val="auto"/>
              </w:rPr>
              <w:t xml:space="preserve">$ </w:t>
            </w:r>
          </w:p>
        </w:tc>
      </w:tr>
      <w:tr>
        <w:trPr>
          <w:trHeight w:val="197"/>
        </w:trPr>
        <w:tc>
          <w:tcPr>
            <w:tcW w:w="9420" w:type="dxa"/>
            <w:vAlign w:val="bottom"/>
          </w:tcPr>
          <w:p>
            <w:pPr>
              <w:spacing w:after="0" w:line="197" w:lineRule="exact"/>
              <w:rPr>
                <w:sz w:val="20"/>
                <w:szCs w:val="20"/>
                <w:color w:val="auto"/>
              </w:rPr>
            </w:pPr>
            <w:r>
              <w:rPr>
                <w:rFonts w:ascii="Times New Roman" w:cs="Times New Roman" w:eastAsia="Times New Roman" w:hAnsi="Times New Roman"/>
                <w:sz w:val="15"/>
                <w:szCs w:val="15"/>
                <w:i w:val="1"/>
                <w:iCs w:val="1"/>
                <w:color w:val="auto"/>
              </w:rPr>
              <w:t xml:space="preserve">Underwriting discounts and commissions </w:t>
            </w:r>
            <w:r>
              <w:rPr>
                <w:rFonts w:ascii="Times New Roman" w:cs="Times New Roman" w:eastAsia="Times New Roman" w:hAnsi="Times New Roman"/>
                <w:sz w:val="22"/>
                <w:szCs w:val="22"/>
                <w:i w:val="1"/>
                <w:iCs w:val="1"/>
                <w:color w:val="auto"/>
                <w:vertAlign w:val="superscript"/>
              </w:rPr>
              <w:t>(1)</w:t>
            </w:r>
          </w:p>
        </w:tc>
        <w:tc>
          <w:tcPr>
            <w:tcW w:w="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w w:val="71"/>
              </w:rPr>
              <w:t> </w:t>
            </w:r>
          </w:p>
        </w:tc>
        <w:tc>
          <w:tcPr>
            <w:tcW w:w="60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44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 </w:t>
            </w:r>
          </w:p>
        </w:tc>
      </w:tr>
      <w:tr>
        <w:trPr>
          <w:trHeight w:val="208"/>
        </w:trPr>
        <w:tc>
          <w:tcPr>
            <w:tcW w:w="9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us</w:t>
            </w:r>
          </w:p>
        </w:tc>
        <w:tc>
          <w:tcPr>
            <w:tcW w:w="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60" w:type="dxa"/>
            <w:vAlign w:val="bottom"/>
          </w:tcPr>
          <w:p>
            <w:pPr>
              <w:spacing w:after="0"/>
              <w:rPr>
                <w:sz w:val="18"/>
                <w:szCs w:val="18"/>
                <w:color w:val="auto"/>
              </w:rPr>
            </w:pPr>
          </w:p>
        </w:tc>
        <w:tc>
          <w:tcPr>
            <w:tcW w:w="540" w:type="dxa"/>
            <w:vAlign w:val="bottom"/>
          </w:tcPr>
          <w:p>
            <w:pPr>
              <w:jc w:val="right"/>
              <w:ind w:right="381"/>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44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See “Underwriting” for additional information regarding compensation payable to the underwriters.</w:t>
      </w:r>
    </w:p>
    <w:p>
      <w:pPr>
        <w:spacing w:after="0" w:line="4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127000</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47" w:lineRule="exact"/>
        <w:rPr>
          <w:sz w:val="20"/>
          <w:szCs w:val="20"/>
          <w:color w:val="auto"/>
        </w:rPr>
      </w:pPr>
    </w:p>
    <w:p>
      <w:pPr>
        <w:sectPr>
          <w:pgSz w:w="11900" w:h="16838" w:orient="portrait"/>
          <w:cols w:equalWidth="0" w:num="3">
            <w:col w:w="4420" w:space="720"/>
            <w:col w:w="1860" w:space="720"/>
            <w:col w:w="3620"/>
          </w:cols>
          <w:pgMar w:left="320" w:top="44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TD COWEN</w:t>
      </w:r>
    </w:p>
    <w:p>
      <w:pPr>
        <w:spacing w:after="0" w:line="5" w:lineRule="exact"/>
        <w:rPr>
          <w:sz w:val="20"/>
          <w:szCs w:val="20"/>
          <w:color w:val="auto"/>
        </w:rPr>
      </w:pPr>
    </w:p>
    <w:p>
      <w:pPr>
        <w:sectPr>
          <w:pgSz w:w="11900" w:h="16838" w:orient="portrait"/>
          <w:cols w:equalWidth="0" w:num="2">
            <w:col w:w="7000" w:space="720"/>
            <w:col w:w="3620"/>
          </w:cols>
          <w:pgMar w:left="320" w:top="44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i w:val="1"/>
          <w:iCs w:val="1"/>
          <w:color w:val="auto"/>
        </w:rPr>
        <w:t>STIFEL</w:t>
      </w:r>
    </w:p>
    <w:p>
      <w:pPr>
        <w:spacing w:after="0"/>
        <w:rPr>
          <w:sz w:val="20"/>
          <w:szCs w:val="20"/>
          <w:color w:val="auto"/>
        </w:rPr>
      </w:pPr>
      <w:r>
        <w:rPr>
          <w:rFonts w:ascii="Times New Roman" w:cs="Times New Roman" w:eastAsia="Times New Roman" w:hAnsi="Times New Roman"/>
          <w:sz w:val="13"/>
          <w:szCs w:val="13"/>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WILLIAM BLAIR</w:t>
      </w:r>
    </w:p>
    <w:p>
      <w:pPr>
        <w:spacing w:after="0"/>
        <w:rPr>
          <w:sz w:val="20"/>
          <w:szCs w:val="20"/>
          <w:color w:val="auto"/>
        </w:rPr>
      </w:pPr>
      <w:r>
        <w:rPr>
          <w:rFonts w:ascii="Times New Roman" w:cs="Times New Roman" w:eastAsia="Times New Roman" w:hAnsi="Times New Roman"/>
          <w:sz w:val="13"/>
          <w:szCs w:val="13"/>
          <w:i w:val="1"/>
          <w:iCs w:val="1"/>
          <w:color w:val="auto"/>
        </w:rPr>
        <w:t>NEEDHAM &amp; COMPANY</w:t>
      </w:r>
    </w:p>
    <w:p>
      <w:pPr>
        <w:spacing w:after="0" w:line="38" w:lineRule="exact"/>
        <w:rPr>
          <w:sz w:val="20"/>
          <w:szCs w:val="20"/>
          <w:color w:val="auto"/>
        </w:rPr>
      </w:pPr>
    </w:p>
    <w:p>
      <w:pPr>
        <w:sectPr>
          <w:pgSz w:w="11900" w:h="16838" w:orient="portrait"/>
          <w:cols w:equalWidth="0" w:num="2">
            <w:col w:w="7000" w:space="720"/>
            <w:col w:w="3620"/>
          </w:cols>
          <w:pgMar w:left="320" w:top="448"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Prospectus dated            , 2024.</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4"/>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4"/>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28</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104</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106</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108</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109</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to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0" w:type="dxa"/>
            <w:vAlign w:val="bottom"/>
            <w:tcBorders>
              <w:top w:val="single" w:sz="8" w:color="0000EE"/>
              <w:bottom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w w:val="96"/>
              </w:rPr>
              <w:t>of Our Class A Common Stock</w:t>
            </w:r>
          </w:p>
        </w:tc>
        <w:tc>
          <w:tcPr>
            <w:tcW w:w="256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113</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117</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144</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213</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8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1816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AI,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6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left="200" w:firstLine="438"/>
        <w:spacing w:after="0" w:line="285" w:lineRule="auto"/>
        <w:rPr>
          <w:sz w:val="20"/>
          <w:szCs w:val="20"/>
          <w:color w:val="auto"/>
        </w:rPr>
      </w:pPr>
      <w:r>
        <w:rPr>
          <w:rFonts w:ascii="Times New Roman" w:cs="Times New Roman" w:eastAsia="Times New Roman" w:hAnsi="Times New Roman"/>
          <w:sz w:val="16"/>
          <w:szCs w:val="16"/>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59"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neuropsychiatry,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914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49149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approximately 450 unique data connections, many of which supply us with complex multimodal data in near real time, across more than 2,000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have launched a suite of different products derived from our Platform, which have gained significant traction over the past five years. To date, our offerings have been used by approximately 95% of the largest public pharmaceutical companies based on 2023 revenue, and our clinical NGS volume in oncology rose from approximately 31,000 samples in 2018 to approximately 288,000 samples in 2023. Through March 31, 2024, our offerings have been used by more than 7,000 physicians across hundreds of provider networks, including more than 65% of all academic medical centers in the United States. Our database of multimodal, de-identified records has grown to be more than 50 times the size of The Cancer Genome Atlas, the largest public genomic dataset that we know of in oncology. We also now have more than 200 petabytes of data in our cloud environment. Between our sequencing and data collection efforts, we are connected in some way to more than 50% of all oncologists practicing in the United States. Our access to broad and diverse data serves as the basis for our ability to train generative AI models, and we believe our relationships with healthcare institutions provide us with proprietary data to deliver on the promise of AI in healthcare.</w:t>
      </w:r>
    </w:p>
    <w:p>
      <w:pPr>
        <w:spacing w:after="0" w:line="191"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 Even though our cancer business was at an early stage, we next expanded into neuropsychiatry, as we believed our model was extensible across disease areas. Having gained early traction in depression, we then expanded into the radiology and cardiology categories. Each time we enter a new disease area we look to expand upon the model we deployed in oncology by developing Intelligent Diagnostics connected to clinical data, and by leveraging large amounts of de-identified data to advance patient care and accelerate drug discovery and development. Once we obtain sufficient data, which we can leverage as a proprietary training data set for generative AI applications, we expect to deploy our AI and machine learning capabilities to build algorithmic diagnostics at scale across diseases.</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56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62566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2,300 employees, including hundreds with diverse expertise across genetics, molecular and computational biology, bioinformatics, regulatory affairs, medical, product and engineering, and data science. Roughly one-third of our team is technical, with approximately 250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200" w:firstLine="438"/>
        <w:spacing w:after="0" w:line="279" w:lineRule="auto"/>
        <w:rPr>
          <w:sz w:val="20"/>
          <w:szCs w:val="20"/>
          <w:color w:val="auto"/>
        </w:rPr>
      </w:pPr>
      <w:r>
        <w:rPr>
          <w:rFonts w:ascii="Times New Roman" w:cs="Times New Roman" w:eastAsia="Times New Roman" w:hAnsi="Times New Roman"/>
          <w:sz w:val="16"/>
          <w:szCs w:val="16"/>
          <w:color w:val="auto"/>
        </w:rPr>
        <w:t>We generated total revenue of $188.0 million, $257.9 million, $320.7 million and $531.8 million in the years ended December 31, 2020, 2021, 2022 and 2023, respectively, and $115.6 million and $145.8 million in the three months ended March 31, 2023 and 2024, respectively. Revenue generated from COVID-19 testing was $89.5 million, or 47.6% of our total revenue, $94.7 million, or 36.7% of our total revenue, $22.2 million, or 6.9% of our total revenue, and $2.7 million, or 0.5% of our total revenue for the years ended December 31, 2020, 2021, 2022 and 2023, respectively. Revenue generated from COVID-19 testing was $2.6 million, or 2.3% of our total revenue, and $0 for the three months ended March 31, 2023 and 2024, respectively. We stopped offering COVID-19 PCR diagnostic tests in the first quarter of 2023. We incurred net losses of $289.8 million and $214.1 million in the years ended December 31, 2022 and 2023, respectively, and $54.4 million and $64.7 million in the three months ended March 31, 2023 and 2024, respectively. We generated adjusted EBITDA of $(238.8) million and $(154.2) million in the years ended December 31, 2022 and 2023, respectively, and $(45.9) million and $(43.9) million in the three months ended March 31, 2023 and 2024,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see the section titled “Management’s Discussion and Analysis of Financial Condition and Results of Operations—Non-GAAP Financial Measure” in this prospectus.</w:t>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9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65900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1" w:lineRule="auto"/>
        <w:rPr>
          <w:sz w:val="20"/>
          <w:szCs w:val="20"/>
          <w:color w:val="auto"/>
        </w:rPr>
      </w:pPr>
      <w:r>
        <w:rPr>
          <w:rFonts w:ascii="Times New Roman" w:cs="Times New Roman" w:eastAsia="Times New Roman" w:hAnsi="Times New Roman"/>
          <w:sz w:val="18"/>
          <w:szCs w:val="18"/>
          <w:color w:val="auto"/>
        </w:rPr>
        <w:t>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data warehouse, or third-party data provider to pull relevant structured and unstructured data that the provider has agreed to make available to us, or which is necessary to provide our diagnostic tests, including longitudinal follow-up data in certain circumstances. We have established relationships with hundreds of provider networks in the United States, including more than 65% of all academic medical centers. In addition to healthcare providers, we work with numerous industry associations, including the American Society of Clinical Oncology, or ASCO, to structure and distribute the cancer data that they collect as part of CancerLinq, which is their oncology data effort, as well as ONCare Alliance, LLC (surviving entity after merger of the National Cancer Care Alliance and the Quality Cancer Care Alliance), or ONCare Alliance, and others. We also generate data in our three high-throughput diagnostic testing labs in Chicago, Atlanta, and Raleigh.</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streamline and help secure this process. Once appropriately de-identified, we store the data in our multimodal database.</w:t>
      </w: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65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5965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78"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900 million documents, across more than 5.6 million de-identified patient records, including approximately 1.3 billion pages of rich clinical text that we use to train our large language models. The database also includes over 1,000,000 records with imaging data, more than 900,000 with matched clinical records linked with genomic information, and more than 220,000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AI-based applications, which we intend to deploy through our existing network and distribution platform. We also retain the rights to broadly commercialize de-identified data. As the amount of data in our cloud environment continues to grow from its current size of more than 200 petabytes, we believe new AI applications and opportunities will emerge that are only possible with scale, driving further innovations in patient treatment. The graph below shows our historical database growth and its composition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w:t>
      </w:r>
    </w:p>
    <w:p>
      <w:pPr>
        <w:spacing w:after="0" w:line="3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331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63315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81" w:lineRule="auto"/>
        <w:rPr>
          <w:sz w:val="20"/>
          <w:szCs w:val="20"/>
          <w:color w:val="auto"/>
        </w:rPr>
      </w:pPr>
      <w:r>
        <w:rPr>
          <w:rFonts w:ascii="Times New Roman" w:cs="Times New Roman" w:eastAsia="Times New Roman" w:hAnsi="Times New Roman"/>
          <w:sz w:val="16"/>
          <w:szCs w:val="16"/>
          <w:color w:val="auto"/>
        </w:rPr>
        <w:t>Our products are organized under three product lines, each of which is designed to enable and enhance the others, thereby creating network effects in each of the markets in which we operate. We started in Genomics by generating large amounts of molecular data, which in turn gave rise to our Data and Services business through which we licensed de-identified data, which at scale has allowed us to provide a series of data-related services to our life sciences customers, such as clinical trial matching, or Trials. Over time, we expect these products (Genomics + Data and Services) to facilitate deployment of our AI Applications, or Algos, product line through which we will leverage AI models to help route patients to the optimal therapy and advance research more broadly.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162"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describe below our three product lines—Genomics, Data and Services, and AI Applications. Genomics revenue was $151.9 million, $195.0 million, $198.0 million and $363.0 million for the years ended December 31, 2020, 2021, 2022 and 2023, respectively, and $82.1 million and $102.6 million for the three months ended March 31, 2023 and 2024, respectively. Data revenue was $36.1 million, $62.8 million, $122.7 million and $168.8 million for the years ended December 31, 2020, 2021, 2022 and 2023, respectively, and $33.6 million and $43.3 million for the three months ended March 31, 2023 and 2024, respectively. For the years ended December 31, 2020, 2021, 2022 and 2023, Genomics represented 81%, 76%, 62% and 68%, respectively, and Data represented 19%, 24%, 38% and 32%, respectively, of our total revenue. Revenue generated from AI Applications is reported within Data and services in our Consolidated Statement of Operations and was $1.4 million and $5.5 million for the years ended December 31, 2022 and 2023, respectively. Revenue generated from AI Applications was less than $1.0 million for each of the three months ended March 31, 2023 and 2024.</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Genomics product line leverages our laboratories to provide NGS diagnostics, molecular genotyping, and other anatomic and molecular pathology testing to healthcare providers, life sciences companies, researchers, and other third parties. We operate robotic sequencing labs in Chicago, Atlanta, and Raleigh,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97"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 – full transcriptome (RNA)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xT-cdx – 648 gene, tumor/normal FDA approved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neuropsychiatry;</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expanded 523 gene panel covering additional fusions and copy number variants, or CNVs, as well as blood tumor mutational burden, or bTMB, and microsatellite instability high, or MSI-H;</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 and</w:t>
      </w:r>
    </w:p>
    <w:p>
      <w:pPr>
        <w:spacing w:after="0" w:line="121" w:lineRule="exact"/>
        <w:rPr>
          <w:rFonts w:ascii="Times New Roman" w:cs="Times New Roman" w:eastAsia="Times New Roman" w:hAnsi="Times New Roman"/>
          <w:sz w:val="18"/>
          <w:szCs w:val="18"/>
          <w:color w:val="auto"/>
        </w:rPr>
      </w:pPr>
    </w:p>
    <w:p>
      <w:pPr>
        <w:ind w:left="116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xM - high coverage methylation sequencing assay for minimal residual disease detection launched in June 2024 initially covering colorectal cancer with the potential to expand into both other indications and treatment response monitoring.</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8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65817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 addition, on June 1, 2024, pursuant to our Commercialization and Reference Laboratory Agreement with Personalis, Inc., we made available for clinical ordering NeXT Personal Dx, an ultra sensitive, whole genome minimal residual disease and monitoring assay for non-small cell lung cancer, breast cancer, and immuno-oncology treatment response monitoring.</w:t>
      </w:r>
    </w:p>
    <w:p>
      <w:pPr>
        <w:spacing w:after="0" w:line="18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As we have continued to expand our laboratory testing offerings and scale, in addition to increasing reimbursement for our tests, we have achieved continued improved margins. Genomics margin, adjusted for the impact of COVID-19 testing, was (21%), 4%, 25%, 48%, 45% and 48% for the years ended December 31, 2020, 2021, 2022 and 2023 and the three months ended March 31, 2023 and 2024, respectively.</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de-identified clinical and molecular oncology datasets in the world, which we make available to physicians and life sciences companies. Because our Platform is designed to be extensible across disease areas, we hope, over time, to have similar success in neuropsychiatry, cardiology, and the other disease categories in which we choose to expand.</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life sciences companies through two primary products, Insights and Trials. Through our Insights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lifecycle—from discovery, research and development, and, ultimately,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Customers either pay us on a per file basis or through multi-year data licensing agreements to access our de-identified database of clinical records. We work with 19 of the 20 largest public pharmaceutical companies based on 2023 revenue, and as of December 31, 2023, we have signed contracts with a remaining total contract value of more than $920.0 million, which includes approximately $300.0 million in additional potential future contractual opt-ins. See “Business” for additional discussion regarding our remaining total contract value.</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114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41141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the value of a single de-identified record can increase over time.</w:t>
      </w:r>
    </w:p>
    <w:p>
      <w:pPr>
        <w:spacing w:after="0" w:line="18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$40.2 million and $56.5 million for the years ended December 31, 2022 and 2023, respectively. These costs represented 32.8% and 33.5% of data and services revenue for the years ended December 31, 2022 and 2023, respectively.</w:t>
      </w:r>
    </w:p>
    <w:p>
      <w:pPr>
        <w:spacing w:after="0" w:line="193"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815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68154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“Cohort Lifetime Value” for the 2018 to 2023 data cohorts is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4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656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665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Our second focus area within our Data and Services product line, Trials, is a suite of services designed to leverage the broad network of physicians we work with in oncology to provide clinical trial support for pharmaceutical companies that are looking to reach hard-to-find and underserved patient populations. Our clinical trial matching product, which we refer to as TIME, is built on top of our near real-time data feeds and</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83" w:lineRule="auto"/>
        <w:rPr>
          <w:sz w:val="20"/>
          <w:szCs w:val="20"/>
          <w:color w:val="auto"/>
        </w:rPr>
      </w:pPr>
      <w:r>
        <w:rPr>
          <w:rFonts w:ascii="Times New Roman" w:cs="Times New Roman" w:eastAsia="Times New Roman" w:hAnsi="Times New Roman"/>
          <w:sz w:val="16"/>
          <w:szCs w:val="16"/>
          <w:color w:val="auto"/>
        </w:rPr>
        <w:t>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230 clinical trials signed into the network. More than 30,000 patients were identified for potential enrollment into clinical trials in our network, as of March 31, 2024.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6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Within oncology, we offer a suite of algorithmic tests as complements to our NGS assays, including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or CPIC.</w:t>
      </w:r>
    </w:p>
    <w:p>
      <w:pPr>
        <w:spacing w:after="0" w:line="191"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likely disease progression. More than 80 hospitals nationwide are currently powered by Tempus Next and more than 44,000 patients are screened per month. We are also developing algorithmic models that aid clinicians in identifying patients at increased risk of developing atrial fibrillation, or AFib, along with a variety of other cardiac conditions. These Algos are trained using de-identified data derived from approximately 3.5 million electrocardiograms, or ECGs, across more than</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15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7150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18"/>
          <w:szCs w:val="18"/>
          <w:color w:val="auto"/>
        </w:rPr>
        <w:t>700,000 patients, with decades of longitudinal connected clinical data, including outcome and response data. As part of this initiative, the U.S. Food and Drug Administration, or FDA,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each year.</w:t>
      </w:r>
    </w:p>
    <w:p>
      <w:pPr>
        <w:spacing w:after="0" w:line="187"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AI Applications product line represents an emerging category of diagnostics and has the potential to be highly disruptive across diagnostic tests in a broad set of disease areas. We believe that as our database grows, we will be able to expand our offerings, representing a significant long-term opportunity that may be substantially larger than our other existing product lines. We believe our ability to launch generative AI Applications at scale could be a unique differentiator of our Platform. For each AI Application, we use data the same way legacy diagnostics companies use chemistry in the battle against disease, attempting to improve patient care by learning from the patients who have come before, and tailoring test results based on a patient’s unique profile. Some Algos will likely yield little to no reimbursement until their clinical utility is well established, and some may obtain reimbursement at prevailing rates for comparable tests.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neuropsychiatry, cardiology, and radiology, in which there is over $3 trillion of economic burden according to publicly available sources.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neuropsychiatry, which includes an estimated addressable market opportunity for solid tumor recurrence and treatment monitoring of over $20 billion. Our Data and Services product line operates within a market in which life sciences companies spent an estimated $262 billion in 2023 on research and development according to Evaluate Pharma, and addresses needs within the $50 billion clinical trial services market, the $51 billion market for biomarker discovery, and the $18 billion market for third party research for “real world evidence”, as estimated according to Mordor Intelligence and our internal estimates. Over time, we believe that the potential market opportunity for our AI Applications product line could be substantially larger than our other product lines combined.</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153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62153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and Services product line is powered by dedicated, near real-time data pipelines that we believe are increasingly difficult to replicate; and our proprietary technology has allowed us to scale where others have been unable. As we are now connected to more than 50% of all oncologists practicing in the United States in some way, and a growing number of neuropsychiatric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generative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06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6506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1160" w:hanging="268"/>
        <w:spacing w:after="0"/>
        <w:tabs>
          <w:tab w:leader="none" w:pos="11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both a technology company and a healthcare company, allowing us to harness the advantages of both to advance precision medicine.</w:t>
      </w:r>
    </w:p>
    <w:p>
      <w:pPr>
        <w:spacing w:after="0" w:line="144"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 and make use of large language models deploying generative AI applications in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and other AI Applications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integration, go to market and commercial infrastructure provide a significant strategic advantage that can be leveraged to accelerate new product launches and realize efficiencies.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AI Applications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neuropsychiatry, radiology,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Series G-5 Financing</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On April 30, 2024, we entered into a stock purchase agreement with an investor affiliated with SoftBank Group Corporation, or SoftBank, pursuant to which we issued and sold 3,489,981 shares of our Series G-5 convertible preferred stock at a price per share of $57.3069, for an aggregate purchase price of approximately $200.0 million. The terms of our Series G-5 convertible preferred stock provide that in the event of an initial public offering of our Class A common stock, each share of Series G-5 convertible preferred stock would be converted into a number of shares of our Class A common stock equal to (i) $57.3069 per share, plus any accrued and unpaid dividends on such share, divided by (ii) the lesser of (a) $51.5762 and (b) 90% of the public offering price in this offering. Based on an assumed initial public offering price of $36.00 per share, which is the midpoint of the estimated price range set forth on the cover page of this prospectus, all of the shares of Series G-5 convertible preferred stock will convert into an aggregate of 6,172,839 shares of our Class A common stock in connection with</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8" w:lineRule="auto"/>
        <w:rPr>
          <w:sz w:val="20"/>
          <w:szCs w:val="20"/>
          <w:color w:val="auto"/>
        </w:rPr>
      </w:pPr>
      <w:r>
        <w:rPr>
          <w:rFonts w:ascii="Times New Roman" w:cs="Times New Roman" w:eastAsia="Times New Roman" w:hAnsi="Times New Roman"/>
          <w:sz w:val="18"/>
          <w:szCs w:val="18"/>
          <w:color w:val="auto"/>
        </w:rPr>
        <w:t>this offering. A $1.00 increase in the assumed initial public offering price of $36.00 per share, which is the midpoint of the estimated price range set forth on the cover page of this prospectus, would decrease the number of shares of Class A common stock into which all shares of Series G-5 convertible preferred stock would convert in connection with this offering by approximately 166,833 shares. A $1.00 decrease in the assumed initial public offering price of $36.00 per share, which is the midpoint of the estimated price range set forth on the cover page of this prospectus, would increase the number of shares of Class A common stock into which all shares of Series G-5 convertible preferred stock would convert in connection with this offering by approximately 176,367 shares.</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Japan Joint Venture and Related Agreements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On May 18, 2024, we entered into a Joint Venture Agreement, or the Joint Venture Agreement, by and among SoftBank, SoftBank Group Japan Corporation, Tempus and Pegasos Corp., or the Joint Venture, pursuant to which the Joint Venture will engage in certain business activities in Japan similar to those conducted by Tempus in the United States, including performing clinical sequencing, organizing patient data, and building a real world data business in Japan. We and SoftBank initially will capitalize the Joint Venture with ¥30,000,000,000 (approximately $190,779,000, based on foreign exchange rates as of May 31, 2024, split evenly between the two parties) and will each receive 50% of the Joint Venture’s outstanding capital stock and board seats. The initial capitalization of the Joint Venture is subject to a number of closing conditions, including that the parties must agree to a business plan and operating budget for the Joint Venture, receive an independent valuation of certain Tempus licensed technology and obtain any required regulatory clearances in the United States and Japan.</w:t>
      </w:r>
    </w:p>
    <w:p>
      <w:pPr>
        <w:spacing w:after="0" w:line="186" w:lineRule="exact"/>
        <w:rPr>
          <w:sz w:val="20"/>
          <w:szCs w:val="20"/>
          <w:color w:val="auto"/>
        </w:rPr>
      </w:pPr>
    </w:p>
    <w:p>
      <w:pPr>
        <w:jc w:val="both"/>
        <w:ind w:left="200" w:firstLine="438"/>
        <w:spacing w:after="0" w:line="278" w:lineRule="auto"/>
        <w:rPr>
          <w:sz w:val="20"/>
          <w:szCs w:val="20"/>
          <w:color w:val="auto"/>
        </w:rPr>
      </w:pPr>
      <w:r>
        <w:rPr>
          <w:rFonts w:ascii="Times New Roman" w:cs="Times New Roman" w:eastAsia="Times New Roman" w:hAnsi="Times New Roman"/>
          <w:sz w:val="16"/>
          <w:szCs w:val="16"/>
          <w:color w:val="auto"/>
        </w:rPr>
        <w:t>In connection with entering into the Joint Venture Agreement, Tempus entered into the following agreements with the Joint Venture: a Data License Agreement, or the Data License Agreement, which became effective immediately upon signing the Joint Venture Agreement; an Intellectual Property License Agreement, or the IP License Agreement, and a Services Agreement, each of which will become effective upon closing. Under the Data License Agreement, Tempus will grant the Joint Venture a limited, non-exclusive, transferable license with a limited right to sublicense certain de-identified data for certain specified uses solely in Japan (which we refer to as the Unrestricted Data License). The Unrestricted Data License will be initially granted with respect to a certain specified number of de-identified data records (which we refer to as the Initial Records Batch) and the Joint Venture may elect to license additional de-identified data records under the Unrestricted Data License. Under the Data License Agreement, the Joint Venture will pay us ¥7,500,000,000 (approximately $47,694,750 based on foreign exchange rates as of May 31, 2024) in exchange for the license to the Initial Records Batch. For a certain specified number of additional de-identified data records beyond the Initial Records Batch, the license fees will be the same as the Initial Records Batch or the then-current lowest price that Tempus provides to its other customers for similar data and license terms, whichever is lower. For any additional de-identified data records licensed under the Unrestricted Data License, the license fees will be the then-current lowest price that Tempus provides to its other customers for similar data and license terms. Pursuant to the IP License Agreement, we will provide the Joint Venture with a non-exclusive license with respect to certain of our technologies for certain specified uses solely in Japan in exchange for ¥7,500,000,000 (approximately $47,694,750 based on foreign exchange rates as of May 31, 2024). Under the Services Agreement, we will provide the Joint Venture with certain services.</w:t>
      </w:r>
    </w:p>
    <w:p>
      <w:pPr>
        <w:spacing w:after="0" w:line="380"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Pursuant to the terms of the Joint Venture Agreement, until the later of five years and such time as we cease to be a shareholder of the Joint Venture, we are restricted from (i) engaging in a similar business as the Joint Venture in Japan or (ii) licensing our technologies to any competitor of the Joint Venture for use in Japan. In addition, during the same period, we have agreed not to launch or operate a joint venture with a third party other than Softbank in Korea, Thailand, Singapore, Malaysia, Indonesia, the Philippines, the United Arab Emirates, Saudi Arabia or any other territory where we and SoftBank have agreed to launch a joint venture or similar commercial relationship, without first consulting with Softbank and subject to their right of first refusal. This restriction will terminate if SoftBank engages in a similar business as the Joint Venture in Japan. There can be no assurance that closing conditions under the Joint Venture Agreement will be satisfied or when, that the Joint</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31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6231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Venture will be capitalized on the terms described herein or at all or that the IP License Agreement and/or the Services Agreement will become effective on the terms described herein or at all.</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AI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88"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40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84009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right="20" w:hanging="268"/>
        <w:spacing w:after="0" w:line="255"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in the public market could cause the market price of our Class A common stock to decline.</w:t>
      </w:r>
    </w:p>
    <w:p>
      <w:pPr>
        <w:spacing w:after="0" w:line="121" w:lineRule="exact"/>
        <w:rPr>
          <w:rFonts w:ascii="Times New Roman" w:cs="Times New Roman" w:eastAsia="Times New Roman" w:hAnsi="Times New Roman"/>
          <w:sz w:val="18"/>
          <w:szCs w:val="18"/>
          <w:color w:val="auto"/>
        </w:rPr>
      </w:pPr>
    </w:p>
    <w:p>
      <w:pPr>
        <w:jc w:val="both"/>
        <w:ind w:left="1160" w:hanging="268"/>
        <w:spacing w:after="0" w:line="24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relating to this offering are subject to a number of important exceptions and the restricted period pursuant to such lock-up agreements or the market standoff agreements with our RSU holders may be shortened. In addition, a significant number of shares may be sold in sell-to-cover transactions and we may issue a significant number of shares as consideration in certain transactions, including during the restricted period. As a result, a large number of shares of Class A common stock may become available for resale in the immediate future, including within 180 days after the date of this prospectus, which could materially depress the market price of our Class A common stock.</w:t>
      </w:r>
    </w:p>
    <w:p>
      <w:pPr>
        <w:spacing w:after="0" w:line="95"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331" w:lineRule="auto"/>
        <w:tabs>
          <w:tab w:leader="none" w:pos="1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anticipate incurring substantial federal and state tax withholding and remittance obligations in connection with the settlement of RSUs that vest in connection with this offering. The manner in which we fund these tax liabilities may have an adverse effect on our financial condition.</w:t>
      </w:r>
    </w:p>
    <w:p>
      <w:pPr>
        <w:spacing w:after="0" w:line="30"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and any future debt may affect our flexibility in operating and developing our business and our ability to satisfy our obligations.</w:t>
      </w: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were founded by Eric Lefkofsky, originally formed under the name Bioin LLC in Delaware in August 2015 and we converted to a Delaware corporation in September 2015 under the name Bioin Inc. We changed our name to Tempus Health, Inc. later in 2015, to Tempus Labs, Inc. in 2016 and in 2023, we changed our name to Tempus AI,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56"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AI,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w:t>
      </w: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1446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14465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6" w:lineRule="auto"/>
        <w:rPr>
          <w:sz w:val="20"/>
          <w:szCs w:val="20"/>
          <w:color w:val="auto"/>
        </w:rPr>
      </w:pPr>
      <w:r>
        <w:rPr>
          <w:rFonts w:ascii="Times New Roman" w:cs="Times New Roman" w:eastAsia="Times New Roman" w:hAnsi="Times New Roman"/>
          <w:sz w:val="18"/>
          <w:szCs w:val="18"/>
          <w:color w:val="auto"/>
        </w:rPr>
        <w:t>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315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59315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588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11,100,000 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us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34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1,665,000 shares</w:t>
      </w:r>
    </w:p>
    <w:p>
      <w:pPr>
        <w:spacing w:after="0" w:line="279" w:lineRule="exact"/>
        <w:rPr>
          <w:sz w:val="20"/>
          <w:szCs w:val="20"/>
          <w:color w:val="auto"/>
        </w:rPr>
      </w:pPr>
    </w:p>
    <w:p>
      <w:pPr>
        <w:ind w:left="180" w:right="440" w:hanging="174"/>
        <w:spacing w:after="0" w:line="267" w:lineRule="auto"/>
        <w:rPr>
          <w:sz w:val="20"/>
          <w:szCs w:val="20"/>
          <w:color w:val="auto"/>
        </w:rPr>
      </w:pPr>
      <w:r>
        <w:rPr>
          <w:rFonts w:ascii="Times New Roman" w:cs="Times New Roman" w:eastAsia="Times New Roman" w:hAnsi="Times New Roman"/>
          <w:sz w:val="18"/>
          <w:szCs w:val="18"/>
          <w:color w:val="auto"/>
        </w:rPr>
        <w:t>160,060,473 shares (or 161,725,473 shares if the underwriters’ over-allotment option is exercised in full)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5,043,789 shares</w:t>
      </w:r>
    </w:p>
    <w:p>
      <w:pPr>
        <w:spacing w:after="0" w:line="279" w:lineRule="exact"/>
        <w:rPr>
          <w:sz w:val="20"/>
          <w:szCs w:val="20"/>
          <w:color w:val="auto"/>
        </w:rPr>
      </w:pPr>
    </w:p>
    <w:p>
      <w:pPr>
        <w:ind w:left="180" w:right="440" w:hanging="174"/>
        <w:spacing w:after="0" w:line="267" w:lineRule="auto"/>
        <w:rPr>
          <w:sz w:val="20"/>
          <w:szCs w:val="20"/>
          <w:color w:val="auto"/>
        </w:rPr>
      </w:pPr>
      <w:r>
        <w:rPr>
          <w:rFonts w:ascii="Times New Roman" w:cs="Times New Roman" w:eastAsia="Times New Roman" w:hAnsi="Times New Roman"/>
          <w:sz w:val="18"/>
          <w:szCs w:val="18"/>
          <w:color w:val="auto"/>
        </w:rPr>
        <w:t>165,104,262 shares (or 166,769,262 shares if the underwriters’ over-allotment option is exercised in full)</w:t>
      </w:r>
    </w:p>
    <w:p>
      <w:pPr>
        <w:spacing w:after="0" w:line="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$361.1 million (or approximately $416.9 million if the underwriters’ over-allotment option is exercised in full), assuming an initial public offering price of $36.00 per share, the midpoint of the estimated price range set forth on the cover page of this prospectus, and after deducting estimated underwriting discounts and commissions and estimated offering expenses.</w:t>
      </w:r>
    </w:p>
    <w:p>
      <w:pPr>
        <w:spacing w:after="0" w:line="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intend to use approximately $74.5 million of the net proceeds from this offering to pay federal and state tax withholding and remittance obligations related to the RSU Net Settlement (defined below). As of the date of this prospectus, we cannot specify with certainty all of the particular uses for the remaining net proceeds of this offering. However, we currently intend to use the remaining net proceeds of this offering for general corporate purposes, including working capital, operating expenses, remittance of federal and state tax withholding in connection with the net settlement of additional RSUs, repayment of debt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w:t>
      </w:r>
    </w:p>
    <w:p>
      <w:pPr>
        <w:spacing w:after="0" w:line="200" w:lineRule="exact"/>
        <w:rPr>
          <w:sz w:val="20"/>
          <w:szCs w:val="20"/>
          <w:color w:val="auto"/>
        </w:rPr>
      </w:pPr>
    </w:p>
    <w:p>
      <w:pPr>
        <w:sectPr>
          <w:pgSz w:w="11900" w:h="16838" w:orient="portrait"/>
          <w:cols w:equalWidth="0" w:num="2">
            <w:col w:w="5740" w:space="160"/>
            <w:col w:w="5260"/>
          </w:cols>
          <w:pgMar w:left="320" w:top="448" w:right="419" w:bottom="1440" w:gutter="0" w:footer="0" w:header="0"/>
          <w:type w:val="continuous"/>
        </w:sectPr>
      </w:pP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60"/>
          </w:cols>
          <w:pgMar w:left="320" w:top="448" w:right="4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022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50228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common stock will automatically convert into shares of Class A common</w:t>
      </w:r>
    </w:p>
    <w:p>
      <w:pPr>
        <w:spacing w:after="0" w:line="4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stock  in  certain  circumstances,  including  (1)  on  the  date  that  Eric</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Lefkofsky, our Chief Executive Officer, Founder and Chairman ceases to</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serve as an executive officer or member of our Board of Directors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 on the trading day that is no less than 90 days and no more than 150</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days following the date on which he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generally vote together as a single class, unless otherwise required by law</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Founder and Chairman, Eric Lefkofsky, will beneficially own 100% of our</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outstanding Class B common stock and will hold approximately 65.3% of</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outcome of matters submitted to our stockholders for approval, including</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p>
      <w:pPr>
        <w:spacing w:after="0" w:line="3" w:lineRule="exact"/>
        <w:rPr>
          <w:sz w:val="20"/>
          <w:szCs w:val="20"/>
          <w:color w:val="auto"/>
        </w:rPr>
      </w:pPr>
    </w:p>
    <w:p>
      <w:pPr>
        <w:ind w:left="5900"/>
        <w:spacing w:after="0"/>
        <w:tabs>
          <w:tab w:leader="none" w:pos="6860" w:val="left"/>
          <w:tab w:leader="none" w:pos="7260" w:val="left"/>
          <w:tab w:leader="none" w:pos="7640" w:val="left"/>
          <w:tab w:leader="none" w:pos="8360" w:val="left"/>
          <w:tab w:leader="none" w:pos="8860" w:val="left"/>
          <w:tab w:leader="none" w:pos="9740" w:val="left"/>
          <w:tab w:leader="none" w:pos="10880" w:val="left"/>
        </w:tabs>
        <w:rPr>
          <w:sz w:val="20"/>
          <w:szCs w:val="20"/>
          <w:color w:val="auto"/>
        </w:rPr>
      </w:pPr>
      <w:r>
        <w:rPr>
          <w:rFonts w:ascii="Times New Roman" w:cs="Times New Roman" w:eastAsia="Times New Roman" w:hAnsi="Times New Roman"/>
          <w:sz w:val="18"/>
          <w:szCs w:val="18"/>
          <w:color w:val="auto"/>
        </w:rPr>
        <w:t>transaction.</w:t>
        <w:tab/>
        <w:t>See</w:t>
        <w:tab/>
        <w:t>the</w:t>
        <w:tab/>
        <w:t>sections</w:t>
        <w:tab/>
        <w:t>titled</w:t>
        <w:tab/>
        <w:t>“Principal</w:t>
        <w:tab/>
        <w:t>Stockholders”</w:t>
        <w:tab/>
        <w:t>and</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“Description of Capital Stock” for additional information.</w:t>
      </w:r>
    </w:p>
    <w:p>
      <w:pPr>
        <w:sectPr>
          <w:pgSz w:w="11900" w:h="16838" w:orient="portrait"/>
          <w:cols w:equalWidth="0" w:num="1">
            <w:col w:w="11160"/>
          </w:cols>
          <w:pgMar w:left="320" w:top="448" w:right="419" w:bottom="1440" w:gutter="0" w:footer="0" w:header="0"/>
        </w:sectPr>
      </w:pPr>
    </w:p>
    <w:p>
      <w:pPr>
        <w:spacing w:after="0" w:line="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You should carefully read the section titled “Risk Factors” beginning on page 28 and the other information included in this prospectus for a discussion of facts that you should consider before deciding to invest in shares of our Class A common stock.</w:t>
      </w:r>
    </w:p>
    <w:p>
      <w:pPr>
        <w:spacing w:after="0" w:line="40" w:lineRule="exact"/>
        <w:rPr>
          <w:sz w:val="20"/>
          <w:szCs w:val="20"/>
          <w:color w:val="auto"/>
        </w:rPr>
      </w:pPr>
    </w:p>
    <w:p>
      <w:pPr>
        <w:sectPr>
          <w:pgSz w:w="11900" w:h="16838" w:orient="portrait"/>
          <w:cols w:equalWidth="0" w:num="2">
            <w:col w:w="5180" w:space="720"/>
            <w:col w:w="5260"/>
          </w:cols>
          <w:pgMar w:left="320" w:top="448" w:right="4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Nasdaq Global Select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“TEM”</w:t>
      </w:r>
    </w:p>
    <w:p>
      <w:pPr>
        <w:spacing w:after="0" w:line="200" w:lineRule="exact"/>
        <w:rPr>
          <w:sz w:val="20"/>
          <w:szCs w:val="20"/>
          <w:color w:val="auto"/>
        </w:rPr>
      </w:pPr>
    </w:p>
    <w:p>
      <w:pPr>
        <w:sectPr>
          <w:pgSz w:w="11900" w:h="16838" w:orient="portrait"/>
          <w:cols w:equalWidth="0" w:num="2">
            <w:col w:w="5180" w:space="720"/>
            <w:col w:w="5260"/>
          </w:cols>
          <w:pgMar w:left="320" w:top="448" w:right="419" w:bottom="1440" w:gutter="0" w:footer="0" w:header="0"/>
          <w:type w:val="continuous"/>
        </w:sectPr>
      </w:pPr>
    </w:p>
    <w:p>
      <w:pPr>
        <w:spacing w:after="0" w:line="13" w:lineRule="exact"/>
        <w:rPr>
          <w:sz w:val="20"/>
          <w:szCs w:val="20"/>
          <w:color w:val="auto"/>
        </w:rPr>
      </w:pPr>
    </w:p>
    <w:p>
      <w:pPr>
        <w:jc w:val="both"/>
        <w:ind w:left="200" w:firstLine="438"/>
        <w:spacing w:after="0" w:line="302" w:lineRule="auto"/>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 on 148,960,473 shares of Class A common stock and 5,043,789 shares of Class B common stock outstanding as of March 31, 2024 on a pro forma basis, after giving effect to the adjustments set forth in footnote 2 to the table in “—Summary Consolidated Financial Data” below and excludes:</w:t>
      </w:r>
    </w:p>
    <w:p>
      <w:pPr>
        <w:spacing w:after="0" w:line="54" w:lineRule="exact"/>
        <w:rPr>
          <w:sz w:val="20"/>
          <w:szCs w:val="20"/>
          <w:color w:val="auto"/>
        </w:rPr>
      </w:pPr>
    </w:p>
    <w:p>
      <w:pPr>
        <w:jc w:val="both"/>
        <w:ind w:left="1160" w:hanging="535"/>
        <w:spacing w:after="0" w:line="302" w:lineRule="auto"/>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5,472,557 shares of Class A common stock issuable on the vesting and settlement of restricted stock units, or RSUs, as of March 31, 2024 under our Third Amended and Restated 2015 Stock Plan, as amended, or 2015 Plan, for which the performance-based vesting condition will be satisfied in connection with this offering, but for which the service-based vesting condition will not be satisfied on or before June 14, 2024;</w:t>
      </w: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20" w:top="448" w:right="4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898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51898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hanging="535"/>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1,527,044 shares of Class A common stock issuable upon the settlement of RSUs granted after March 31, 2024 under the 2015 Plan;</w:t>
      </w:r>
    </w:p>
    <w:p>
      <w:pPr>
        <w:spacing w:after="0" w:line="121"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7,430,000 shares of Class A common stock reserved for future issuance under our 2024 Equity Incentive Plan, or 2024 Plan, as well as any future increases, including annual automatic evergreen increases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 described in the section of this prospectus titled “Executive Compensation—Equity Incentive Plans”), in the number of shares of Class A common stock reserved for issuance under the 2024 Plan;</w:t>
      </w:r>
    </w:p>
    <w:p>
      <w:pPr>
        <w:spacing w:after="0" w:line="88" w:lineRule="exact"/>
        <w:rPr>
          <w:rFonts w:ascii="Times New Roman" w:cs="Times New Roman" w:eastAsia="Times New Roman" w:hAnsi="Times New Roman"/>
          <w:sz w:val="18"/>
          <w:szCs w:val="18"/>
          <w:color w:val="auto"/>
        </w:rPr>
      </w:pPr>
    </w:p>
    <w:p>
      <w:pPr>
        <w:jc w:val="both"/>
        <w:ind w:left="1160" w:hanging="535"/>
        <w:spacing w:after="0" w:line="302" w:lineRule="auto"/>
        <w:tabs>
          <w:tab w:leader="none" w:pos="11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3,000,000 shares of Class A common stock reserved for future issuance under our 2024 Employee Stock Purchase Plan, or the ESPP, as well as any future increases, including annual automatic evergreen increases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as described in the section of this prospectus titled “Executive Compensation—Equity Incentive Plans”), in the number of shares of Class A common stock reserved for issuance under the ESPP;</w:t>
      </w:r>
    </w:p>
    <w:p>
      <w:pPr>
        <w:spacing w:after="0" w:line="53" w:lineRule="exact"/>
        <w:rPr>
          <w:rFonts w:ascii="Times New Roman" w:cs="Times New Roman" w:eastAsia="Times New Roman" w:hAnsi="Times New Roman"/>
          <w:sz w:val="16"/>
          <w:szCs w:val="16"/>
          <w:color w:val="auto"/>
        </w:rPr>
      </w:pPr>
    </w:p>
    <w:p>
      <w:pPr>
        <w:ind w:left="1160" w:right="20" w:hanging="535"/>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March 31, 2024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9"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promissory note we issued to Google LLC, as amended, which note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twenty-day period ending immediately prior to March 22, 2026, as more fully described in the section of this prospectus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jc w:val="both"/>
        <w:ind w:left="1160" w:hanging="535"/>
        <w:spacing w:after="0" w:line="251"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Class A common stock, assuming an initial public offering price of $36.00 per share, the midpoint of the estimated price range set forth on the cover page of this prospectus, issuable upon the exercise of the warrant issued to AstraZeneca AB, or AstraZeneca, with an exercise price equal to the initial public offering price, as more fully described in the section of this prospectus titled “Business— Operations—Our Strategic Collaboration—AstraZeneca Master Services Agreement”;</w:t>
      </w:r>
    </w:p>
    <w:p>
      <w:pPr>
        <w:spacing w:after="0" w:line="92" w:lineRule="exact"/>
        <w:rPr>
          <w:rFonts w:ascii="Times New Roman" w:cs="Times New Roman" w:eastAsia="Times New Roman" w:hAnsi="Times New Roman"/>
          <w:sz w:val="18"/>
          <w:szCs w:val="18"/>
          <w:color w:val="auto"/>
        </w:rPr>
      </w:pPr>
    </w:p>
    <w:p>
      <w:pPr>
        <w:jc w:val="both"/>
        <w:ind w:left="1160" w:right="20" w:hanging="535"/>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 million in shares of Class A common stock, assuming an initial public offering price of $36.00 per share, the midpoint of the estimated price range set forth on the cover page of this prospectus, issuable to one of our stockholders pursuant to a contingent payment right, which payment may be made in cash or shares of Class A common stock, upon mutual agreement of us and such stockholder;</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51"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other similar arrangements pursuant to an exception from our lock-up during the 180-day period following the date of this prospectus, as further described in the section entitled “Underwriting.”</w:t>
      </w:r>
    </w:p>
    <w:p>
      <w:pPr>
        <w:spacing w:after="0" w:line="184"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 w:hanging="535"/>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448"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733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51733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hanging="535"/>
        <w:spacing w:after="0" w:line="249"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 and the subsequent transfer of 331,110 shares of Class B common stock to entities not controlled by Mr. Lefkofsky resulting in their automatic conversion into shares of Class A common stock, or the Class B Transfer, such that there will be 5,043,789 shares of Class B common stock outstanding immediately following the consummation of this offering, or the Series B Preferred Stock Conversion and Transfer;</w:t>
      </w:r>
    </w:p>
    <w:p>
      <w:pPr>
        <w:spacing w:after="0" w:line="94"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3,489,981 shares of Series G-5 convertible preferred stock in April 2024 as if such issuance and sale had occurred on March 31, 2024;</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redeemable convertible preferred stock (including Series G-5 convertible preferred stock), other than our Series B redeemable convertible preferred stock, into an aggregate of 66,935,254 shares of Class A common stock (including 3,236,829 shares, 1,490,562 shares and 6,172,839 shares of Class A common stock as a result of the conversion of all outstanding shares of Series G-3 convertible preferred stock, Series G-4 convertible preferred stock and Series G-5 convertible preferred stock, respectively, the conversion terms of which are more fully described in the section titled “Management’s Discussion and Analysis of Financial Condition and Result of Operations—Liquidity and Capital Resources” appearing elsewhere in this prospectus), assuming an initial public offering price of $36.00 per share, the midpoint of the estimated price range set forth on the cover page of this prospectus, which will occur upon the closing of this offering, or the Preferred Stock Conversion;</w:t>
      </w:r>
    </w:p>
    <w:p>
      <w:pPr>
        <w:spacing w:after="0" w:line="94" w:lineRule="exact"/>
        <w:rPr>
          <w:rFonts w:ascii="Times New Roman" w:cs="Times New Roman" w:eastAsia="Times New Roman" w:hAnsi="Times New Roman"/>
          <w:sz w:val="18"/>
          <w:szCs w:val="18"/>
          <w:color w:val="auto"/>
        </w:rPr>
      </w:pPr>
    </w:p>
    <w:p>
      <w:pPr>
        <w:jc w:val="both"/>
        <w:ind w:left="1160" w:hanging="535"/>
        <w:spacing w:after="0" w:line="288" w:lineRule="auto"/>
        <w:tabs>
          <w:tab w:leader="none" w:pos="11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5,227,001 additional shares of Class A common stock, which we refer to as the Additional Class A Conversion Shares, upon the conversion of all outstanding shares of our redeemable convertible preferred stock upon the closing of this offering (based on dividends accruing through June 14, 2024) pursuant to provisions of our certificate of incorporation as currently in effect, assuming an initial public offering price of $36.00 per share, the midpoint of the estimated price range set forth on the cover page of this prospectus, as more fully described below in the section titled “—Additional Class A Conversion Shares”, or the Additional Class A Conversion Share Issuance;</w:t>
      </w:r>
    </w:p>
    <w:p>
      <w:pPr>
        <w:spacing w:after="0" w:line="64" w:lineRule="exact"/>
        <w:rPr>
          <w:rFonts w:ascii="Times New Roman" w:cs="Times New Roman" w:eastAsia="Times New Roman" w:hAnsi="Times New Roman"/>
          <w:sz w:val="16"/>
          <w:szCs w:val="16"/>
          <w:color w:val="auto"/>
        </w:rPr>
      </w:pPr>
    </w:p>
    <w:p>
      <w:pPr>
        <w:ind w:left="1160" w:hanging="535"/>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$5.6 million of accrued cash dividends on June 4, 2024, as if such payment had occurred on March 31, 2024;</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5,069,477 shares of Class A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jc w:val="both"/>
        <w:ind w:left="1160" w:right="20" w:hanging="535"/>
        <w:spacing w:after="0" w:line="248"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issuance of 2,527,923 shares of Class A common stock upon the settlement of 4,596,224 RSUs outstanding as of March 31, 2024 under our 2015 Plan for which the performance-based vesting condition will be satisfied in connection with this offering and for which any service-based vesting condition will be satisfied on or before June 14, 2024, after giving effect to the withholding of 2,068,301 shares of Class A common stock to satisfy estimated federal and state tax withholding and remittance obligations, assuming an initial public offering price of $36.00 per share, the midpoint of the estimated price range set forth on the cover page of this prospectus, and an assumed 45% tax withholding rate, as more fully described below in the section titled “—RSU Settlement,” or the RSU Net Settlement;</w:t>
      </w:r>
    </w:p>
    <w:p>
      <w:pPr>
        <w:spacing w:after="0" w:line="95" w:lineRule="exact"/>
        <w:rPr>
          <w:rFonts w:ascii="Times New Roman" w:cs="Times New Roman" w:eastAsia="Times New Roman" w:hAnsi="Times New Roman"/>
          <w:sz w:val="18"/>
          <w:szCs w:val="18"/>
          <w:color w:val="auto"/>
        </w:rPr>
      </w:pPr>
    </w:p>
    <w:p>
      <w:pPr>
        <w:jc w:val="both"/>
        <w:ind w:left="1160" w:hanging="535"/>
        <w:spacing w:after="0" w:line="251"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10,724,524 shares of Class A common stock upon the settlement of RSUs outstanding as of March 31, 2024 under our 2015 Plan for which the performance-based vesting condition will be satisfied in connection with this offering and for which any service-based vesting condition will be satisfied on or before June 14, 2024 that are not included in the RSU Net Settlement, as more fully described below in the section titled “—RSU Settlement,” or the Additional RSU Settlement;</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448"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464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5464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hanging="535"/>
        <w:spacing w:after="0" w:line="251"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108,333 shares of Class A common stock (assuming an initial public offering price of $36.00 per share, the midpoint of the estimated price range set forth on the cover page of this prospectus) upon the automatic net exercise of an outstanding warrant held by Allen &amp; Company LLC, or Allen, an underwriter for this offering, as more fully described in the section of this prospectus titled “Description of Capital Stock—Warrants,” or the Warrant Net Exercise;</w:t>
      </w:r>
    </w:p>
    <w:p>
      <w:pPr>
        <w:spacing w:after="0" w:line="92"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up to 1,665,000 additional shares of Class A common stock from us in this offering to cover over-allotments, if any; and</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firstLine="438"/>
        <w:spacing w:after="0" w:line="279"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 stock. As of June 14, 2024, shares of redeemable convertible preferred stock will have accrued approximately $187.7 million in unpaid dividends, which we expect to pay in shares of our Class A common stock in connection with the closing of this offering. As a result, at the closing of this offering, we expect to issue the Additional Class A Conversion Shares to holders of shares of our redeemable convertible preferred stock. The number of Additional Class A Conversion Shares to be issued depends on the initial public offering price of our Class A common stock. Based on an assumed initial public offering price of $36.00 per share, the midpoint of the estimated price range set forth on the cover page of this prospectus, we will issue 5,227,001 Additional Class A Conversion Shares immediately prior to the closing of this offering. A $1.00 decrease in the assumed initial public offering price of $36.00 per share of Class A common stock, the midpoint of the estimated price range set forth on the cover page of this prospectus, would increase the number of Additional Class A Conversion Shares in the Class A Conversion Share Issuance by 149,342 shares. A $1.00 increase in the assumed initial public offering price of $36.00 per share of Class A common stock, the midpoint of the estimated price range set forth on the cover page of this prospectus, would decrease the number of Additional Class A Conversion Shares in the Class A Conversion Share Issuance by 141,270 shares.</w:t>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RSU Settlement</w:t>
      </w:r>
    </w:p>
    <w:p>
      <w:pPr>
        <w:spacing w:after="0" w:line="110" w:lineRule="exact"/>
        <w:rPr>
          <w:sz w:val="20"/>
          <w:szCs w:val="20"/>
          <w:color w:val="auto"/>
        </w:rPr>
      </w:pPr>
    </w:p>
    <w:p>
      <w:pPr>
        <w:jc w:val="both"/>
        <w:ind w:left="200" w:right="20" w:firstLine="438"/>
        <w:spacing w:after="0" w:line="255" w:lineRule="auto"/>
        <w:rPr>
          <w:sz w:val="20"/>
          <w:szCs w:val="20"/>
          <w:color w:val="auto"/>
        </w:rPr>
      </w:pPr>
      <w:r>
        <w:rPr>
          <w:rFonts w:ascii="Times New Roman" w:cs="Times New Roman" w:eastAsia="Times New Roman" w:hAnsi="Times New Roman"/>
          <w:sz w:val="18"/>
          <w:szCs w:val="18"/>
          <w:color w:val="auto"/>
        </w:rPr>
        <w:t>There were 15,320,748 RSUs outstanding as of March 31, 2024 for which the performance-based vesting condition will be satisfied in connection with this offering and for which any service-based vesting condition will be satisfied on or before June 14, 2024. We expect to incur a stock-based compensation expense of $478.9 million in connection with the consummation of this offering related to such vesting.</w:t>
      </w:r>
    </w:p>
    <w:p>
      <w:pPr>
        <w:spacing w:after="0" w:line="180"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A portion of these RSUs, including a portion of the RSUs held by our employees (including our Chief Executive Officer) and all RSUs held by our other executive officers, will be net settled pursuant to the RSU Net Settlement in which we intend to net issue 2,527,923 shares of Class A common stock upon settlement of 4,596,224 RSUs outstanding as of March 31, 2024 for which the performance-based vesting condition will be satisfied in connection with this offering and for which any service-based vesting condition will be satisfied on or before June 14, 2024, after giving effect to the withholding of 2,068,301 shares of Class A common stock to satisfy the estimated federal and state tax withholding and remittance obligations, assuming an initial public offering price of $36.00 per share, the midpoint of the estimated price range set forth on the cover page of this prospectus, and an assumed 45% tax withholding rate. Approximately 50,862 of such net issued shares will be issued to our Chief Executive Officer and approximately 686,919 of such net issued shares will be issued to our other executive officers. We may increase the total number of RSUs subject to the RSU Net Settlement to up to 5,689,835 RSUs in the aggregate, which could increase the number of net issued shares to our Chief Executive Officer to up to 652,348 in the aggregate.</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44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722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9630" cy="37223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For the remaining 10,724,524 RSUs outstanding as of March 31, 2024 for which the performance-based vesting condition will be satisfied in connection with this offering and for which any service-based vesting condition will be satisfied on or before June 14, 2024, we intend to satisfy related federal and state tax withholding and remittance obligations through the Additional RSU Settlement, pursuant to which we will release such holders (including our Chief Executive Officer) from their market standoff agreements and require them to sell a portion of such shares of Class A common stock into the open market through brokers, or sell-to-cover, on the applicable settlement date as follows:</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Approximate Number of</w:t>
            </w:r>
          </w:p>
        </w:tc>
      </w:tr>
      <w:tr>
        <w:trPr>
          <w:trHeight w:val="210"/>
        </w:trPr>
        <w:tc>
          <w:tcPr>
            <w:tcW w:w="2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 of Class A</w:t>
            </w:r>
          </w:p>
        </w:tc>
      </w:tr>
      <w:tr>
        <w:trPr>
          <w:trHeight w:val="210"/>
        </w:trPr>
        <w:tc>
          <w:tcPr>
            <w:tcW w:w="2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Common Stock</w:t>
            </w:r>
          </w:p>
        </w:tc>
      </w:tr>
      <w:tr>
        <w:trPr>
          <w:trHeight w:val="21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 First Available for Sale into the</w:t>
            </w:r>
          </w:p>
        </w:tc>
        <w:tc>
          <w:tcPr>
            <w:tcW w:w="2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 be Sold in Sell-to-</w:t>
            </w:r>
          </w:p>
        </w:tc>
      </w:tr>
      <w:tr>
        <w:trPr>
          <w:trHeight w:val="25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29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Expected to Settle</w:t>
            </w:r>
          </w:p>
        </w:tc>
        <w:tc>
          <w:tcPr>
            <w:tcW w:w="31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4"/>
              </w:rPr>
              <w:t>Cover Transactions</w:t>
            </w:r>
            <w:r>
              <w:rPr>
                <w:rFonts w:ascii="Times New Roman" w:cs="Times New Roman" w:eastAsia="Times New Roman" w:hAnsi="Times New Roman"/>
                <w:sz w:val="26"/>
                <w:szCs w:val="26"/>
                <w:b w:val="1"/>
                <w:bCs w:val="1"/>
                <w:color w:val="auto"/>
                <w:w w:val="94"/>
                <w:vertAlign w:val="superscript"/>
              </w:rPr>
              <w:t>(1)</w:t>
            </w:r>
          </w:p>
        </w:tc>
      </w:tr>
      <w:tr>
        <w:trPr>
          <w:trHeight w:val="165"/>
        </w:trPr>
        <w:tc>
          <w:tcPr>
            <w:tcW w:w="274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w w:val="94"/>
              </w:rPr>
              <w:t>91 days after the date of this prospectus</w:t>
            </w:r>
          </w:p>
        </w:tc>
        <w:tc>
          <w:tcPr>
            <w:tcW w:w="2120" w:type="dxa"/>
            <w:vAlign w:val="bottom"/>
          </w:tcPr>
          <w:p>
            <w:pPr>
              <w:ind w:left="180"/>
              <w:spacing w:after="0" w:line="165" w:lineRule="exact"/>
              <w:rPr>
                <w:sz w:val="20"/>
                <w:szCs w:val="20"/>
                <w:color w:val="auto"/>
              </w:rPr>
            </w:pPr>
            <w:r>
              <w:rPr>
                <w:rFonts w:ascii="Times New Roman" w:cs="Times New Roman" w:eastAsia="Times New Roman" w:hAnsi="Times New Roman"/>
                <w:sz w:val="18"/>
                <w:szCs w:val="18"/>
                <w:color w:val="auto"/>
              </w:rPr>
              <w:t>(or the next trading day if</w:t>
            </w:r>
          </w:p>
        </w:tc>
        <w:tc>
          <w:tcPr>
            <w:tcW w:w="2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r>
      <w:tr>
        <w:trPr>
          <w:trHeight w:val="21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such date is not a trading day)</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5,362,261</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2,413,017</w:t>
            </w:r>
          </w:p>
        </w:tc>
      </w:tr>
      <w:tr>
        <w:trPr>
          <w:trHeight w:val="21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120 days after the date of this prospectus (or the next trading day if</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2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such date is not a trading day)</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5,362,262</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2,413,018</w:t>
            </w:r>
          </w:p>
        </w:tc>
      </w:tr>
    </w:tbl>
    <w:p>
      <w:pPr>
        <w:spacing w:after="0" w:line="166" w:lineRule="exact"/>
        <w:rPr>
          <w:sz w:val="20"/>
          <w:szCs w:val="20"/>
          <w:color w:val="auto"/>
        </w:rPr>
      </w:pPr>
    </w:p>
    <w:p>
      <w:pPr>
        <w:ind w:left="620" w:hanging="428"/>
        <w:spacing w:after="0" w:line="207"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45% tax rate. Includes an estimated approximately 868,758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this prospectus in respect of settlement of RSUs held by Mr. Lefkofsky.</w:t>
      </w:r>
    </w:p>
    <w:p>
      <w:pPr>
        <w:spacing w:after="0" w:line="194"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With respect to employees that are not executive officers, if sell-to-cover proceeds are not available at the time taxes must be remitted to the IRS, we would need to remit taxes to the relevant tax authorities using cash on hand, which may include cash proceeds generated from this offering, pending the receipt of such sell-to-cover proceeds. In addition, if additional net settlement transactions occur on or prior to the dates set forth above, the number of shares of Class A common stock to be sold in each sell-to-cover transaction will be reduced proportionally.</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320" w:top="448"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73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9630" cy="62731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right="180" w:firstLine="438"/>
        <w:spacing w:after="0" w:line="246"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2022 and 2023 have been derived from our audited consolidated financial statements included elsewhere in this prospectus. The summary consolidated statement of operations data for the three months ended March 31, 2023 and 2024 and the summary consolidated balance sheet data as of March 31, 2024 have been derived from our unaudited interim consolidated financial statements included elsewhere in this prospectus. The unaudited interim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1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3"/>
        </w:trPr>
        <w:tc>
          <w:tcPr>
            <w:tcW w:w="18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040" w:type="dxa"/>
            <w:vAlign w:val="bottom"/>
            <w:tcBorders>
              <w:top w:val="single" w:sz="8" w:color="auto"/>
            </w:tcBorders>
            <w:gridSpan w:val="3"/>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9"/>
                <w:szCs w:val="9"/>
                <w:color w:val="auto"/>
              </w:rPr>
            </w:pPr>
          </w:p>
        </w:tc>
        <w:tc>
          <w:tcPr>
            <w:tcW w:w="880" w:type="dxa"/>
            <w:vAlign w:val="bottom"/>
            <w:tcBorders>
              <w:top w:val="single" w:sz="8" w:color="auto"/>
            </w:tcBorders>
            <w:gridSpan w:val="3"/>
          </w:tcPr>
          <w:p>
            <w:pPr>
              <w:jc w:val="right"/>
              <w:ind w:right="152"/>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gridSpan w:val="2"/>
          </w:tcPr>
          <w:p>
            <w:pPr>
              <w:spacing w:after="0"/>
              <w:rPr>
                <w:sz w:val="9"/>
                <w:szCs w:val="9"/>
                <w:color w:val="auto"/>
              </w:rPr>
            </w:pPr>
          </w:p>
        </w:tc>
      </w:tr>
      <w:tr>
        <w:trPr>
          <w:trHeight w:val="169"/>
        </w:trPr>
        <w:tc>
          <w:tcPr>
            <w:tcW w:w="1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13"/>
        </w:trPr>
        <w:tc>
          <w:tcPr>
            <w:tcW w:w="18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tcPr>
          <w:p>
            <w:pPr>
              <w:jc w:val="right"/>
              <w:ind w:right="333"/>
              <w:spacing w:after="0" w:line="11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00" w:type="dxa"/>
            <w:vAlign w:val="bottom"/>
            <w:gridSpan w:val="2"/>
          </w:tcPr>
          <w:p>
            <w:pPr>
              <w:spacing w:after="0"/>
              <w:rPr>
                <w:sz w:val="9"/>
                <w:szCs w:val="9"/>
                <w:color w:val="auto"/>
              </w:rPr>
            </w:pPr>
          </w:p>
        </w:tc>
      </w:tr>
      <w:tr>
        <w:trPr>
          <w:trHeight w:val="169"/>
        </w:trPr>
        <w:tc>
          <w:tcPr>
            <w:tcW w:w="1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197,984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363,022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82,058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5"/>
              </w:rPr>
              <w:t>102,569</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122,684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168,800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33,566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43,251</w:t>
            </w:r>
          </w:p>
        </w:tc>
        <w:tc>
          <w:tcPr>
            <w:tcW w:w="1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115,624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145,820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150,255</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189,165</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45,280</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52,835</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40,227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56,482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15,288</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79,093</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95,155</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22,902</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27,067</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83,158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90,343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20,863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24,340</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233,377</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296,760</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69,047</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79,564</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586,110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727,905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5"/>
              </w:rPr>
              <w:t>169,485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199,094</w:t>
            </w:r>
          </w:p>
        </w:tc>
        <w:tc>
          <w:tcPr>
            <w:tcW w:w="18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(265,442</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(196,083</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(53,861</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(53,274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21,822</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18"/>
                <w:szCs w:val="18"/>
                <w:color w:val="auto"/>
              </w:rPr>
            </w:pPr>
          </w:p>
        </w:tc>
      </w:tr>
      <w:tr>
        <w:trPr>
          <w:trHeight w:val="26"/>
        </w:trPr>
        <w:tc>
          <w:tcPr>
            <w:tcW w:w="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9"/>
              </w:rPr>
              <w:t>(289,150)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(213,529)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(54,240)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(64,732)</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7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(289,811</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(214,118</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(54,377</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(64,743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7260" w:type="dxa"/>
            <w:vAlign w:val="bottom"/>
            <w:shd w:val="clear" w:color="auto" w:fill="CCEEFF"/>
          </w:tcPr>
          <w:p>
            <w:pPr>
              <w:ind w:left="720"/>
              <w:spacing w:after="0" w:line="202"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8"/>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2"/>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72"/>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72"/>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16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(40,975)</w:t>
            </w:r>
          </w:p>
        </w:tc>
        <w:tc>
          <w:tcPr>
            <w:tcW w:w="14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(44,497)</w:t>
            </w:r>
          </w:p>
        </w:tc>
        <w:tc>
          <w:tcPr>
            <w:tcW w:w="100" w:type="dxa"/>
            <w:vAlign w:val="bottom"/>
          </w:tcPr>
          <w:p>
            <w:pPr>
              <w:spacing w:after="0"/>
              <w:rPr>
                <w:sz w:val="18"/>
                <w:szCs w:val="18"/>
                <w:color w:val="auto"/>
              </w:rPr>
            </w:pPr>
          </w:p>
        </w:tc>
        <w:tc>
          <w:tcPr>
            <w:tcW w:w="7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(2,841)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(333,928)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(265,964)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(65,767)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(93,056)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63,032</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63,306</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63,229</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63,430</w:t>
            </w:r>
          </w:p>
        </w:tc>
        <w:tc>
          <w:tcPr>
            <w:tcW w:w="18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72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6"/>
                <w:szCs w:val="16"/>
                <w:color w:val="auto"/>
              </w:rPr>
              <w:t>Pro forma net loss per share attributable to common stockholders, basic and diluted</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2"/>
              <w:spacing w:after="0" w:line="202" w:lineRule="exact"/>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160,303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5"/>
              </w:rPr>
              <w:t>161,135</w:t>
            </w:r>
          </w:p>
        </w:tc>
        <w:tc>
          <w:tcPr>
            <w:tcW w:w="18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0"/>
        </w:trPr>
        <w:tc>
          <w:tcPr>
            <w:tcW w:w="180" w:type="dxa"/>
            <w:vAlign w:val="bottom"/>
            <w:tcBorders>
              <w:bottom w:val="single" w:sz="8" w:color="auto"/>
            </w:tcBorders>
          </w:tcPr>
          <w:p>
            <w:pPr>
              <w:spacing w:after="0"/>
              <w:rPr>
                <w:sz w:val="13"/>
                <w:szCs w:val="13"/>
                <w:color w:val="auto"/>
              </w:rPr>
            </w:pPr>
          </w:p>
        </w:tc>
        <w:tc>
          <w:tcPr>
            <w:tcW w:w="7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351"/>
        </w:trPr>
        <w:tc>
          <w:tcPr>
            <w:tcW w:w="7440" w:type="dxa"/>
            <w:vAlign w:val="bottom"/>
            <w:gridSpan w:val="2"/>
          </w:tcPr>
          <w:p>
            <w:pPr>
              <w:jc w:val="right"/>
              <w:ind w:right="159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56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9630" cy="555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428"/>
        <w:spacing w:after="0" w:line="253"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consolidated financial statements included elsewhere in this prospectus for an explanation of the calculations of our basic and diluted net loss per share attributable to common stockholders.</w:t>
      </w:r>
    </w:p>
    <w:p>
      <w:pPr>
        <w:spacing w:after="0" w:line="1" w:lineRule="exact"/>
        <w:rPr>
          <w:rFonts w:ascii="Times New Roman" w:cs="Times New Roman" w:eastAsia="Times New Roman" w:hAnsi="Times New Roman"/>
          <w:sz w:val="18"/>
          <w:szCs w:val="18"/>
          <w:color w:val="auto"/>
        </w:rPr>
      </w:pPr>
    </w:p>
    <w:p>
      <w:pPr>
        <w:jc w:val="both"/>
        <w:ind w:left="620" w:hanging="428"/>
        <w:spacing w:after="0" w:line="243"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loss per share and the weighted-average number of shares used in the computation of the per share amounts for the year ended December 31, 2023 and the three months ended March 31, 2024 have been computed to give effect to (a) the Series B Preferred Stock Conversion and Transfer resulting in 5,043,789 shares of Class B common stock outstanding immediately following the consummation of this offering, (b) the issuance and sale of 3,489,981 shares of Series G-5 convertible preferred stock in April 2024 as if such issuance and sale had occurred on December 31, 2023 and March 31, 2024, as applicable, (c) the Preferred Stock Conversion resulting in the issuance of 66,935,254 shares of Class A common stock upon the closing of this offering, assuming an initial public offering price of $36.00 per share, the midpoint of the estimated price range set forth on the cover page of this prospectus, (d) the Additional Class A Conversion Share Issuance resulting in the issuance of 4,713,771 Additional Class A Conversion Shares and 5,227,001 Additional Class A Conversion Shares for the period ended December 31, 2023 and March 31, 2024, respectively, assuming an initial public offering price of $36.00 per share, the midpoint of the estimated price range set forth on the cover page of this prospectus, upon the closing of this offering, (e) the payment of $5.6 million of cash dividends on certain shares of our convertible preferred stock accrued through December 31, 2023 as if such payment had occurred on December 31, 2023 and March 31, 2024, as applicable, (f) the automatic conversion of all of our nonvoting common stock into 5,069,477 shares of Class A common stock, which will occur upon the closing of this offering, (g) the net issuance of 2,527,923 shares of Class A common stock for each of the periods ended December 31, 2023 and March 31, 2024, upon the RSU Net Settlement, the issuance of 10,530,075 shares and 10,724,524 shares of Class A Common Stock for the period ended December 31, 2023 and March 31, 2024, respectively, upon the Additional RSU Settlement and the recognition of associated stock-based compensation expense of approximately $475.3 million and $478.9 million related to the vesting of RSUs outstanding as of December 31, 2023 and March 31, 2024, respectively, as further described in Note 10 to our consolidated financial statements included elsewhere in this prospectus, (h) the Warrant Net Exercise, and (i) the filing and effectiveness of our amended and restated certificate of incorporation, which will occur upon the closing of this offering. 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6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vMerge w:val="restart"/>
          </w:tcPr>
          <w:p>
            <w:pPr>
              <w:spacing w:after="0"/>
              <w:rPr>
                <w:sz w:val="9"/>
                <w:szCs w:val="9"/>
                <w:color w:val="auto"/>
              </w:rPr>
            </w:pPr>
          </w:p>
        </w:tc>
        <w:tc>
          <w:tcPr>
            <w:tcW w:w="540" w:type="dxa"/>
            <w:vAlign w:val="bottom"/>
          </w:tcPr>
          <w:p>
            <w:pPr>
              <w:spacing w:after="0"/>
              <w:rPr>
                <w:sz w:val="9"/>
                <w:szCs w:val="9"/>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9"/>
                <w:szCs w:val="9"/>
                <w:color w:val="auto"/>
              </w:rPr>
            </w:pPr>
          </w:p>
        </w:tc>
        <w:tc>
          <w:tcPr>
            <w:tcW w:w="860" w:type="dxa"/>
            <w:vAlign w:val="bottom"/>
          </w:tcPr>
          <w:p>
            <w:pPr>
              <w:jc w:val="right"/>
              <w:ind w:right="76"/>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2"/>
            <w:vMerge w:val="continue"/>
          </w:tcPr>
          <w:p>
            <w:pPr>
              <w:spacing w:after="0"/>
              <w:rPr>
                <w:sz w:val="14"/>
                <w:szCs w:val="14"/>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As Adjusted</w:t>
            </w:r>
            <w:r>
              <w:rPr>
                <w:rFonts w:ascii="Times New Roman" w:cs="Times New Roman" w:eastAsia="Times New Roman" w:hAnsi="Times New Roman"/>
                <w:sz w:val="10"/>
                <w:szCs w:val="10"/>
                <w:b w:val="1"/>
                <w:bCs w:val="1"/>
                <w:color w:val="auto"/>
                <w:w w:val="99"/>
              </w:rPr>
              <w:t>(2)(3)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thousands) (unaudited)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80,792</w:t>
            </w:r>
          </w:p>
        </w:tc>
        <w:tc>
          <w:tcPr>
            <w:tcW w:w="21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  275,167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565,982</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469,272</w:t>
            </w:r>
          </w:p>
        </w:tc>
        <w:tc>
          <w:tcPr>
            <w:tcW w:w="214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663,647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946,245</w:t>
            </w: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57,039</w:t>
            </w:r>
          </w:p>
        </w:tc>
        <w:tc>
          <w:tcPr>
            <w:tcW w:w="21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259,757</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546,426</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1,134,802</w:t>
            </w:r>
          </w:p>
        </w:tc>
        <w:tc>
          <w:tcPr>
            <w:tcW w:w="5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(1,474,425)</w:t>
            </w:r>
          </w:p>
        </w:tc>
        <w:tc>
          <w:tcPr>
            <w:tcW w:w="21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(136,905)</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149,764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20" w:hanging="428"/>
        <w:spacing w:after="0" w:line="288" w:lineRule="auto"/>
        <w:tabs>
          <w:tab w:leader="none" w:pos="6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consolidated balance sheet data gives effect to (a) the Series B Preferred Stock Conversion and Transfer resulting in 5,043,789 shares of Class B common stock outstanding immediately following the consummation of this offering, (b) the issuance and sale of 3,489,981 shares of Series G-5 convertible preferred stock in April 2024 as if such issuance and sale had occurred on March 31, 2024, (c) the Preferred Stock Conversion resulting in the issuance of 66,935,254 shares of Class A common stock, assuming an initial public offering price of $36.00 per share, the midpoint of the estimated price range set forth on the cover page of this prospectus, upon the closing of this offering, (d) the Additional Class A Conversion Share</w:t>
      </w: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60"/>
          </w:cols>
          <w:pgMar w:left="320" w:top="44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84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9630" cy="38474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620"/>
        <w:spacing w:after="0" w:line="276" w:lineRule="auto"/>
        <w:rPr>
          <w:sz w:val="20"/>
          <w:szCs w:val="20"/>
          <w:color w:val="auto"/>
        </w:rPr>
      </w:pPr>
      <w:r>
        <w:rPr>
          <w:rFonts w:ascii="Times New Roman" w:cs="Times New Roman" w:eastAsia="Times New Roman" w:hAnsi="Times New Roman"/>
          <w:sz w:val="16"/>
          <w:szCs w:val="16"/>
          <w:color w:val="auto"/>
        </w:rPr>
        <w:t>Issuance, resulting in the issuance of 5,227,001 Additional Class A Conversion Shares as of March 31, 2024, assuming an initial public offering price of $36.00 per share, the midpoint of the estimated price range set forth on the cover page of this prospectus, upon the closing of this offering, (e) the payment of $5.6 million of accrued cash dividends on certain shares of our convertible preferred stock on June 4, 2024 as if such payment had occurred on March 31, 2024, (f) the automatic conversion of all of our nonvoting common stock into 5,069,477 shares of Class A common stock, which will occur upon the closing of this offering, (g) the net issuance of 2,527,923 shares of Class A common stock upon the RSU Net Settlement as of March 31, 2024, the issuance of 10,724,524 shares of Class A common stock upon the Additional RSU Settlement as of March 31, 2024, and the recognition of stock-based compensation expense of approximately $478.9 million related to the vesting of RSUs outstanding as of March 31, 2024, as further described in Note 10 to our consolidated financial statements included elsewhere in this prospectus, (h) the Warrant Net Exercise, and</w:t>
      </w:r>
    </w:p>
    <w:p>
      <w:pPr>
        <w:spacing w:after="0" w:line="6" w:lineRule="exact"/>
        <w:rPr>
          <w:sz w:val="20"/>
          <w:szCs w:val="20"/>
          <w:color w:val="auto"/>
        </w:rPr>
      </w:pPr>
    </w:p>
    <w:p>
      <w:pPr>
        <w:jc w:val="both"/>
        <w:ind w:left="620" w:right="20" w:firstLine="5"/>
        <w:spacing w:after="0" w:line="243" w:lineRule="auto"/>
        <w:tabs>
          <w:tab w:leader="none" w:pos="84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upon the closing of this offering, and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 w:lineRule="exact"/>
        <w:rPr>
          <w:rFonts w:ascii="Times New Roman" w:cs="Times New Roman" w:eastAsia="Times New Roman" w:hAnsi="Times New Roman"/>
          <w:sz w:val="18"/>
          <w:szCs w:val="18"/>
          <w:color w:val="auto"/>
        </w:rPr>
      </w:pPr>
    </w:p>
    <w:p>
      <w:pPr>
        <w:jc w:val="both"/>
        <w:ind w:left="620" w:hanging="428"/>
        <w:spacing w:after="0" w:line="274" w:lineRule="auto"/>
        <w:tabs>
          <w:tab w:leader="none" w:pos="6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(b) our receipt of $365.3 million in estimated net proceeds from the sale of shares of Class A common stock that we are offering at an assumed initial public offering price of $36.00 per share, the midpoint of the estimated price range set forth on the cover page of this prospectus, after deducting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(c) the use of approximately $74.5 million of the net proceeds from this offering to pay federal and state tax withholding and remittance obligations related to the RSU Net Settlement.</w:t>
      </w:r>
    </w:p>
    <w:p>
      <w:pPr>
        <w:jc w:val="both"/>
        <w:ind w:left="620" w:hanging="428"/>
        <w:spacing w:after="0" w:line="243"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$1.00 increase (decrease) in the assumed initial public offering price of $36.00 per share of Class A common stock, the midpoint of the estimated price range set forth on the cover page of this prospectus, would increase (decrease) each of our pro forma as adjusted cash, cash equivalents and restricted cash, total assets, working capital and total stockholders’ (deficit) equity by approximately $10.3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 total stockholders’ (deficit) equity by $33.5 million, assuming the assumed initial public offering price of $36.00 per share of Class A common stock remains the same, and after deducting the estimated underwriting discounts and commissions.</w:t>
      </w:r>
    </w:p>
    <w:p>
      <w:pPr>
        <w:spacing w:after="0" w:line="3" w:lineRule="exact"/>
        <w:rPr>
          <w:rFonts w:ascii="Times New Roman" w:cs="Times New Roman" w:eastAsia="Times New Roman" w:hAnsi="Times New Roman"/>
          <w:sz w:val="18"/>
          <w:szCs w:val="18"/>
          <w:color w:val="auto"/>
        </w:rPr>
      </w:pPr>
    </w:p>
    <w:p>
      <w:pPr>
        <w:ind w:left="620" w:hanging="42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320" w:top="448"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incurred significant losses since our inception. For the years ended December 31, 2022 and 2023 and the three months ended March 31, 2023 and 2024, we incurred net losses of $289.8 million, $214.1 million, $54.4 million and $64.7 million, respectively. As of March 31, 2024, we had an accumulated deficit of $1.5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AI Applications,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de-identified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neuropsychiatry, cardiology, radiology, and other indications;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and maintain robust data sets with respect to patient populations in geographic regions that we may seek to enter in the future;</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and Services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conflicts between Russia and Ukraine and the hostilities in the Middle East), terrorism, and political unrest, epidemics or pandemics, boycotts, curtailment of trade and other business restrictions; and</w:t>
      </w:r>
    </w:p>
    <w:p>
      <w:pPr>
        <w:spacing w:after="0" w:line="88"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and Services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conflicts between Russia and Ukraine and the hostilities in the Middle East), the political climate and the impact of public health emergencies such as the COVID-19 pandemic, high and rising inflation rates, high interest rates, government closures of banks and liquidity concerns at other financial institutions;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37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ONCare Alliance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46% and 63% of our revenue in the years ended December 31, 2022 and 2023, respectively. We cannot assure that our oncology tests will continue to maintain or gain market acceptance, and any failure to do so would materially harm our business, financial condition and results of operations.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As of March 31, 2024, we had limited commercialized algorithms within our AI Applications product line. Revenue generated from AI Applications is reported within our Data and Services product line and was $1.4 million and $5.5 million for the years ended December 31, 2022 and 2023, respectively, and less than $1.0 million for each of the three months ended March 31, 2023 and 2024, which represents less than 1.5% of our total revenue in each period.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represents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w:t>
      </w:r>
    </w:p>
    <w:p>
      <w:pPr>
        <w:spacing w:after="0" w:line="297"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 validation activities that subsequently may be challenged or questioned;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March 31, 2024, we had developed multiple genomics diagnostics tests across oncology, infectious diseases, and neuropsychiatry,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bodies’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5580" w:right="3060" w:hanging="5129"/>
        <w:spacing w:after="0" w:line="435" w:lineRule="auto"/>
        <w:tabs>
          <w:tab w:leader="none" w:pos="9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 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March 31, 2024, our products have been mentioned in 126 peer-reviewed articles published in major journals, including 93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00" w:lineRule="exact"/>
        <w:rPr>
          <w:sz w:val="20"/>
          <w:szCs w:val="20"/>
          <w:color w:val="auto"/>
        </w:rPr>
      </w:pPr>
    </w:p>
    <w:p>
      <w:pPr>
        <w:spacing w:after="0" w:line="275"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71" w:lineRule="exact"/>
        <w:rPr>
          <w:sz w:val="20"/>
          <w:szCs w:val="20"/>
          <w:color w:val="auto"/>
        </w:rPr>
      </w:pPr>
    </w:p>
    <w:p>
      <w:pPr>
        <w:ind w:left="460" w:right="14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1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As of December 31, 2023, we had received payment on approximately 50% of our clinical oncology next generation sequencing, or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$916 and $1,452,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28% and 26% of our clinical tests were for Medicare beneficiaries in the years ended December 31, 2022 and 2023,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 which we operate. On May 1, 2024, CMS posted the MAC-specific payment recommendations which indicated that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codes applicable to our tests would be reimbursed at the same or a higher level than they were previously reimbursed. These recommendations are currently open for public comment and CMS will publish the final MAC-specific amounts in September. If CMS ultimately prices the new codes at lower rates than they have previously reimbursed our tests at, such pricing decision may have a significant impact on our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 relations matters could have a material adverse effect on our business, reputation, prospects, results of operations and financial condition.</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On February 8, 2024, the International Association of Machinists and Aerospace Workers, or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We are unable to predict whether we will be successful in reaching a collective bargaining agreement, or the incremental cost and expense that may result from such efforts. In addition, to the extent we are unsuccessful, or if such efforts take longer than anticipated, impacted employees may threaten and/or engage in work stoppages and strikes, and our labor costs may continue to increase as a result. Even though we are currently unaware of other unionization efforts, it is possible that other employees may also seek to unionize. The unavailability of laboratory staff, or our inability to control labor costs related to these matters and future efforts to</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unionize, could have a material adverse effect on our business, reputation, prospects, results of operations and financial condition.</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use AI in our products and services which may result in operational challenges, legal liability, reputational concerns and competitive risks.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proposals for the European Union to enact an Artificial Intelligence Act, or the AI Act, the latest proposed text of which provides for administrative fines of up to 35 million Euros or 7% of a company’s total worldwide annual turnover for the preceding financial year, whichever is the higher). In addition, the use and deployment of AI presents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w:t>
      </w:r>
    </w:p>
    <w:p>
      <w:pPr>
        <w:spacing w:after="0" w:line="19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w:t>
      </w:r>
    </w:p>
    <w:p>
      <w:pPr>
        <w:spacing w:after="0" w:line="14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understand that the terms “AI,” “Machine Learning,”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w:t>
      </w:r>
    </w:p>
    <w:p>
      <w:pPr>
        <w:spacing w:after="0" w:line="95" w:lineRule="exact"/>
        <w:rPr>
          <w:sz w:val="20"/>
          <w:szCs w:val="20"/>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is a type of AI where the computer software is tasked with learning without being explicitly programmed. Instead, the software learns and adapts through a combination of instruction from humans and self-experimentation.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is a type of AI that can take different types of inputs (such as text, image, audio, video, code, etc.) and generate new content using a variety of different modalities and based on a sophisticated and advanced set of rules.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Language Models are algorithms that can recognize, summarize, translate, predict, answer questions about, and generate content using very large datasets, such as our own multimodal clinical-molecular database.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 Networks are a type of machine learning that teach computers to process data in a way that is inspired by the human brain. Neural networks use interconnected nodes or neurons, much in the same way the human brain does.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use of generative AI tools may pose particular risks to our proprietary software and systems and subject us to legal liability.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use generative AI tools in our business and expect to use generative AI tools in the future. Using generative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face and expect to continue to face allegations, and we may face claims regarding such allegations, from third parties of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5"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diagnostics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neuropsychiatry include Myriad Genetics, Inc. and Genomind, Inc.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and Services products include Flatiron Health, Inc., IQVIA Holdings Inc., and ConcertAI, among others. Furthermore, our Data and Services products also face competition from CROs, such as Fortrea,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7"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products, or the generation of significant, or any, revenue or payments. In addition, as we continue to grow, including geographically, and as we develop a public company infrastructure, we may find it difficult to maintain our culture.</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and Services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advancements in AI allow our Data customers to develop models that serve as functional equivalents of our database and render our own products obsolete.</w:t>
      </w:r>
    </w:p>
    <w:p>
      <w:pPr>
        <w:spacing w:after="0" w:line="17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3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2023, we derived $67.9 million, or approximately 40% and 13%, of our Data and Services product line revenue and total revenue, respectively, from three customers. We expect to continue to derive a significant portion of our Data and Services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2"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 customers may negotiate terms less advantageous to us upon renewal, which may reduce our revenue from these customers. Factors that are not within our control may contribute to a reduction in our Data and Services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w:t>
      </w:r>
    </w:p>
    <w:p>
      <w:pPr>
        <w:spacing w:after="0" w:line="288" w:lineRule="exact"/>
        <w:rPr>
          <w:sz w:val="20"/>
          <w:szCs w:val="20"/>
          <w:color w:val="auto"/>
        </w:rPr>
      </w:pPr>
    </w:p>
    <w:p>
      <w:pPr>
        <w:ind w:left="460"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and Services product line revenue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90"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and Services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March 31, 2024, we had indebtedness of $452.5 million, comprised of $186.7 million under the convertible promissory note, as amended, or the Amended Note, that we issued to Google LLC, or Google, and $265.8 million pursuant to a credit agreement with Ares Capital Corporation, or Ares, as amended, for a senior secured loan, or the Term Loan Facility. Our current and future indebtedness, including the Amended Note and the Term Loan Facility may have significant negative effects on our operations, including:</w:t>
      </w:r>
    </w:p>
    <w:p>
      <w:pPr>
        <w:spacing w:after="0" w:line="92" w:lineRule="exact"/>
        <w:rPr>
          <w:sz w:val="20"/>
          <w:szCs w:val="20"/>
          <w:color w:val="auto"/>
        </w:rPr>
      </w:pPr>
    </w:p>
    <w:p>
      <w:pPr>
        <w:jc w:val="both"/>
        <w:ind w:left="1000" w:hanging="549"/>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in certain circumstances, to obtain approval from Ares before embarking on certain mergers, acquisitions, capital expenditures, or other operational issues.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35%, 33%, 37% and 41% of total vendor payments for the years ended December 31, 2022 and 2023 and the three months ended March 31, 2023 and 2024, respectively. Amounts due to this supplier were approximately $8.2 million, $11.8 million and $8.6 million at December 31, 2022 and 2023 and March 31, 2024,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96"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conflicts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provide quality technical support and services for our Data and Services products, we could lose customers and our business and prospects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263"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25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including regulations that limit our ability to collect and distribute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92"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maintaining and enforcing our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331" w:lineRule="auto"/>
        <w:tabs>
          <w:tab w:leader="none" w:pos="1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conflicts between Russia and Ukraine and the hostilities in the Middle East),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1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In October 2023, following a series of coordinated attacks in Israel conducted by the Palestinian Islamist militant group Hamas, Israel began air strikes and a subsequent ground war against Hamas. The Israel/Hamas conflict is threatening to spread, and may in the future spread, into other Middle Eastern countries. While our business and operations are currently not impacted, including in Israel where we sell certain molecular tests through a third party and perform certain testing services, it is not possible to predict consequences of these crises, or any other conflicts that may arise, which could include further sanctions, embargoes, regional instability, geopolitical shifts and adverse effects on macroeconomic conditions, security conditions, currency exchange rates and financial markets, any of which could have a material adverse impact on our future operations and results.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establishes a set of national privacy and security standards for the protection of PHI by health plans,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8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61"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Massachusetts, and others,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became effective in 2023. Additional states have since also passed comprehensive privacy laws with additional obligations and requirements on businesses.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91"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laboratories reside.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comply with the requirements of GDPR may result in significant fines of up to €20,000,000 or up to 4% of the total worldwide annual turnover of the preceding financial year, whichever is higher, and other administrative penalties. European data protection authorities have already imposed fines for GDPR violations up to, in some cases, hundreds of millions of Euros.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187"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or CJEU,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On July 11, 2023, the European Commission entered into force its adequacy decision for the EU-US Data Privacy Framework, or EU-US DPF, (a new framework for transferring personal information from the EEA to the United States), having determined that such framework ensures that the protection of personal information transferred from the EEA to the United States will be comparable to the protection offered in the EU. However, this decision will likely face legal challenges and ultimately may be invalidated by the CJEU just as the EU-US Privacy Shield was. On October 12, 2023, a UK-U.S.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If we are unable to implement a valid compliance mechanism for cross-border personal data transfers, we may face increased exposure to regulatory actions, substantial fines and injunctions against processing or transferring personal data outside of the EEA and the United Kingdom, including to the United States.</w:t>
      </w:r>
    </w:p>
    <w:p>
      <w:pPr>
        <w:spacing w:after="0" w:line="200" w:lineRule="exact"/>
        <w:rPr>
          <w:sz w:val="20"/>
          <w:szCs w:val="20"/>
          <w:color w:val="auto"/>
        </w:rPr>
      </w:pPr>
    </w:p>
    <w:p>
      <w:pPr>
        <w:spacing w:after="0" w:line="39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from the EEA to the United Kingdom to continue.</w:t>
      </w:r>
    </w:p>
    <w:p>
      <w:pPr>
        <w:spacing w:after="0" w:line="19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AI in analyzing data, including data in healthcare related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FDA has historically operated under a policy of enforcement discretion with respect to LDTs whereby the FDA did not actively enforce its regulatory requirements for such tests. On May 6, 2024, the FDA published final regulations taking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If we fail to phase-in our compliance with these regulations we may be required to stop selling our existing tests or launching any other tests we may develop and to conduct additional clinical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trials or take other actions prior to continuing to market our tests. This could significantly increase the costs and expenses of conducting, or otherwise harm, our business, financial condition and results of operations. Even if such tests are authorized for marketing by the FDA, the agency could limit the test’s indications for use, which may significantly limit the market for that product and may adversely affect our business and financial condition.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 results of the LDTs to our customers and this may require costly modifications, additional development or the reduction in functionality in our offerings which could, in turn, make them less attractive to our customers.</w:t>
      </w:r>
    </w:p>
    <w:p>
      <w:pPr>
        <w:spacing w:after="0" w:line="26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90"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FDA and international regulatory bodies have the authority to require the recall of commercialized products that are subject to FDA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6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Arterys, Inc., a company we acquired in 2022, has developed several medical devices that are regulated by the FDA and its European equivalents. Arterys also distributes devices developed by third parties. If we identify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an issue with, or propose changes to, one of these devices that impacts patient safety or causes us to undertake a field action or implement a recall, our business operations and reputation could be harmed in a meaningful way.</w:t>
      </w:r>
    </w:p>
    <w:p>
      <w:pPr>
        <w:spacing w:after="0" w:line="271"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FDA and the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1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foreign jurisdictions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Atlanta and Raleigh, North Carolina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1020"/>
        <w:spacing w:after="0" w:line="248" w:lineRule="auto"/>
        <w:rPr>
          <w:sz w:val="20"/>
          <w:szCs w:val="20"/>
          <w:color w:val="auto"/>
        </w:rPr>
      </w:pPr>
      <w:r>
        <w:rPr>
          <w:rFonts w:ascii="Times New Roman" w:cs="Times New Roman" w:eastAsia="Times New Roman" w:hAnsi="Times New Roman"/>
          <w:sz w:val="18"/>
          <w:szCs w:val="18"/>
          <w:color w:val="auto"/>
        </w:rPr>
        <w:t xml:space="preserve">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97" w:lineRule="exact"/>
        <w:rPr>
          <w:sz w:val="20"/>
          <w:szCs w:val="20"/>
          <w:color w:val="auto"/>
        </w:rPr>
      </w:pPr>
    </w:p>
    <w:p>
      <w:pPr>
        <w:jc w:val="both"/>
        <w:ind w:left="1000" w:hanging="549"/>
        <w:spacing w:after="0" w:line="245"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monetary penalties for any payments, transfers of value or ownership or investment interests that are not timely, accurately, and completely reported in an annual submission, and may result in liability under other federal laws or regulations;</w:t>
      </w:r>
    </w:p>
    <w:p>
      <w:pPr>
        <w:spacing w:after="0" w:line="78" w:lineRule="exact"/>
        <w:rPr>
          <w:sz w:val="20"/>
          <w:szCs w:val="20"/>
          <w:color w:val="auto"/>
        </w:rPr>
      </w:pPr>
    </w:p>
    <w:p>
      <w:pPr>
        <w:jc w:val="both"/>
        <w:ind w:left="1000" w:hanging="549"/>
        <w:spacing w:after="0" w:line="24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302"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As a clinical laboratory, our business practices may face additional scrutiny from various government agencies such as the Department of Justice, the U.S. Department of Health and Human Services Office of</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any additional inquiry since that time. Similarly, on March 4, 2024, we received a Civil Investigative Demand, or CID, from the 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expect to continue producing responsive documents on a rolling basis over the next several months. While the Company believes its programs and payments comply with the Anti-Kickback statute, no assurance can be given as to the timing or outcome of the government’s investigation, or that it will not result in a material adverse effect on the Company’s business.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pacing w:after="0" w:line="290"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 the reimbursement rates of payers, the amounts we charge healthcare institutions directly, and the cost to patients who pay for our tests out-of-pocket;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in the process of updating our approach again. Despite our diligence in developing a comprehensive billing strategy that accurately describes the tests we provide, payers, such as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8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2023,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290"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Platform, products and other proprietary technologies,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37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00" w:lineRule="exact"/>
        <w:rPr>
          <w:sz w:val="20"/>
          <w:szCs w:val="20"/>
          <w:color w:val="auto"/>
        </w:rPr>
      </w:pPr>
    </w:p>
    <w:p>
      <w:pPr>
        <w:spacing w:after="0" w:line="279"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Many of our competitors are or have been party to these suits, including Guardant Health, Inc., or Guardant, Haystack Oncology, Inc., Invitae Corp., Illumina, Inc., Natera, Inc., NeoGenomics Laboratories, Inc., Personalis, Inc., TwinStrand Biosciences, Inc., and others, and, as a result, we have monitored and continue to monitor their developments and their potential impact on the Company. In addition,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intend to vigorously defend ourselves in this matter, however, there can be no assurance that our defense will be successful. Given the uncertainty of outcomes of patent litigation disputes, we have not determined whether our products and services could be subject to potential additional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additional claims of patent infringement and that we may need to either modify our existing or future sequencing methods or license intellectual property from third parties, both of which could be time consuming and expensive.</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the Company may receive notifications from third parties purportedly asserting certain intellectual property rights with respect to the Company’s products and services. For example, on September 21,</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2023, SEngine Precision Medicine LLC (including its predecessor corporation SEngine Precision Medicine, Inc.), or SEngine, a company we acquired on October 3, 2023, received a letter from an attorney representing HUB Organoids IP B.V., or HUB Organoids, which states that SEngine’s PARIS® test methodologies “appear to share similarities with methods that the HUB has used in its own organoid work.” Similarly, on January 30, 2024, we received a letter from an attorney representing Molecular Loop Biosciences, Inc., which states that “[a]fter reviewing specific products made, used or sold by Tempus, Molecular Loop believes that Tempus requires a license to several of the patents in Molecular Loop’s patent portfolio.” While the letter received on behalf of HUB Organoids contains no specific allegations that SEngine infringes certain patents controlled by HUB Organoids referenced in the letter, and while the letter received on behalf of Molecular Loop contains only generalized allegations that Tempus may infringe certain patents controlled by Molecular Loop referenced in the letter, if any claims against us were made by these parties, including any claim that any portion of our products and services infringes any of the referenced patents,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w:t>
      </w:r>
    </w:p>
    <w:p>
      <w:pPr>
        <w:spacing w:after="0" w:line="297"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Such license agreements impose, and future agreements may impose, various obligations, such as diligence, development, payment, royalty, sublicensing and other obligations on us in order to maintain the licenses.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00" w:lineRule="exact"/>
        <w:rPr>
          <w:sz w:val="20"/>
          <w:szCs w:val="20"/>
          <w:color w:val="auto"/>
        </w:rPr>
      </w:pPr>
    </w:p>
    <w:p>
      <w:pPr>
        <w:spacing w:after="0" w:line="279"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85" w:lineRule="exact"/>
        <w:rPr>
          <w:sz w:val="20"/>
          <w:szCs w:val="20"/>
          <w:color w:val="auto"/>
        </w:rPr>
      </w:pPr>
    </w:p>
    <w:p>
      <w:pPr>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and may become involved with litigation or USPTO actions with various third parties. For example,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expect that the number of such types of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face and expect to continue to face allegations of patent infringement, and we may face claims regarding such allegations,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3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84"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the extent we use open source technologies or licensed third-party technologies in our AI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w:t>
      </w:r>
    </w:p>
    <w:p>
      <w:pPr>
        <w:spacing w:after="0" w:line="288" w:lineRule="exact"/>
        <w:rPr>
          <w:sz w:val="20"/>
          <w:szCs w:val="20"/>
          <w:color w:val="auto"/>
        </w:rPr>
      </w:pPr>
    </w:p>
    <w:p>
      <w:pPr>
        <w:ind w:left="460" w:right="5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legislative, judicial and regulatory landscapes relating to AI are evolving and may impact our ability to use AI, and could limit our ability to operate and expand our business, cause revenue to decline and adversely affect our business.</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on May 17, 2024, Colorado became the first state in the United States to pass a law that requires developers of high-risk AI systems to avoid algorithmic discrimination involving certain AI decisions and to extensively document how the high-risk AI system was evaluated for performance and mitigation of algorithmic discrimination. The law also requires documentation of data governance measures used with the training data sets, the intended outputs of the high-risk AI system, how the AI system should and should not be used, and other aspects of the system. The law could require us to significantly alter our use of AI or how we train our algorithms, which could lead to increased costs. The law does not go into effect until February 1, 2026. Further, on March 13, 2024, the European Parliament formally adopted a draft of the AI Act, which is currently expected to be enacted in mid-2024, pending formal endorsement by the Council of the European Union and publication in the Official Journal of the European Union. The current draft of the AI Act, if enacted, would establish, among other things, a risk-based governance framework for regulating AI systems operating in the EU. This framework would categorize AI systems, based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the risks associated with such AI systems’ intended purposes, for example, prohibiting certain “unacceptable” AI practices, classifying certain AI systems as “high-risk” systems that must meet stringent compliance requirements, introducing specific compliance obligations for certain “general-purpose AI systems” (more commonly known as foundation models) with all other AI systems being considered either limited or low risk. While the AI Act has not yet been enacted or enforced, there is a risk that our use of AI may obligate us to comply with the applicable requirements of the AI Act, which may impose additional costs on us, increase our risk of liability or adversely affect our business.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jurisdictions may decide to adopt similar or more restrictive legislation that may render the use of such technologies challenging. We may not be able to adequately anticipate or respond to these evolving laws and regulations, and we may need to expend additional resources to adjust our offerings in certain jurisdictions if applicable legal frameworks are inconsistent across jurisdictions.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 including the COVID-19 global pandemic.</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including the COVID-19 global pandemic. For example, the COVID-19 global pandemic and the various attempts throughout the world to contain it created significant volatility, uncertainty and disruption.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causes severe disruption again in the future, vendors of equipment and reagents for our operations could also reduce production or even go out of business, resulting in supply constraints for us. The COVID-19 pandemic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COVID-19 pandemic has also led to uncertainties related to our growth, forecast and trends. Our historic results such as revenue, operating margins, cash flows, tests performed, and other financial and operating metrics, may not be indicative of our results for future periods. For example, following a reduced demand for COVID-19 testing, we stopped offering COVID-19 PCR diagnostic tests in the first quarter of 2023. Increases in the number of diagnostic tests performed by us prior to the COVID-19 pandemic may reflect an acceleration of growth that we may not see during or after the COVID-19 pandemic.</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these effects have subsided and continue to subside, the full extent to which the COVID-19 pandemic may continue to impact our performance, financial condition, volume of business, results of operations and cash flows will depend on future developments that are uncertain and cannot be accurately predicted. We cannot assure you that these effects will remain reduced in the future, including due to potential new public health outbreaks. To the extent future public health outbreaks adversely affect our business and financial results, they may also have the effect of heightening many of the other risks described in this “Risk Factors” section.</w:t>
      </w:r>
    </w:p>
    <w:p>
      <w:pPr>
        <w:spacing w:after="0" w:line="288"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one or more of which may be substantial. We also may pursue strategic alliances and additional joint ventures that leverage our Platform and industry experience to expand our product offerings or distribution. We have limited experience with acquisitions, joint ventures and forming strategic partnerships. We compete for those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37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evaluate opportunities for transactions of these types from time to time. For example, on May 18, 2024, we entered into the Joint Venture Agreement related to the Joint Venture in Japan. See “Prospectus Summary—Recent Developments—Japan Joint Venture and Related Agreements” for additional information regarding the Joint Venture. We have limited experience forming joint ventures and we may not realize the anticipated benefits of the Joint Venture. We may also realize losses related to our investment in the Joint Venture, which could have a material negative effect on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As further described in the section entitled “Underwriting,” during the 180-day period following the date of this prospectus, we are permitted to issue up to 15.0% of the total number of shares of our common stock outstanding immediately following this offering in connection with acquisitions, joint ventures, commercial agreements or other similar arrangements.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current law, U.S. federal net operating losses, or NOLs, incurred in taxable years beginning after December 31, 2017, can be carried forward indefinitely to offset future taxable income, but the deductibility of such U.S. federal NOL carryforwards in a taxable year is limited to 80% of taxable income in such year.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These changes may adversely affect our future cash flow.</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287"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While our executive officers have entered into employment agreements with us, they are at-will employees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6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Our employees also are subject to certain post-employment noncompete obligations; however, on April 23, 2024, the FTC voted to finalize a rule banning almost all post-employment noncompetes, subject to narrow exceptions, including existing non-compete agreements with “senior executives” (as defined under the rule). If the FTC ban becomes effective, as expected, and is implemented and these noncompete obligations are therefore deemed to be unenforceable, our competitors may be more successful in recruiting our employees.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76"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47"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could damage our reputation or cause current clinical customers to terminate existing agreements with us and potential clinical customers to seek other partners, any of which could adversely impact our results of operations.</w:t>
      </w:r>
    </w:p>
    <w:p>
      <w:pPr>
        <w:spacing w:after="0" w:line="27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0"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187"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6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 common stock, will beneficially own shares representing approximately 65.3%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other sale of our company or our assets or significant acquisitions,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6"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anticipate incurring substantial federal and state tax withholding and remittance obligations in connection with the settlement of RSUs that vest in connection with this offering. The manner in which we fund these tax liabilities may have an adverse effect on our financial condition.</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anticipate that we will incur substantial federal and state tax obligations in light of the large number of RSUs that will vest in connection with this offering, a portion of which will settle at the time of this offering and the remainder of which will settle during the 180-day period following the date of this prospectus (or, subject to certain conditions described in the section titled “Underwriting”, a shorter period), or the restricted period, as further described in the section titled “Prospectus Summary—RSU Settlement.” The RSUs granted prior to the date of this prospectus vest upon the satisfaction of service-based and performance-based vesting conditions. We anticipate that we will use approximately $74.5 million of the net proceeds from this offering, assuming an initial public offering price of $36.00 per share, the midpoint of the estimated price range set forth on the cover page of this prospectus, to satisfy federal and state tax withholding and remittance obligations in connection with the net settlement of a portion of the RSUs outstanding as of March 31, 2024 for which the service-based vesting condition will be satisfied before June 14, 2024 and for which the performance-based vesting condition will be satisfied in connection with this offering. In connection with the settlement of these RSUs, we plan to withhold certain shares underlying RSUs and remit federal and state taxes on behalf of the holders of such RSUs at applicable statutory tax withholding rates based on the initial public offering price per share in this offering. See “Use of Proceeds.” For vested RSUs that will not be settled in connection with this offering, we will satisfy related federal and state tax withholding and remittance obligations by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“Shares Eligible for Future Sale.”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Class A common stock in such transactions and our stockholders’ personal tax rates. However, with respect to employees that are not executive officers, if sell-to-cover proceeds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320" w:top="448"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are not available at the time taxes must be remitted to state and federal tax authorities, we would need to remit taxes to the relevant tax authorities using cash on hand, which may include cash proceeds generated from this offering, pending the receipt of such sell-to-cover proceeds. If we are required to remit tax obligations on behalf of our employees without having first received proceeds from their sell-to-cover transactions, we could have significant cash outlays that could have an adverse effect on our financial condition. In addition, shares sold by our Chief Executive Officer and other employees in sell-to-cover transactions may have an adverse effect on the market price of our Class A common stock.</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and market standoff agreements described below.</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including the RSUs that will settle in connection with the RSU Net Settlement or the Additional RSU Settlement, and the warrants issued to Allen and AstraZeneca), have agreed with the underwriters that, during the restricted period,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In addition, the restricted period may be shortened with respect to a portion of the locked-up securities under certain circumstances and the lock-up agreements are subject to a number of important exceptions. These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40"/>
          </w:cols>
          <w:pgMar w:left="320" w:top="448"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agreements and such exceptions are described in the section titled “Underwriting.” Morgan Stanley &amp; Co. LLC and J.P. Morgan Securities LLC may release any of the securities subject to these lock-up agreements at any time, subject to applicable notice requirements. In addition to the restrictions contained in the lock-up agreements, we have entered into market standoff agreements with substantially all of our RSU holders, including holders of the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 If not earlier released, all of the shares of Class A common stock not sold in this offering will become eligible for sale upon the expiration of the restricted period, except for any shares held by our affiliates as defined in Rule 144.</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certain exceptions in the lock-up agreements and because of our ability to release RSU holders early under the market standoff agreements, certain shares of our Class A common stock may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Approximate Number</w:t>
            </w:r>
          </w:p>
        </w:tc>
      </w:tr>
      <w:tr>
        <w:trPr>
          <w:trHeight w:val="210"/>
        </w:trPr>
        <w:tc>
          <w:tcPr>
            <w:tcW w:w="1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 Shares of Class A</w:t>
            </w:r>
          </w:p>
        </w:tc>
      </w:tr>
      <w:tr>
        <w:trPr>
          <w:trHeight w:val="210"/>
        </w:trPr>
        <w:tc>
          <w:tcPr>
            <w:tcW w:w="1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Common Stock</w:t>
            </w:r>
          </w:p>
        </w:tc>
      </w:tr>
      <w:tr>
        <w:trPr>
          <w:trHeight w:val="210"/>
        </w:trPr>
        <w:tc>
          <w:tcPr>
            <w:tcW w:w="1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 be Sold</w:t>
            </w:r>
          </w:p>
        </w:tc>
      </w:tr>
      <w:tr>
        <w:trPr>
          <w:trHeight w:val="210"/>
        </w:trPr>
        <w:tc>
          <w:tcPr>
            <w:tcW w:w="1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Number of RSUs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Sell-to-Cover</w:t>
            </w:r>
          </w:p>
        </w:tc>
      </w:tr>
      <w:tr>
        <w:trPr>
          <w:trHeight w:val="250"/>
        </w:trPr>
        <w:tc>
          <w:tcPr>
            <w:tcW w:w="1680" w:type="dxa"/>
            <w:vAlign w:val="bottom"/>
          </w:tcPr>
          <w:p>
            <w:pPr>
              <w:spacing w:after="0"/>
              <w:rPr>
                <w:sz w:val="21"/>
                <w:szCs w:val="21"/>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Date First Available for Sale into the Market</w:t>
            </w:r>
          </w:p>
        </w:tc>
        <w:tc>
          <w:tcPr>
            <w:tcW w:w="178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Expected to Settle</w:t>
            </w:r>
          </w:p>
        </w:tc>
        <w:tc>
          <w:tcPr>
            <w:tcW w:w="24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3"/>
              </w:rPr>
              <w:t>Transactions</w:t>
            </w:r>
            <w:r>
              <w:rPr>
                <w:rFonts w:ascii="Times New Roman" w:cs="Times New Roman" w:eastAsia="Times New Roman" w:hAnsi="Times New Roman"/>
                <w:sz w:val="26"/>
                <w:szCs w:val="26"/>
                <w:b w:val="1"/>
                <w:bCs w:val="1"/>
                <w:color w:val="auto"/>
                <w:w w:val="93"/>
                <w:vertAlign w:val="superscript"/>
              </w:rPr>
              <w:t>(1)</w:t>
            </w:r>
          </w:p>
        </w:tc>
      </w:tr>
      <w:tr>
        <w:trPr>
          <w:trHeight w:val="165"/>
        </w:trPr>
        <w:tc>
          <w:tcPr>
            <w:tcW w:w="6800" w:type="dxa"/>
            <w:vAlign w:val="bottom"/>
            <w:gridSpan w:val="3"/>
          </w:tcPr>
          <w:p>
            <w:pPr>
              <w:spacing w:after="0" w:line="165" w:lineRule="exact"/>
              <w:rPr>
                <w:sz w:val="20"/>
                <w:szCs w:val="20"/>
                <w:color w:val="auto"/>
              </w:rPr>
            </w:pPr>
            <w:r>
              <w:rPr>
                <w:rFonts w:ascii="Times New Roman" w:cs="Times New Roman" w:eastAsia="Times New Roman" w:hAnsi="Times New Roman"/>
                <w:sz w:val="18"/>
                <w:szCs w:val="18"/>
                <w:color w:val="auto"/>
              </w:rPr>
              <w:t>91 days after the date of this prospectus (or the next trading day if such date is not a trading</w:t>
            </w:r>
          </w:p>
        </w:tc>
        <w:tc>
          <w:tcPr>
            <w:tcW w:w="1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Borders>
              <w:top w:val="single" w:sz="8" w:color="auto"/>
            </w:tcBorders>
          </w:tcPr>
          <w:p>
            <w:pPr>
              <w:spacing w:after="0"/>
              <w:rPr>
                <w:sz w:val="14"/>
                <w:szCs w:val="14"/>
                <w:color w:val="auto"/>
              </w:rPr>
            </w:pPr>
          </w:p>
        </w:tc>
      </w:tr>
      <w:tr>
        <w:trPr>
          <w:trHeight w:val="21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5,362,261</w:t>
            </w:r>
          </w:p>
        </w:tc>
        <w:tc>
          <w:tcPr>
            <w:tcW w:w="10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2,413,017</w:t>
            </w:r>
          </w:p>
        </w:tc>
      </w:tr>
      <w:tr>
        <w:trPr>
          <w:trHeight w:val="21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120 days after the date of this prospectus (or the next trading day if such date is not a trading</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8"/>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5,362,262</w:t>
            </w:r>
          </w:p>
        </w:tc>
        <w:tc>
          <w:tcPr>
            <w:tcW w:w="1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07"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45% tax rate. Includes an estimated approximately 868,758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this prospectus in respect of settlement of RSUs held by our Chief Executive Officer.</w:t>
      </w:r>
    </w:p>
    <w:p>
      <w:pPr>
        <w:spacing w:after="0" w:line="19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In addition, if additional net settlement transactions occur on or prior to the dates set forth above, the number of shares of Class A common stock to be sold in each sell-to-cover transaction will be reduced proportionally.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March 31, 2024. We intend to register all of the shares of Class A common stock issuable upon the exercise of the outstanding option, settlement of outstanding RSUs and other equity incentives we may grant in the future for public resale under the Securities Act.</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AstraZeneca holds an outstanding warrant, pursuant to which AstraZeneca has the right to purchase $100 million in shares of our Class A common stock at an exercise price equal to the public offering price in this offering. The shares of Class A common stock will become eligible for sale in the public market to the extent such warrant is exercised, subject to the market standoff provision included in such agreement and described in the section titled “Underwriting” and compliance with applicable securities laws. In addition, pursuant to the Warrant Net Exercise, Allen, an underwriter in this offering, will receive 108,333 shares of Class A common stock following this offering (assuming an initial public offering price of $36.00 per share, the midpoint of the estimated price range set forth on the cover page of this prospectus). The shares of Class A common stock issued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pursuant to the Warrant Net Exercise will become eligible for sale in the public market, subject to the market standoff provision contained in the Allen warrant agreement and described in the section titled “Underwriting” and compliance with applicable securities laws.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Further, based on shares outstanding as of March 31, 2024, holders of approximately 130,530,216 shares of Class A common stock (after giving effect to the issuance of Series G-5 preferred stock in April 2024 and assuming the issuance of the Additional Class A Conversion Shares, as discussed under “Prospectus Summary” above, and assuming no exercise of the underwriters’ option to purchase additional shares) and 5,043,789 shares of Class B common stock, or 84.7%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The lock-up agreements relating to this offering are subject to a number of important exceptions and the restricted period pursuant to such lock-up agreements or the market standoff agreements with our RSU holders may be shortened. In addition, a significant number of shares may be sold in sell-to-cover transactions and we may issue a significant number of shares as consideration in certain transactions, including during the restricted period. As a result, a large number of shares of Class A common stock may become available for resale in the immediate future, including within 180 days after the date of this prospectus, which could materially depress the market price of our Class A common stock.</w:t>
      </w:r>
    </w:p>
    <w:p>
      <w:pPr>
        <w:spacing w:after="0" w:line="8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Although 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and the warrants issued to Allen and AstraZeneca) have agreed with the underwriters that, until 180 days after the date of this prospectus, we and they will not offer, sell, make any short sale or otherwise dispose of any of our shares of common stock, any options or warrants to purchase any of our shares of common stock or any securities convertible into or exchangeable for or that represent the right to receive shares of our common stock, such lock-up agreements are subject to a number of important exceptions described in the section titled “Underwriting.” For example, at any time during such period, we may agree to issue or issue up to 15.0% of the total number of shares of our common stock outstanding immediately following the issuance of our Class A common stock in this offering, or 24,765,639 shares, in connection with an acquisition, merger, joint venture, strategic alliance, commercial or other collaborative relationship or certain other transactions. In addition, under the market standoff agreements that we have entered into with substantially all of our RSU holders, we have the right to release early some or all shares of our Class A common stock issuable pursuant to such RSUs, subject to the consent of Morgan Stanley &amp; Co. LLC and J.P. Morgan Securities LLC. See the section titled “Underwriting” for more detail.</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Furthermore, in connection with the Additional RSU Settlement, our Chief Executive Officer will be required to sell in the open market in sell-to-cover transactions up to approximately 868,758 shares of our Class A common stock on or about 91 days after the date of this prospectus and up to approximately 868,758 shares of our Class A common stock on or about 120 days after the date of this prospectus, and certain of our employees other than our other executive officers will be required to sell in the open market in sell-to-cover transactions approximately 1,544,259 shares of our Class A common stock on or about 91 days after the date of this prospectus and approximately 1,544,260 shares of our Class A common stock on or about 120 days after the date of this prospectus, in each case assuming an initial public offering price of $36.00 per share, the midpoint of the estimated price range set forth on the cover page of this prospectus, and an assumed 45% tax withholding rate. See “Prospectus Summary—RSU Settlement” for more detail.</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the event that the end of the restricted period falls during one of our quarterly blackout periods during which trading by certain of our employees in our securities would not be permitted under our insider trading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policy then in effect, the restricted period will automatically be shortened to expire on the date that is the later of ten trading days prior to the date that such blackout period begins and the 150th day after the date of this prospectus. In addition, if the closing price of our Class A common stock on The Nasdaq Stock Market LLC is at least 30% greater than the initial public offering price per share set forth on the cover page of this prospectus for (i) any 10 trading days during the period ending on, and including, the date that we publicly announce our earnings for the first completed quarterly period following March 31, 2024, or the Initial Earnings Release, and (ii) any one trading day following the Initial Earnings Release, then the restricted period will automatically expire on the later of (a) the date on which the conditions set forth in both (i) and (ii) above are satisfied and (b) two trading days following our Initial Earnings Release, with respect to 30% of each holder’s aggregate shares of our common stock, to the extent vested.</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Moreover, Morgan Stanley &amp; Co. LLC and J.P. Morgan Securities LLC may release any of the securities subject to these lock-up agreements at any time.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of the events described above may occur independently of the other events. As a result of any such event or any combination thereof, a large number of shares of our Class A common stock may become available for resale in the immediate future, including within 180 days after the date of this prospectus, which may materially depress the market price of our Class A common stock. In addition, some or all of these events may occur in close proximity or simultaneously, which may exacerbate their impact on the market price of our Class A common stock.</w:t>
      </w:r>
    </w:p>
    <w:p>
      <w:pPr>
        <w:spacing w:after="0" w:line="285"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$35.65 per share, or $35.32 per share if the underwriters exercise their option to purchase additional shares in full, representing the difference between our pro forma as adjusted net tangible book value per share as of March 31, 2024, after giving effect to the sale of Class A common stock in this offering, and the assumed initial public offering price of $36.00 per share, the midpoint of the price range set forth on the cover page of this prospectus. See the section titled “Dilution.”</w:t>
      </w:r>
    </w:p>
    <w:p>
      <w:pPr>
        <w:spacing w:after="0" w:line="257"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5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including as a result of sell-to-cover transactions during the restricted period, as well as the anticipation of sell-to-cover transactions, lock-up releases or the expiration of the related restricted period;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including through the Joint Venture in Japan;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businesses, form joint ventures or make investments in companies or technologies;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release of lock-up agreements or market standoff agreements, anticipation of such events, and sales of shares of our Class A common stock by our stockholders;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proceeds from this offering.</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(2024-2029), 2023</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(2024-2029), 2023</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2023, Outlook to 2028, August 2023</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Fortune Business Insights, Real World Evidence Solutions Market, April 2024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November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2024: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2024 database, 2024: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January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2022-2024,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44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$361.1 million (or approximately $416.9 million if the underwriters’ over-allotment option is exercised in full) based on an assumed initial public offering price of $36.00 per share of Class A common stock, the midpoint of the estimated price range set forth on the cover page of this prospectus, after deducting estimated underwriting discounts and commissions and estimated offering expenses payable by us.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$36.00 per share of Class A common stock, the midpoint of the estimated price range set forth on the cover page of this prospectus, would increase (decrease) the net proceeds from this offering by approximately $10.3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net proceeds to us from this offering by approximately $33.5 million, assuming the assumed initial public offering price of $36.00 per share of Class A common stock remains the same, and after deducting estimated underwriting discounts and commissions.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intend to use approximately $74.5 million of the net proceeds from this offering to pay federal and state tax withholding and remittance obligations related to the RSU Net Settlement, assuming an initial public offering price of $36.00 per share, the midpoint of the estimated price range set forth on the cover page of this prospectus. A $1.00 increase (decrease) in the assumed initial public offering price of $36.00 per share, which is the midpoint of the estimated price range set forth on the cover page of this prospectus, would increase or decrease, as applicable, the amount of net proceeds from this offering used to pay federal and state tax withholding and remittance obligations related to the RSU Net Settlement by approximately $2.1 million. Each increase (decrease) of 1,000,000 RSUs net settled by us as part of the RSU Net Settlement, assuming an initial public offering price of $36.00 per share, the midpoint of the estimated price range set forth on the cover page of this prospectus, and an assumed 45% tax withholding rate, would increase (decrease) the amount of net proceeds from this offering used to pay federal and state withholding and remittance obligations related to the RSU Net Settlement by approximately $16.2 million. In addition, each such increase (decrease) of 1,000,000 RSUs so net settled would increase (decrease) the number of shares of Class A common stock outstanding immediately after this offering by approximately 550,000 shares.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the date of this prospectus, we cannot specify with certainty all of the particular uses for the remaining net proceeds of this offering. However, we currently intend to use the remaining net proceeds of this offering for general corporate purposes, including working capital, operating expenses, remittance of federal and state tax withholding in connection with the net settlement of additional RSUs, repayment of debt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September 2022, we entered into a credit agreement with Ares Capital Corporation, or Ares, for a senior secured loan of up to $175 million, to provide working capital and for general corporate purposes, including to finance growth initiatives and pay for operating expenses. The aggregate principal amount under this loan was increased by an additional $50 million in April 2023 pursuant to a first amendment to the credit agreement, and by an additional $35 million in October 2023 pursuant to a second amendment to the credit agreement. Such term loan facility, as amended, is referred to as the Term Loan Facility. As of March 31, 2024, the interest rate on the Term Loan Facility was 10.33%. As of March 31, 2024, there was $265.8 million gross principal amount outstanding under the Term Loan Facility. We may use the net proceeds from this offering to pay down, in whole or in part, the Term Loan Facility.</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Since our incorporation in 2015, we have paid an aggregate of $38.1 million in cash dividends and issued 114,246 shares of Series G-3 convertible preferred stock and 10,666 shares of Series G-4 convertible preferred stock as paid-in-kind dividends to holders of our preferred stock in satisfaction of dividend obligations accruing pursuant to our certificate of incorporation in effect prior to this offering. As of June 14, 2024, shares of our convertible preferred stock will have accrued approximately $187.7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4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March 31, 2024:</w:t>
      </w:r>
    </w:p>
    <w:p>
      <w:pPr>
        <w:spacing w:after="0" w:line="121" w:lineRule="exact"/>
        <w:rPr>
          <w:sz w:val="20"/>
          <w:szCs w:val="20"/>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4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(1) the Series B Preferred Stock Conversion and Transfer resulting in 5,043,789 shares of Class B common stock outstanding immediately following the consummation of this offering; (2) the issuance and sale of 3,489,981 shares of Series G-5 convertible preferred stock in April 2024 as if such issuance and sale had occurred on March 31, 2024; (3) the Preferred Stock Conversion resulting in the issuance of 66,935,254 shares of Class A common stock upon the closing of this offering, assuming an initial public offering price of $36.00 per share, the midpoint of the estimated price range set forth on the cover page of this prospectus; (4) the Additional Class A Conversion Share Issuance resulting in the issuance of 5,227,001 Additional Class A Conversion Shares, assuming an initial public offering price of $36.00 per share, the midpoint of the estimated price range set forth on the cover page of this prospectus, upon the closing of this offering; (5) the payment of $5.6 million of accrued cash dividends on certain shares of our convertible preferred stock on June 4, 2024, as if such payment had occurred on March 31, 2024; (6) the automatic conversion of all of our nonvoting common stock into 5,069,477 shares of Class A common stock, which will occur upon the closing of this offering; (7) the net issuance of 2,527,923 shares of Class A common stock upon the RSU Net Settlement, the issuance of 10,724,524 shares of Class A common stock upon the Additional RSU Settlement and the recognition of stock-based compensation expense of approximately $478.9 million related to the vesting of RSUs outstanding as of March 31, 2024 for which the service-based condition will be satisfied on or before June 14, 2024 and for which the performance-based vesting condition will be satisfied in connection with this offering, as further described in Note 10 to our consolidated financial statements included elsewhere in this prospectus; (8) the Warrant Net Exercise; and (9) the filing and effectiveness of our amended and restated certificate of incorporation, which will occur upon the closing of this offering; and</w:t>
      </w:r>
    </w:p>
    <w:p>
      <w:pPr>
        <w:spacing w:after="0" w:line="98" w:lineRule="exact"/>
        <w:rPr>
          <w:rFonts w:ascii="Times New Roman" w:cs="Times New Roman" w:eastAsia="Times New Roman" w:hAnsi="Times New Roman"/>
          <w:sz w:val="18"/>
          <w:szCs w:val="18"/>
          <w:color w:val="auto"/>
        </w:rPr>
      </w:pPr>
    </w:p>
    <w:p>
      <w:pPr>
        <w:jc w:val="both"/>
        <w:ind w:left="1000" w:hanging="549"/>
        <w:spacing w:after="0" w:line="283"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as adjusted basis, giving effect to (1) the pro forma adjustments set forth above, (2) the issuance and sale of 11,100,000 shares of Class A common stock and our receipt of $365.3 million in estimated net proceeds from such sale at an assumed initial public offering price of $36.00 per share, the midpoint of the estimated price range set forth on the cover page of this prospectus, after deducting the estimated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(3) the use of approximately $74.5 million of the net proceeds from this offering to pay tax withholding and remittance obligations related to the RSU Net Settlement.</w:t>
      </w:r>
    </w:p>
    <w:p>
      <w:pPr>
        <w:spacing w:after="0" w:line="16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9"/>
                <w:szCs w:val="9"/>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60" w:type="dxa"/>
            <w:vAlign w:val="bottom"/>
          </w:tcPr>
          <w:p>
            <w:pPr>
              <w:jc w:val="right"/>
              <w:ind w:right="115"/>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13"/>
        </w:trPr>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360" w:type="dxa"/>
            <w:vAlign w:val="bottom"/>
            <w:tcBorders>
              <w:top w:val="single" w:sz="8" w:color="auto"/>
            </w:tcBorders>
            <w:gridSpan w:val="6"/>
          </w:tcPr>
          <w:p>
            <w:pPr>
              <w:jc w:val="center"/>
              <w:ind w:right="75"/>
              <w:spacing w:after="0" w:line="113" w:lineRule="exact"/>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275,167</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565,982</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186,733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186,733</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186,733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259,196</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259,196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259,196</w:t>
            </w:r>
          </w:p>
        </w:tc>
        <w:tc>
          <w:tcPr>
            <w:tcW w:w="0" w:type="dxa"/>
            <w:vAlign w:val="bottom"/>
          </w:tcPr>
          <w:p>
            <w:pPr>
              <w:spacing w:after="0"/>
              <w:rPr>
                <w:sz w:val="1"/>
                <w:szCs w:val="1"/>
                <w:color w:val="auto"/>
              </w:rPr>
            </w:pPr>
          </w:p>
        </w:tc>
      </w:tr>
      <w:tr>
        <w:trPr>
          <w:trHeight w:val="192"/>
        </w:trPr>
        <w:tc>
          <w:tcPr>
            <w:tcW w:w="76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69,803,765 shares authorized, 63,603,084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 authorized, issued and outstanding, pro forma and pro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1,134,802</w:t>
            </w: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0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w w:val="99"/>
              </w:rPr>
              <w:t>Preferred stock, $0.0001 par value, no shares authorized, issued, and outstanding, actual; 20,000,000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authorized, no shares issued and outstanding, pro forma and pro 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760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w w:val="98"/>
              </w:rPr>
              <w:t>Non-voting common Stock, $0.0001 par value, 66,946,627 shares authorized, 5,214,943 shares issued</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5,069,477 shares outstanding, actual; no shares authorized, issued and outstanding, pro forma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760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$0.0001 par value, 200,228,024 shares authorized 58,367,961 shares issued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actual; 1,000,000,000 shares authorized, 148,960,473 shares issued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pro forma; 1,000,000,000 shares authorized, 160,060,473 shares issued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2"/>
        </w:trPr>
        <w:tc>
          <w:tcPr>
            <w:tcW w:w="760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$0.0001 par value, 5,374,899 shares authorized no shares issued and</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 5,500,000 shares authorized, 5,043,789 shares issued and outstanding, pro</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(3,602)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1,846,167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2,206,971</w:t>
            </w: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(1,489,467)</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(1,979,434)</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(2,053,570)</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(136,905)</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106,306</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309,024</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595,693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$36.00 per share of Class A common stock, the midpoint of the estimated price range set forth on the cover page of this prospectus, would increase (decrease) each of our pro forma as adjusted cash, cash equivalents and restricted cash, additional paid-in capital, total stockholders’ (deficit) equity and total capitalization by approximately $10.3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 $33.5 million, assuming the assumed initial public offering price of $36.00 per share of Class A common stock remains the same, and after deducting estimated underwriting discounts and commissions.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160,060,473 shares of Class A common stock and 5,043,789 shares of Class B common stock outstanding as of March 31, 2024 (assuming the Preferred Stock Conversion), assuming an initial public offering price of $36.00 per share, the midpoint of the estimated price range set forth on the cover page of this prospectus, which will occur upon the closing of this offering, and the Series B Preferred Stock Conversion and Transfer, and excludes:</w:t>
      </w:r>
    </w:p>
    <w:p>
      <w:pPr>
        <w:spacing w:after="0" w:line="92" w:lineRule="exact"/>
        <w:rPr>
          <w:sz w:val="20"/>
          <w:szCs w:val="20"/>
          <w:color w:val="auto"/>
        </w:rPr>
      </w:pPr>
    </w:p>
    <w:p>
      <w:pPr>
        <w:jc w:val="both"/>
        <w:ind w:left="1000" w:hanging="549"/>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5,472,557 shares of Class A common stock issuable on the vesting and settlement of RSUs outstanding as of March 31, 2024 under our 2015 Plan, for which the performance-based vesting condition will be satisfied in connection with this offering, but for which the service-based vesting condition will not be satisfied on or before June 14, 2024;</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1,527,044 shares of Class A common stock issuable upon the settlement of RSUs granted after March 31, 2024 under the 2015 Plan;</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7,430,000 shares of Class A common stock reserved for future issuance under our 2024 Plan, as well as any future increases, including annual automatic evergreen increases (as described in the section of this prospectus titled “Executive Compensation—Equity Incentive Plans”), in the number of shares of Class A common stock reserved for issuance under the 2024 Plan;</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(as described in the section of this prospectus titled “Executive Compensation—Equity Incentive Plans”),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March 31, 2024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 Convertible Promissory Note”;</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Class A common stock, assuming an initial public offering price of $36.00 per share, the midpoint of the estimated price range set forth on the cover page of this prospectus, issuable upon the exercise of the warrant issued to AstraZeneca with an exercise price equal to the initial public offering price, as more fully described in the section of this prospectus titled “Business—Operations—Our Strategic Collaboration— AstraZeneca Master Services Agreement”;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 million in shares of Class A common stock, assuming an initial public offering price of $36.00 per share, the midpoint of the estimated price range set forth on the cover page of this prospectus, issuable to one of our stockholders pursuant to a contingent payment right, which payment may be made in cash or shares of Class A common stock, upon mutual agreement of us and such stockholder;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after similar arrangements pursuant to an exception from our lock-up during the 180-day period following the date of this prospectus, as further described in the section entitled “Underwriting.”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Our historical net tangible book value (deficit) as of March 31, 2024 was $(1,575.0) million, or $(24.83)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63,437,438 shares of common stock outstanding as of March 31, 2024. Our pro forma net tangible book value as of March 31, 2024 was $(237.5) million, or $(1.54) per share. Our pro forma net tangible book value per share represents the amount of our total tangible assets less our total liabilities, divided by the number of our shares of common stock outstanding as of March 31, 2024, after giving effect to</w:t>
      </w:r>
    </w:p>
    <w:p>
      <w:pPr>
        <w:spacing w:after="0" w:line="3" w:lineRule="exact"/>
        <w:rPr>
          <w:sz w:val="20"/>
          <w:szCs w:val="20"/>
          <w:color w:val="auto"/>
        </w:rPr>
      </w:pPr>
    </w:p>
    <w:p>
      <w:pPr>
        <w:jc w:val="both"/>
        <w:ind w:firstLine="5"/>
        <w:spacing w:after="0" w:line="274" w:lineRule="auto"/>
        <w:tabs>
          <w:tab w:leader="none" w:pos="29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B Preferred Stock Conversion and Transfer resulting in 5,043,789 shares of Class B common stock outstanding immediately following the consummation of this offering; (2) the issuance and sale of 3,489,981 shares of Series G-5 convertible preferred stock in April 2024 as if such sale and issuance had occurred on March 31, 2024; (3) the Preferred Stock Conversion resulting in the issuance of 66,935,254 shares of Class A common stock upon the closing of this offering, assuming an initial public offering price of $36.00 per share, the midpoint of the estimated price range set forth on the cover page of this prospectus;</w:t>
      </w:r>
    </w:p>
    <w:p>
      <w:pPr>
        <w:jc w:val="both"/>
        <w:ind w:firstLine="5"/>
        <w:spacing w:after="0" w:line="274" w:lineRule="auto"/>
        <w:tabs>
          <w:tab w:leader="none" w:pos="2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Additional Class A Conversion Share Issuance resulting in the issuance of 5,227,001 Additional Class A Conversion Shares, assuming an initial public offering price of $36.00 per share, the midpoint of the estimated price range set forth on the cover page of this prospectus, upon the conversion of all outstanding shares of our redeemable convertible preferred stock upon the closing of this offering; (5) the payment of $5.6 million of accrued cash dividends on certain shares of our convertible preferred stock on June 4, 2024, as if such payment had occurred on March 31, 2024; (6) the automatic conversion of all of our nonvoting common stock into 5,069,477 shares of Class A common stock, which will occur upon the closing of this offering; (7) the net issuance of 2,527,923 shares of Class A common stock upon the RSU Net Settlement, the issuance of 10,724,524 shares of Class A common stock upon the Additional RSU Settlement and the recognition of stock-based compensation expense of approximately $478.9 million related to the vesting of RSUs outstanding as of March 31, 2024 for which the service-based vesting condition will be satisfied on or before June 14, 2024 and for which the performance-based vesting condition will be satisfied in connection with this offering as further described in Note 10 to our consolidated financial statements included elsewhere in this prospectus; (8) the Warrant Net Exercise; and</w:t>
      </w:r>
    </w:p>
    <w:p>
      <w:pPr>
        <w:jc w:val="both"/>
        <w:ind w:firstLine="5"/>
        <w:spacing w:after="0" w:line="245" w:lineRule="auto"/>
        <w:tabs>
          <w:tab w:leader="none" w:pos="2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upon the closing of this offering. 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18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giving effect to the sale by us of 11,100,000 shares of Class A common stock in this offering at an assumed initial public offering price of $36.00 per share, the midpoint of the estimated price range set forth on the cover page of this prospectus, after deducting estimated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the use of approximately $74.5 million of the net proceeds from this offering to pay tax withholding and remittance obligations related to the RSU Net Settlement, our pro forma as adjusted net tangible book value as of March 31, 2024 would have been $57.4 million, or $0.35 per share. This amount represents an immediate increase in pro forma as adjusted net tangible book value of $1.89 per share to our existing stockholders and an immediate dilution of $35.65 per share to new investors purchasing Class A common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this offering. We determine dilution by subtracting the pro forma as adjusted net tangible book value per share after this 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March 31, 2024</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(24.83)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23.29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2024</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Increase in pro forma as adjusted net tangible book value per share attributable to new investors purchasing shares in this offering</w:t>
            </w: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 offering. Each $1.00 increase (decrease) in the assumed initial public offering price of $36.00 per share of Class A common stock, the midpoint of the estimated price range set forth on the cover page of this prospectus, would increase (decrease) our pro forma as adjusted net tangible book value per share by $0.06 per share and increase (decrease) the dilution to new investors by $0.94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our pro forma as adjusted net tangible book value by approximately $0.20 per share and decrease (increase) the dilution to new investors by approximately $(0.20) per share, in each case assuming the assumed initial public offering price of $36.00 per share of Class A common stock remains the same, and after deducting estimated underwriting discounts and commissions.</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table summarizes, as of March 31, 2024, on a pro forma as adjusted basis as described above, the aggregate number of shares of our Class A common stock and Class B common stock, the total consideration and the average price per share (1) paid to us by existing stockholders, and (2) to be paid by new investors acquiring our Class A common stock in this offering at an assumed initial public offering price of $36.00 per share, the midpoint of the estimated price range set forth on the cover page of this prospectus, before deducting estimated underwriting discounts and commissions and estimated offering expenses payable by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14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4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3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3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$154,004,262</w:t>
            </w: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93.3%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1,846,182,000</w:t>
            </w: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82.2%</w:t>
            </w:r>
          </w:p>
        </w:tc>
        <w:tc>
          <w:tcPr>
            <w:tcW w:w="300" w:type="dxa"/>
            <w:vAlign w:val="bottom"/>
            <w:gridSpan w:val="2"/>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11,100,000</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399,600,000</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165,104,262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2,245,782,000</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$36.00 per share, the midpoint of the estimated price range set forth on the cover page of this prospectus, would increase (decrease) the total consideration paid by new investors and total consideration paid by all stockholders by $10.3 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total consideration paid by new investors and total consideration paid by all stockholders by $33.5 million, assuming the assumed initial public offering price of $36.00 per share of Class A common stock remains the same, and after deducting estimated underwriting discounts and commissions. </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160,060,473 shares of Class A common stock and 5,043,789 shares of Class B common stock outstanding as of March 31, 2024 (assuming the Preferred Stock Conversion), assuming an initial public offering price of $36.00 per share, the midpoint of the estimated price range set forth on the cover page of this prospectus, and the Series B Preferred Stock Conversion and Transfer, and excludes:</w:t>
      </w:r>
    </w:p>
    <w:p>
      <w:pPr>
        <w:spacing w:after="0" w:line="92" w:lineRule="exact"/>
        <w:rPr>
          <w:sz w:val="20"/>
          <w:szCs w:val="20"/>
          <w:color w:val="auto"/>
        </w:rPr>
      </w:pPr>
    </w:p>
    <w:p>
      <w:pPr>
        <w:jc w:val="both"/>
        <w:ind w:left="1000" w:hanging="549"/>
        <w:spacing w:after="0" w:line="255"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5,472,557 of Class A common stock issuable on the vesting and settlement of RSUs outstanding as of March 31, 2024 under our 2015 Plan, for which the performance-based vesting condition will be satisfied in connection with this offering, but for which the service-based vesting condition will not be satisfied on or before June 14, 2024;</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1,527,044 shares of Class A common stock issuable upon the settlement of RSUs granted after March 31, 2024 under the 2015 Plan;</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7,430,000 shares of Class A common stock reserved for future issuance under our 2024 Plan, as well as any future increases, including annual automatic evergreen increases (as described in the section of this prospectus titled “Executive Compensation—Equity Incentive Plans”), in the number of shares of Class A common stock reserved for issuance under the 2024 Plan;</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(as described in the section of this prospectus titled “Executive Compensation—Equity Incentive Plans”),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March 31, 2024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 Convertible Promissory Note”;</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Class A common stock, assuming an initial public offering price of $36.00 per share, the midpoint of the estimated price range set forth on the cover page of this prospectus, issuable upon the exercise of the warrant issued to AstraZeneca with an exercise price equal to the initial public offering price, as more fully described in the section of this prospectus titled “Business—Operations—Our Strategic Collaboration— AstraZeneca Master Services Agreement”;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 million in shares of Class A common stock, assuming an initial public offering price of $36.00 per share, the midpoint of the estimated price range set forth on the cover page of this prospectus, issuable to one of our stockholders pursuant to a contingent payment right, which payment may be made in cash or shares of Class A common stock, upon mutual agreement of us and such stockholder;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other similar arrangement pursuant to an exception from our lock-up during the 180-day period following the date of this prospectus, as further described in the section entitled “Underwriting.”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and RSUs under the 2015 Plan as of March 31, 2024 were exercised or vested and settled, as applicable, then our existing stockholders, including the holders of these options and RSUs, would own approximately 94% and our new investors would own approximately 6%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37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$320.7 million and $531.8 million in the years ended December 31, 2022 and 2023, respectively, and $115.6 million and $145.8 million in the three months ended March 31, 2023 and 2024, respectively. In the years ended December 31, 2022 and 2023 and the three months ended March 31, 2023 and 2024, revenue from one customer accounted for 8.3%, 8.3%, 6.3%, and 6.6%, respectively, of our total revenue. In the year ended December 31, 2023 and the three months ended March 31, 2023 and 2024, revenue from an additional customer accounted for 5.1%, 6.0%, and 5.7% of our total revenue, respectively. The same customer did not represent a significant portion of total revenue for the year ended December 31, 2022. We also incurred net losses of $289.8 million and $214.1 million in the years ended December 31, 2022 and 2023, respectively, and $54.4 million and $64.7 million in the three months ended March 31, 2023 and 2024, respectively. We generated adjusted EBITDA of $(238.8) million and $(154.2) million in the years ended December 31, 2022 and 2023, respectively, and $(45.9) million and $(43.9) million in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three months ended March 31, 2023 and 2024,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the section titled “—Non-GAAP Financial Measure” below.</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diagnostics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5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Although we are only eight years old, the network effects described above have already been demonstrated with the cohort of records that were added to our database from 2018 to 2023. 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below charts, which illustrate the “Cohort Lifetime Values” from 2018 to 2023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142875</wp:posOffset>
            </wp:positionV>
            <wp:extent cx="4834890" cy="62109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34890" cy="621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205105</wp:posOffset>
            </wp:positionV>
            <wp:extent cx="4834890" cy="58858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34890" cy="588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Genomics revenue was $198.0 million and $363.0 million for the years ended December 31, 2022 and 2023, respectively, and $82.1 million and $102.6 million for the three months ended March 31, 2023 and 2024, respectively. Revenue generated from COVID-19 testing was $22.2 million, or 6.9% of our total revenue, for the year ended December 31, 2022. Revenue generated from COVID-19 testing was $2.6 million, or 2.3%, of our total revenue for the three months ended March 31, 2023. Revenue generated from COVID-19 testing was $2.7 million, or 0.5% of total revenue, for the year ended December 31, 2023 and $0 for the three months ended March 31, 2024, as we stopped offering COVID-19 PCR diagnostic tests in the first quarter of 2023.</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Inclusive of xR, oncology NGS tests delivered for the years ended December 31, 2019, 2020, 2021, 2022 and 2023 were approximately 40,600, 64,300, 97,000, 148,000 and 218,700,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upon the completion of performance obligations for related services, or ratably over time in the case of subscriptions.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Trials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sites (hospitals), and clinical trial sponsors (life sciences companies). The fees charged to sponsors are typically fixed and based on a per match and/or per enrollment basis. Revenue from our Trials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provide other clinical trial services and conduct our own studies as part of our Trials program, all with a goal of identifying new therapies and bringing them to market more efficiently. In January 2022, we acquired Highline Consulting, LLC, or Highline,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The products and services within our Trials program complement each other to create a suite of integrated solutions for life sciences companies from early discovery to commercialization.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services revenue was $122.7 million and $168.8 million for the years ended December 31, 2022 and 2023, respectively, and $33.6 million and $43.3 million for the three months ended March 31, 2023 and 2024, respectively. Our Data and services revenue is typically back-weighted towards the second half of the year based on the budgeting cycles of our customers.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Applications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launched our Algos product line in the fourth quarter of 2020 and currently offer a suite of algorithmic tests in oncology: our Tumor Origin, TO, test, our Homologous Recombination Deficiency, HRD, test, and our Dihydropyrimidine Dehydrogenase Deficiency, DPYD, test. Prior to January 1, 2023, we would typically bill commercial payers or government-funded programs (i.e., Medicare and Medicaid) after delivering a test result, similar to our Genomics product line. The amount that we would charge varied depending on the algorithms being run, the party being billed and other information about the patient’s diagnosis. Revenue was generally recognized based on estimated cash receipts determined by historical and current payment trends. We reported our Algos revenue within our Data and services product line. Beginning January 1, 2023, these three Algos are no longer being billed as individual tests as there is now a dedicated current procedural terminology, or CPT, code associated with the underlying laboratory diagnostic. Instead, we submit claims for the diagnostic, and revenue associated with those claims will be reported in our Genomics product line.</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Through our acquisitions of Mpirik Inc., or Mpirik, and Arterys, Inc., we also have algorithmic solutions in market to identify potential care gaps and identify at-risk patients in cardiology. To date, revenue from these offerings are derived from the institution deploying the solutions.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AI Applications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to $320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$320 million. See “Business—Operations—Our Strategic Collaboration—AstraZeneca Master Services Agreement.”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The contingent payments have been, and will be, recorded pro rata over the two years following the closing within selling, general and administrative expense. In addition, the Sellers are entitled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RSUs with an aggregate value of $4.0 million to be allocated among Highline employees retained by us. The retention bonus pool will be recorded as compensation expense over the requisite service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$83.2 million and $90.3 million during the years ended December 31, 2022 and 2023, respectively, and $20.9 million and $24.3 million during the three months ended March 31, 2023 and 2024,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7,000 physicians and we have worked with over 200 biotech companies, as well as 19 of the 20 largest public pharmaceutical companies based on 2023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$79.1 million and $95.2 million during the years ended December 31, 2022 and 2023, respectively, and $22.9 million and $27.1 million during the three months ended March 31, 2023 and 2024,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2023, we had received payment on approximately 50% of our clinical oncology NGS tests across all payors performed from January 1, 2021 through December 31, 2022. We calculated this metric on a trailing basis based on payor adjudication timing. However, we continued to perform our NGS tests through December 31, 2023. For the years ended December 31, 2019, 2020, 2021, 2022 and 2023, our average reimbursement for NGS tests in oncology was approximately $633, $736, $714, $916 and $1,452,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$22.2 million of revenue for the year ended December 31, 2022 and $2.6 million for the three months ended March 31, 2023.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from COVID-19 for the year ended December 31, 2023 and the three months ended March 31, 2024 was $2.7 million and $0 million, respectively, as we stopped offering COVID-19 PCR diagnostic tests in the first quarter of 2023, at which time we shifted resources from COVID-19 testing to other aspects of the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Our total cost of revenues will also increase in the quarter in which this offering occurs due to stock-based compensation expenses of approximately $18.0 million related to RSUs for which the service-based vesting condition was satisfied and for which the performance-based vesting condition will be satisfied in connection with this offering.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 quarter in which this offering occurs due to stock-based compensation expenses of approximately $44.2 million related to RSUs for which the service-based vesting condition was satisfied and for which the performance-based vesting condition will be satisfied in connection with this offering.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Our technology research and development expense will increase in the quarter in which this offering occurs due to stock-based compensation expenses of approximately $52.6 million related to RSUs for which the service-based vesting condition was satisfied and for which the performance-based vesting condition will be satisfied in connection with this offering.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 stock-based compensation expenses of approximately $364.1 million related to RSUs for which the service-based vesting condition was satisfied and for which the performance-based vesting condition will be satisfied in connection with this offering and we will continue to record stock-based compensation expenses associated with the vesting of RSUs in the quarter in which such vestings occur following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below), and finance leases. Interest expense related to our convertible debt will continue, but should decrease over time as the principal amount decreases.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gains and losses on marketable equity securities,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Inc. The fair value of the warrant assets and liabilities are measured each reporting period.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900" w:type="dxa"/>
            <w:vAlign w:val="bottom"/>
            <w:gridSpan w:val="3"/>
          </w:tcPr>
          <w:p>
            <w:pPr>
              <w:jc w:val="right"/>
              <w:ind w:right="178"/>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780" w:type="dxa"/>
            <w:vAlign w:val="bottom"/>
            <w:gridSpan w:val="2"/>
          </w:tcPr>
          <w:p>
            <w:pPr>
              <w:jc w:val="right"/>
              <w:ind w:right="58"/>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197,984</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82,058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services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122,684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33,566</w:t>
            </w: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43,251</w:t>
            </w:r>
          </w:p>
        </w:tc>
        <w:tc>
          <w:tcPr>
            <w:tcW w:w="0" w:type="dxa"/>
            <w:vAlign w:val="bottom"/>
          </w:tcPr>
          <w:p>
            <w:pPr>
              <w:spacing w:after="0"/>
              <w:rPr>
                <w:sz w:val="1"/>
                <w:szCs w:val="1"/>
                <w:color w:val="auto"/>
              </w:rPr>
            </w:pPr>
          </w:p>
        </w:tc>
      </w:tr>
      <w:tr>
        <w:trPr>
          <w:trHeight w:val="221"/>
        </w:trPr>
        <w:tc>
          <w:tcPr>
            <w:tcW w:w="4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revenue</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115,624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$145,820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150,255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45,280</w:t>
            </w:r>
          </w:p>
        </w:tc>
        <w:tc>
          <w:tcPr>
            <w:tcW w:w="94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52,835</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40,227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56,482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15,288</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79,093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95,155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22,902</w:t>
            </w:r>
          </w:p>
        </w:tc>
        <w:tc>
          <w:tcPr>
            <w:tcW w:w="94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27,067</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83,158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90,343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20,863</w:t>
            </w: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24,340</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233,377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69,047</w:t>
            </w:r>
          </w:p>
        </w:tc>
        <w:tc>
          <w:tcPr>
            <w:tcW w:w="94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79,564</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586,110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169,485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(196,083</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(53,861</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(53,274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(21,894)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(46,869)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(9,191)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(4,846)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21,822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(213,529)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(54,240)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 (64,732)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(289,811)</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6"/>
              </w:rPr>
              <w:t>(214,118)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7"/>
              </w:rPr>
              <w:t>(54,377)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(64,743)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2023 and 2024</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Total revenue was $115.6 million for the three months ended March 31, 2023 compared to $145.8 million for the three months ended March 31, 2024, an increase of $30.2 million, or 26.1%. The increase in revenue is due to increased volume of clinical oncology tests performed in Genomics and increased data deliveries in our Data and Services product line.</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Genomics revenue increased $20.5 million, or 25.0%, from $82.1 million for the three months ended March 31, 2023, compared to $102.6 million for the three months ended March 31, 2024. This increase is primarily due to the increase in the number of oncology NGS tests, which increased from approximately 48,400 tests for the three months ended March 31, 2023 to approximately 62,700 tests for the three months ended March 31, 2024.</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services revenue increased $9.7 million, or 28.9%, from $33.6 million for the three months ended March 31, 2023, compared to $43.3 million for the three months ended March 31, 2024. This increase is driven primarily by approximately $1.0 million in clinical trial services revenue, and approximately $8.5 million from</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increased demand for our Insights products. Across all Data and services products, the increase in revenue for the three months ended March 31, 2024 is primarily attributable to the adoption of our services by a new customer that began services in the fourth quarter of 2023, as well as continued growth from within our existing customer base.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was $56.7 million for the three months ended March 31, 2023 compared to $68.1 million for the three months ended March 31, 2024, an increase of $11.5 million, or 20.2%. This increase was primarily due to an increase of $5.3 million in personnel costs, $2.7 million of material and service costs, and $1.7 million in cloud expenses.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Genomics was $45.3 million for the three months ended March 31, 2023, compared to $52.8 million for the three months ended March 31, 2024, an increase of $7.6 million, or 16.7%. This increase was primarily due to an increase of $2.7 million in material and service costs and a $3.7 million increase in personnel costs.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$11.4 million for the three months ended March 31, 2023 compared to $15.3 million for the three months ended March 31, 2024, an increase of $3.9 million, or 34.2%. This increase was primarily due to an increase of $1.6 million in personnel costs and an increase of $1.2 million in cloud expenses.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$20.9 million for the three months ended March 31, 2023 compared to $24.3 million for the three months ended March 31, 2024, an increase of $3.5 million, or 16.7%. This increase was primarily due to an increase of $2.3 million in personnel-related costs for employees in our research and development group, as we increased our spend and headcount to support continued investment in our technology.</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$22.9 million for the three months ended March 31, 2023 compared to $27.1 million for the three months ended March 31, 2024, an increase of $4.2 million, or 18.2%.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were $69.0 million for the three months ended March 31, 2023 compared to $79.6 million for the three months ended March 31, 2024, an increase of $10.5 million, or 15.2%. This increase was primarily due to an increase of $3.6 million in personnel-related costs, $1.9 million in software and tools costs, and $3.5 million in cloud storage costs.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$2.4 million for the three months ended March 31, 2023 compared to $1.0 million for the three months ended March 31, 2024, a decrease of $1.4 million, or 57.5%. This decrease was primarily due to lower cash on hand as of March 31, 2024 compared to March 31, 2023.</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expense was $9.2 million for the three months ended March 31, 2023 compared to $13.2 million for the three months ended March 31, 2024, an increase of $4.0 million, or 44.0%. This increase was primarily driven by compounding interest on our Amended Note.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income, net was $6.4 million for the three months ended March 31, 2023, compared to other income, net of $0.7 million for the three months ended March 31, 2024, a decrease of $5.6 million, or 88.3%. This decrease was primarily driven by a decrease of $11.9 million in gains related to fair value adjustments related to our warrant liability and warrant asset, offset by an increase of $6.2 million due to gains on marketable equity securities.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a loss of $0.1 million and $0 million for the three months ended March 31, 2023 and 2024, respectively. For the three months ended March 31, 2024, losses from equity method investments decreased by $0.1 million, or 100%, compared to the three months ended March 31, 2023. Losses from equity method investments consisted of earnings from our joint venture into which we entered during the third quarter of 2020. All losses from the joint venture have thus been exhausted.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2023</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$320.7 million for the year ended December 31, 2022 compared to $531.8 million for the year ended December 31, 2023, an increase of $211.2 million, or 65.8%. Adjusted for the impact of COVID-19 PCR testing, revenue increased $230.6 million, or 77.3%, from $298.5 million for the year ended December 31, 2022, compared to $529.1 million for the year ended December 31, 2023. The increase in revenue is due to increased volume and reimbursement of clinical oncology tests performed in Genomics and increased data deliveries in our Data and Services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Genomics revenue increased $165.0 million, or 83.4%, from $198.0 million for the year ended December 31, 2022, compared to $363.0 million for the year ended December 31, 2023. Revenue from COVID-19 PCR testing decreased $19.5 million. This decrease was offset by a $184.5 million increase in Genomics revenue primarily due to an increase in the number of oncology NGS tests, which increased from approximately 148,000 tests for the year ended December 31, 2022 to approximately 218,700 tests for the year ended December 31, 2023. 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prior to January 1, 2023. In the year ended December 31, 2023, we experienced greater success than estimated in prior years when appealing initial denials for claims for our services. Also contributing to the increase was revenue recognized as a result from cash collections in excess of revenue recognized in prior years, which resulted in an increase of $7.6 million to Genomics revenue. The increase in Genomics revenue was offset by an increase of $10.0 million in a revenue reserve recorded for risks of future reversal of consideration associated with certain government payors.</w:t>
      </w:r>
    </w:p>
    <w:p>
      <w:pPr>
        <w:spacing w:after="0" w:line="2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services increased $46.1 million, or 37.6%, from $122.7 million for the year ended December 31, 2022, compared to $168.8 million for the year ended December 31, 2023. This increase is driven primarily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$14.4 million in clinical trial services revenue, and approximately $29.2 million from increased demand for our Insights products. Across all Data and services products, the increase in revenue in 2023 is primarily attributable to continued growth from within our existing customer base, as well continued adoption of our services by new customers that did not purchase services in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$190.5 million for the year ended December 31, 2022 compared to $245.6 million for the year ended December 31, 2023, an increase of $55.1 million, or 29.0%. Adjusted for the impact of COVID-19 PCR testing, cost of revenue increased $72.7 million, or 42.4%, from $171.5 million for the year ended December 31, 2022, compared to $244.2 million for the year ended December 31, 2023. This increase was primarily due to an increase of $25.1 million in personnel costs, $24.8 million of material and service costs, and $3.7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Cost of revenues, Genomics was $150.3 million for the year ended December 31, 2022, compared to $189.2 million for the year ended December 31, 2023, an increase of $38.9 million, or 25.9%. Cost of revenues Genomics, adjusted for the impact of COVID-19 PCR testing, was $131.3 million for the year ended December 31, 2022, compared to $187.7 million for the year ended December 31, 2023, an increase of $56.4 million, or 43.0%. This increase was primarily due to an increase of $24.8 million in material and service costs and a $14.6 million increase in personnel costs. Cost of revenues, Genomics has not increased in line with Genomics revenue due to the change in billing for xR tests. Although billable oncology NGS testing volume increased by approximately 122,800, xR tests were being performed and incurring cost in both years. Inclusive of xR, oncology NGS testing volume would have been approximately 148,000 for the year ended December 31, 2022 compared to 218,700 for the year ended December 31, 2023, an increase of approximately 70,700, which more closely aligns to the increase in Cost of revenues, Genomics.</w:t>
      </w:r>
    </w:p>
    <w:p>
      <w:pPr>
        <w:spacing w:after="0" w:line="2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$40.2 million for the year ended December 31, 2022 compared to $56.5 million for the year ended December 31, 2023, an increase of $16.3 million, or 40.4%. This increase was primarily due to an increase of $10.5 million in personnel costs and an increase of $2.1 million in cloud expenses.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$83.2 million for the year ended December 31, 2022 compared to $90.3 million for the year ended December 31, 2023, an increase of $7.2 million, or 8.6%. This increase was primarily due to an increase in personnel-related costs for employees in our research and development group, as we increased our spend and headcount to support continued investment in our technology.</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$79.1 million for the year ended December 31, 2022 compared to $95.2 million for the year ended December 31, 2023, an increase of $16.1 million, or 20.3%. This increase was primarily due to an increase in personnel-related costs associated with the investment in our cloud infrastructure and new lines of business.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Selling, general and administrative expenses were $233.4 million for the year ended December 31, 2022 compared to $296.8 million for the year ended December 31, 2023, an increase of $63.4 million, or 27.2%. This increase was primarily due to an increase of $19.7 million in personnel-related costs, $12.6 million in software and tools costs, $8.8 million in cloud storage costs, $8.6 million in settlement costs, and $3.5 million due to change in fair value of contingent consideration.</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$3.0 million for the year ended December 31, 2022 compared to $7.6 million for the year ended December 31, 2023, an increase of $4.6 million, or 150.7%.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$21.9 million for the year ended December 31, 2022 compared to $46.9 million for the year ended December 31, 2023, an increase of $25.0 million, or 114.1%.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Other (expense) income, net was ($4.8) million for the year ended December 31, 2022, compared to other (expense) income, net of $21.8 million for the year ended December 31, 2023, an increase in income of $26.7 million, or 550.3%. This increase was primarily driven by an increase of $12.1 million in gains related to fair value adjustments related to our warrant liability and warrant asset, and an increase of $9.8 million due to unrealized gains on marketable equity securities.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 joint venture in September 2020, which had a loss of $0.6 million and $0.3 million for the years ended December 31, 2022 and 2023, respectively. For the year ended December 31, 2023, losses from equity method investments decreased by an immaterial amount compared to the year ended December 31, 2023. Losses from equity method investments consist of earnings from our joint venture into which we entered during the third quarter of 2020.</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March 31, 2024.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4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420" w:type="dxa"/>
            <w:vAlign w:val="bottom"/>
          </w:tcPr>
          <w:p>
            <w:pPr>
              <w:spacing w:after="0"/>
              <w:rPr>
                <w:sz w:val="9"/>
                <w:szCs w:val="9"/>
                <w:color w:val="auto"/>
              </w:rPr>
            </w:pPr>
          </w:p>
        </w:tc>
        <w:tc>
          <w:tcPr>
            <w:tcW w:w="680" w:type="dxa"/>
            <w:vAlign w:val="bottom"/>
            <w:gridSpan w:val="2"/>
          </w:tcPr>
          <w:p>
            <w:pPr>
              <w:jc w:val="right"/>
              <w:ind w:right="101"/>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80" w:type="dxa"/>
            <w:vAlign w:val="bottom"/>
          </w:tcPr>
          <w:p>
            <w:pPr>
              <w:spacing w:after="0"/>
              <w:rPr>
                <w:sz w:val="9"/>
                <w:szCs w:val="9"/>
                <w:color w:val="auto"/>
              </w:rPr>
            </w:pPr>
          </w:p>
        </w:tc>
        <w:tc>
          <w:tcPr>
            <w:tcW w:w="88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82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740" w:type="dxa"/>
            <w:vAlign w:val="bottom"/>
            <w:gridSpan w:val="3"/>
          </w:tcPr>
          <w:p>
            <w:pPr>
              <w:jc w:val="right"/>
              <w:ind w:right="81"/>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1"/>
              <w:spacing w:after="0" w:line="10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9"/>
                <w:szCs w:val="9"/>
                <w:color w:val="auto"/>
              </w:rPr>
            </w:pPr>
          </w:p>
        </w:tc>
        <w:tc>
          <w:tcPr>
            <w:tcW w:w="88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9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720" w:type="dxa"/>
            <w:vAlign w:val="bottom"/>
            <w:gridSpan w:val="2"/>
          </w:tcPr>
          <w:p>
            <w:pPr>
              <w:jc w:val="right"/>
              <w:ind w:right="23"/>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4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revenue</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42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Genomics</w:t>
            </w:r>
            <w:r>
              <w:rPr>
                <w:rFonts w:ascii="Times New Roman" w:cs="Times New Roman" w:eastAsia="Times New Roman" w:hAnsi="Times New Roman"/>
                <w:sz w:val="22"/>
                <w:szCs w:val="22"/>
                <w:color w:val="auto"/>
                <w:vertAlign w:val="superscript"/>
              </w:rPr>
              <w:t>1</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6"/>
              </w:rPr>
              <w:t>$ 47,421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54,732</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57,929</w:t>
            </w: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82,058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91,924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96,815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92,225</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102,569</w:t>
            </w: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Data and services</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26,297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33,566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40,493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39,242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55,499</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43,251</w:t>
            </w:r>
          </w:p>
        </w:tc>
        <w:tc>
          <w:tcPr>
            <w:tcW w:w="0" w:type="dxa"/>
            <w:vAlign w:val="bottom"/>
          </w:tcPr>
          <w:p>
            <w:pPr>
              <w:spacing w:after="0"/>
              <w:rPr>
                <w:sz w:val="1"/>
                <w:szCs w:val="1"/>
                <w:color w:val="auto"/>
              </w:rPr>
            </w:pPr>
          </w:p>
        </w:tc>
      </w:tr>
      <w:tr>
        <w:trPr>
          <w:trHeight w:val="199"/>
        </w:trPr>
        <w:tc>
          <w:tcPr>
            <w:tcW w:w="4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net revenue</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$ 73,718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115,624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132,417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147,724</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and operating expenses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2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Cost of revenues, genomics</w:t>
            </w:r>
            <w:r>
              <w:rPr>
                <w:rFonts w:ascii="Times New Roman" w:cs="Times New Roman" w:eastAsia="Times New Roman" w:hAnsi="Times New Roman"/>
                <w:sz w:val="22"/>
                <w:szCs w:val="22"/>
                <w:color w:val="auto"/>
                <w:vertAlign w:val="superscript"/>
              </w:rPr>
              <w:t>1</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34,266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45,280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46,961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46,540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50,384</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52,835</w:t>
            </w: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revenues, data and services</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11,102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11,393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13,807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15,490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15,792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15,288</w:t>
            </w:r>
          </w:p>
        </w:tc>
        <w:tc>
          <w:tcPr>
            <w:tcW w:w="0" w:type="dxa"/>
            <w:vAlign w:val="bottom"/>
          </w:tcPr>
          <w:p>
            <w:pPr>
              <w:spacing w:after="0"/>
              <w:rPr>
                <w:sz w:val="1"/>
                <w:szCs w:val="1"/>
                <w:color w:val="auto"/>
              </w:rPr>
            </w:pPr>
          </w:p>
        </w:tc>
      </w:tr>
      <w:tr>
        <w:trPr>
          <w:trHeight w:val="209"/>
        </w:trPr>
        <w:tc>
          <w:tcPr>
            <w:tcW w:w="4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(66,557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(58,615</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(53,861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(45,138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(73,691)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(66,285)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8"/>
              </w:rPr>
              <w:t>(54,377)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(50,483)</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(64,743)</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line="230" w:lineRule="exact"/>
              <w:rPr>
                <w:sz w:val="20"/>
                <w:szCs w:val="20"/>
                <w:color w:val="auto"/>
              </w:rPr>
            </w:pP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6"/>
                <w:szCs w:val="16"/>
                <w:b w:val="1"/>
                <w:bCs w:val="1"/>
                <w:color w:val="auto"/>
              </w:rPr>
              <w:t>Revenue and cost of revenue from COVID-19 testing</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Genomics</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6"/>
        </w:trPr>
        <w:tc>
          <w:tcPr>
            <w:tcW w:w="4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revenue, genomics</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3,962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5"/>
        <w:spacing w:after="0" w:line="267" w:lineRule="auto"/>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change in estimate, $3.1 million of Genomics revenue reflected in the three months ended September 30, 2022 was reclassified to the three months ended June 30, 2022.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COVID-19 testing has impacted the Genomics revenue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second quarter of 2022, we experienced a significant uptick in reimbursement rates from Medicare, which contributed to increased Genomics revenue relative to Cost of revenue, Genomics during the second half of the year.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which has increased Genomics revenue relative to Cost of revenue, Genomics in 2023.</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Costs associated with COVID-19 testing has impacted the Cost of revenues, genomics line as illustrated in the table above.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data and services has decreased relative to the increase in Data and services revenue due to continued growth of Insights products, which have a higher margin of approximately 76%, compared to Trials products, which had a margin of approximately 42%, for the year ended December 31, 2023. Insights products had a margin of approximately 73%, compared to Trials products, which had a margin of approximately 42% for the three months ended March 31, 2024.</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accounting principles generally accepted in the United States of America, or GAAP, we use adjusted EBITDA, as described below, to facilitate analysis of our financial and business trends and for internal planning and forecasting purposes.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EBITDA is defined as earnings before interest, taxes, depreciation and amortization. We define adjusted EBITDA as net income (loss), adjusted to exclude</w:t>
      </w:r>
    </w:p>
    <w:p>
      <w:pPr>
        <w:spacing w:after="0" w:line="44" w:lineRule="exact"/>
        <w:rPr>
          <w:sz w:val="20"/>
          <w:szCs w:val="20"/>
          <w:color w:val="auto"/>
        </w:rPr>
      </w:pPr>
    </w:p>
    <w:p>
      <w:pPr>
        <w:jc w:val="both"/>
        <w:ind w:firstLine="5"/>
        <w:spacing w:after="0" w:line="243" w:lineRule="auto"/>
        <w:tabs>
          <w:tab w:leader="none" w:pos="2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(ii) interest expense, (iii) depreciation and amortization, (iv) provision for (benefit from) income taxes, (v) losses on equity method investments, (vi) change in fair value of warrant liabilities, contingent consideration and warrant asset, (vii) acquisition-related expenses and (viii) non-capitalizable expenses related to the public listing of our Class A common stock and the settlement of certain historical and potential future disputes.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we have included adjusted EBITDA in this prospectus because it is a key measurement used by our management internally to make operating decisions, including those related to analyzing operating expenses, evaluating performance, and performing strategic planning and annual budgeting.</w:t>
      </w:r>
    </w:p>
    <w:p>
      <w:pPr>
        <w:spacing w:after="0" w:line="197"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78" w:lineRule="exact"/>
        <w:rPr>
          <w:sz w:val="20"/>
          <w:szCs w:val="20"/>
          <w:color w:val="auto"/>
        </w:rPr>
      </w:pPr>
    </w:p>
    <w:p>
      <w:pPr>
        <w:ind w:left="1000" w:hanging="549"/>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cash available to us;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change in fair value of warrant liabilities, contingent consideration and warrant asset.</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adjusted EBITDA, along with net loss, the most directly comparable GAAP measure, for each period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69"/>
        </w:trPr>
        <w:tc>
          <w:tcPr>
            <w:tcW w:w="2420" w:type="dxa"/>
            <w:vAlign w:val="bottom"/>
          </w:tcPr>
          <w:p>
            <w:pPr>
              <w:spacing w:after="0"/>
              <w:rPr>
                <w:sz w:val="14"/>
                <w:szCs w:val="14"/>
                <w:color w:val="auto"/>
              </w:rPr>
            </w:pP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r>
      <w:tr>
        <w:trPr>
          <w:trHeight w:val="138"/>
        </w:trPr>
        <w:tc>
          <w:tcPr>
            <w:tcW w:w="242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1"/>
              </w:rPr>
              <w:t>$(73,691)</w:t>
            </w: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(68,545)</w:t>
            </w: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(66,285)</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6"/>
              </w:rPr>
              <w:t>$  (54,377)</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7"/>
              </w:rPr>
              <w:t>$(55,832)</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(53,426)</w:t>
            </w: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(50,483)</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6"/>
              </w:rPr>
              <w:t>$  (64,743)</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Adjustments:</w:t>
            </w: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42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Interest income</w:t>
            </w:r>
          </w:p>
        </w:tc>
        <w:tc>
          <w:tcPr>
            <w:tcW w:w="2020" w:type="dxa"/>
            <w:vAlign w:val="bottom"/>
            <w:gridSpan w:val="3"/>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(147)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(668)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(2,143)</w:t>
            </w:r>
          </w:p>
        </w:tc>
        <w:tc>
          <w:tcPr>
            <w:tcW w:w="92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(2,424)</w:t>
            </w:r>
          </w:p>
        </w:tc>
        <w:tc>
          <w:tcPr>
            <w:tcW w:w="920" w:type="dxa"/>
            <w:vAlign w:val="bottom"/>
            <w:gridSpan w:val="3"/>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(1,957)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(1,483)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(1,737)</w:t>
            </w:r>
          </w:p>
        </w:tc>
        <w:tc>
          <w:tcPr>
            <w:tcW w:w="82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(1,031)</w:t>
            </w:r>
          </w:p>
        </w:tc>
      </w:tr>
      <w:tr>
        <w:trPr>
          <w:trHeight w:val="144"/>
        </w:trPr>
        <w:tc>
          <w:tcPr>
            <w:tcW w:w="242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Interest expense</w:t>
            </w:r>
          </w:p>
        </w:tc>
        <w:tc>
          <w:tcPr>
            <w:tcW w:w="2020" w:type="dxa"/>
            <w:vAlign w:val="bottom"/>
            <w:gridSpan w:val="3"/>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3,855</w:t>
            </w: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4,526</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9,223</w:t>
            </w:r>
          </w:p>
        </w:tc>
        <w:tc>
          <w:tcPr>
            <w:tcW w:w="92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9,191</w:t>
            </w:r>
          </w:p>
        </w:tc>
        <w:tc>
          <w:tcPr>
            <w:tcW w:w="920" w:type="dxa"/>
            <w:vAlign w:val="bottom"/>
            <w:gridSpan w:val="3"/>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11,712</w:t>
            </w:r>
          </w:p>
        </w:tc>
        <w:tc>
          <w:tcPr>
            <w:tcW w:w="18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12,342</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13,624</w:t>
            </w:r>
          </w:p>
        </w:tc>
        <w:tc>
          <w:tcPr>
            <w:tcW w:w="8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13,238</w:t>
            </w:r>
          </w:p>
        </w:tc>
      </w:tr>
      <w:tr>
        <w:trPr>
          <w:trHeight w:val="144"/>
        </w:trPr>
        <w:tc>
          <w:tcPr>
            <w:tcW w:w="242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Depreciation</w:t>
            </w:r>
          </w:p>
        </w:tc>
        <w:tc>
          <w:tcPr>
            <w:tcW w:w="2020" w:type="dxa"/>
            <w:vAlign w:val="bottom"/>
            <w:gridSpan w:val="3"/>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3,891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4,526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4,780</w:t>
            </w:r>
          </w:p>
        </w:tc>
        <w:tc>
          <w:tcPr>
            <w:tcW w:w="920" w:type="dxa"/>
            <w:vAlign w:val="bottom"/>
            <w:gridSpan w:val="3"/>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5,060</w:t>
            </w:r>
          </w:p>
        </w:tc>
        <w:tc>
          <w:tcPr>
            <w:tcW w:w="920" w:type="dxa"/>
            <w:vAlign w:val="bottom"/>
            <w:gridSpan w:val="3"/>
            <w:shd w:val="clear" w:color="auto" w:fill="CCEEFF"/>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5,194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5,404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5,621</w:t>
            </w:r>
          </w:p>
        </w:tc>
        <w:tc>
          <w:tcPr>
            <w:tcW w:w="82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6,269</w:t>
            </w:r>
          </w:p>
        </w:tc>
      </w:tr>
      <w:tr>
        <w:trPr>
          <w:trHeight w:val="183"/>
        </w:trPr>
        <w:tc>
          <w:tcPr>
            <w:tcW w:w="2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w:t>
            </w:r>
          </w:p>
        </w:tc>
        <w:tc>
          <w:tcPr>
            <w:tcW w:w="2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3,249</w:t>
            </w:r>
          </w:p>
        </w:tc>
        <w:tc>
          <w:tcPr>
            <w:tcW w:w="18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3,457</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3,469</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2,888</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3,043</w:t>
            </w:r>
          </w:p>
        </w:tc>
        <w:tc>
          <w:tcPr>
            <w:tcW w:w="1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2,920</w:t>
            </w: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2,919</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2,920</w:t>
            </w: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Borders>
              <w:top w:val="single" w:sz="8" w:color="CCEEFF"/>
            </w:tcBorders>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8"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66</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3</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520"/>
              <w:spacing w:after="0" w:line="138" w:lineRule="exact"/>
              <w:rPr>
                <w:sz w:val="20"/>
                <w:szCs w:val="20"/>
                <w:color w:val="auto"/>
              </w:rPr>
            </w:pPr>
            <w:r>
              <w:rPr>
                <w:rFonts w:ascii="Times New Roman" w:cs="Times New Roman" w:eastAsia="Times New Roman" w:hAnsi="Times New Roman"/>
                <w:sz w:val="14"/>
                <w:szCs w:val="14"/>
                <w:color w:val="auto"/>
                <w:w w:val="85"/>
              </w:rPr>
              <w:t>65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214</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Losses on equity method investments</w:t>
            </w:r>
          </w:p>
        </w:tc>
        <w:tc>
          <w:tcPr>
            <w:tcW w:w="840" w:type="dxa"/>
            <w:vAlign w:val="bottom"/>
            <w:gridSpan w:val="2"/>
          </w:tcPr>
          <w:p>
            <w:pPr>
              <w:ind w:left="620"/>
              <w:spacing w:after="0" w:line="145" w:lineRule="exact"/>
              <w:rPr>
                <w:sz w:val="20"/>
                <w:szCs w:val="20"/>
                <w:color w:val="auto"/>
              </w:rPr>
            </w:pPr>
            <w:r>
              <w:rPr>
                <w:rFonts w:ascii="Times New Roman" w:cs="Times New Roman" w:eastAsia="Times New Roman" w:hAnsi="Times New Roman"/>
                <w:sz w:val="14"/>
                <w:szCs w:val="14"/>
                <w:color w:val="auto"/>
                <w:w w:val="95"/>
              </w:rPr>
              <w:t>165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131</w:t>
            </w:r>
          </w:p>
        </w:tc>
        <w:tc>
          <w:tcPr>
            <w:tcW w:w="740" w:type="dxa"/>
            <w:vAlign w:val="bottom"/>
            <w:gridSpan w:val="2"/>
          </w:tcPr>
          <w:p>
            <w:pPr>
              <w:ind w:left="540"/>
              <w:spacing w:after="0" w:line="145" w:lineRule="exact"/>
              <w:rPr>
                <w:sz w:val="20"/>
                <w:szCs w:val="20"/>
                <w:color w:val="auto"/>
              </w:rPr>
            </w:pPr>
            <w:r>
              <w:rPr>
                <w:rFonts w:ascii="Times New Roman" w:cs="Times New Roman" w:eastAsia="Times New Roman" w:hAnsi="Times New Roman"/>
                <w:sz w:val="14"/>
                <w:szCs w:val="14"/>
                <w:color w:val="auto"/>
                <w:w w:val="85"/>
              </w:rPr>
              <w:t>131</w:t>
            </w:r>
          </w:p>
        </w:tc>
        <w:tc>
          <w:tcPr>
            <w:tcW w:w="180" w:type="dxa"/>
            <w:vAlign w:val="bottom"/>
          </w:tcPr>
          <w:p>
            <w:pPr>
              <w:spacing w:after="0"/>
              <w:rPr>
                <w:sz w:val="12"/>
                <w:szCs w:val="12"/>
                <w:color w:val="auto"/>
              </w:rPr>
            </w:pPr>
          </w:p>
        </w:tc>
        <w:tc>
          <w:tcPr>
            <w:tcW w:w="62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w w:val="85"/>
              </w:rPr>
              <w:t>170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000" w:type="dxa"/>
            <w:vAlign w:val="bottom"/>
            <w:gridSpan w:val="3"/>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3,200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1,200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500</w:t>
            </w:r>
          </w:p>
        </w:tc>
        <w:tc>
          <w:tcPr>
            <w:tcW w:w="92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(6,400)</w:t>
            </w:r>
          </w:p>
        </w:tc>
        <w:tc>
          <w:tcPr>
            <w:tcW w:w="62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w w:val="85"/>
              </w:rPr>
              <w:t>700</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(2,300)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Gain on marketable equity securities</w:t>
            </w:r>
          </w:p>
        </w:tc>
        <w:tc>
          <w:tcPr>
            <w:tcW w:w="320" w:type="dxa"/>
            <w:vAlign w:val="bottom"/>
          </w:tcPr>
          <w:p>
            <w:pPr>
              <w:spacing w:after="0"/>
              <w:rPr>
                <w:sz w:val="12"/>
                <w:szCs w:val="12"/>
                <w:color w:val="auto"/>
              </w:rPr>
            </w:pPr>
          </w:p>
        </w:tc>
        <w:tc>
          <w:tcPr>
            <w:tcW w:w="6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(9,807)</w:t>
            </w:r>
          </w:p>
        </w:tc>
        <w:tc>
          <w:tcPr>
            <w:tcW w:w="820" w:type="dxa"/>
            <w:vAlign w:val="bottom"/>
            <w:gridSpan w:val="3"/>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(6,246)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00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(1,612)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Change in fair value of warrant asset</w:t>
            </w:r>
          </w:p>
        </w:tc>
        <w:tc>
          <w:tcPr>
            <w:tcW w:w="320" w:type="dxa"/>
            <w:vAlign w:val="bottom"/>
          </w:tcPr>
          <w:p>
            <w:pPr>
              <w:spacing w:after="0"/>
              <w:rPr>
                <w:sz w:val="12"/>
                <w:szCs w:val="12"/>
                <w:color w:val="auto"/>
              </w:rPr>
            </w:pPr>
          </w:p>
        </w:tc>
        <w:tc>
          <w:tcPr>
            <w:tcW w:w="6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(4,100)</w:t>
            </w:r>
          </w:p>
        </w:tc>
        <w:tc>
          <w:tcPr>
            <w:tcW w:w="8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Settlement costs</w:t>
            </w:r>
            <w:r>
              <w:rPr>
                <w:rFonts w:ascii="Times New Roman" w:cs="Times New Roman" w:eastAsia="Times New Roman" w:hAnsi="Times New Roman"/>
                <w:sz w:val="10"/>
                <w:szCs w:val="10"/>
                <w:color w:val="auto"/>
              </w:rPr>
              <w:t>(1)</w:t>
            </w: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8,625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Acquisition related expenses</w:t>
            </w:r>
            <w:r>
              <w:rPr>
                <w:rFonts w:ascii="Times New Roman" w:cs="Times New Roman" w:eastAsia="Times New Roman" w:hAnsi="Times New Roman"/>
                <w:sz w:val="10"/>
                <w:szCs w:val="10"/>
                <w:color w:val="auto"/>
              </w:rPr>
              <w:t>(2)</w:t>
            </w:r>
          </w:p>
        </w:tc>
        <w:tc>
          <w:tcPr>
            <w:tcW w:w="320" w:type="dxa"/>
            <w:vAlign w:val="bottom"/>
          </w:tcPr>
          <w:p>
            <w:pPr>
              <w:spacing w:after="0"/>
              <w:rPr>
                <w:sz w:val="12"/>
                <w:szCs w:val="12"/>
                <w:color w:val="auto"/>
              </w:rPr>
            </w:pPr>
          </w:p>
        </w:tc>
        <w:tc>
          <w:tcPr>
            <w:tcW w:w="5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w w:val="95"/>
              </w:rPr>
              <w:t>475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w w:val="85"/>
              </w:rPr>
              <w:t>672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Adjusted EBITDA (non-GAAP)</w:t>
            </w: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(61,090)</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(54,930)</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(50,079)</w:t>
            </w:r>
          </w:p>
        </w:tc>
        <w:tc>
          <w:tcPr>
            <w:tcW w:w="92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(45,925)</w:t>
            </w:r>
          </w:p>
        </w:tc>
        <w:tc>
          <w:tcPr>
            <w:tcW w:w="920" w:type="dxa"/>
            <w:vAlign w:val="bottom"/>
            <w:gridSpan w:val="3"/>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(36,967)</w:t>
            </w:r>
          </w:p>
        </w:tc>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(36,206)</w:t>
            </w:r>
          </w:p>
        </w:tc>
        <w:tc>
          <w:tcPr>
            <w:tcW w:w="2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(35,124)</w:t>
            </w:r>
          </w:p>
        </w:tc>
        <w:tc>
          <w:tcPr>
            <w:tcW w:w="82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(43,926)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60" w:hanging="455"/>
        <w:spacing w:after="0"/>
        <w:tabs>
          <w:tab w:leader="none" w:pos="46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Settlement costs for the year ended December 31, 2023 include $0.2 million paid to settle a 2019 payment dispute and $8.5 million in costs accrued related to potential future settlements.</w:t>
      </w:r>
    </w:p>
    <w:p>
      <w:pPr>
        <w:ind w:left="460" w:hanging="455"/>
        <w:spacing w:after="0" w:line="231" w:lineRule="auto"/>
        <w:tabs>
          <w:tab w:leader="none" w:pos="46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Acquisition related expenses consist of legal and diligence costs incurred for the acquisitions of Highline and Arterys during the year ended December 31, 2022 and Mpirik and SEngine during the year ended December 31, 2023, as well as fair value impacts of indemnity-related equity for the three months ended March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March 31, 2024, we had an accumulated deficit of $1.5 billion.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term debt, and sales of our products. As of March 31, 2024, we had cash, cash equivalents and restricted cash of $80.8 million. On January 4, 2022, we funded through cash on hand, the $35.5 million acquisition of Highline Consulting, LLC (which purchase price was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the GSK Agreement, under which GSK has committed to spend a minimum of $180 million, of which $70 million was paid upon execution. In October 2023, we sold an aggregate of 785,245 shares of our Series G-4 preferred stock at a price per share of $57.3069, for an aggregate purchase price of approximately $45.0 million in a private placement to accredited investors. In April 2024, we sold an aggregate of 3,489,981 shares of our Series G-5 convertible preferred stock at a price per share of $57.3069, for an aggregate purchase price of approximately $200.0 million in a private placement to an accredited investor.</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marketable equity securities and anticipated cash flows from operations, inclusive of the approximately $200.0 million proceeds from the sale and issuance of our series G-5 convertible preferred stock in April 2024, will be sufficient to meet our anticipated cash requirements for more than twelve months from the date of this prospectus. We plan to raise additional capital to expand our business, to pursue strategic investments, to take advantage of financing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2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prospectus, we will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G-3 Financing</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million, or the Series G-3 Financing. The terms of our Series G-3 preferred stock provide that in the event of an initial public offering of our common stock, occurring after June 30, 2023, each share of Series G-3 preferred stock would be converted into a number of shares of our Class A common stock equal to (i) $57.3069 per share, plus any accrued and unpaid dividends on such share divided by (ii) the lesser of (a) $51.5762 and (b) 85% of the public offering price in this offering. Based on an assumed initial public offering price of $36.00 per share, which is the midpoint of the estimated price range set forth on the cover page of this prospectus, all of the shares of Series G-3 preferred stock will convert into an aggregate of 3,236,829 shares of our Class A common stock in connection with this offering. Each $1.00 increase in the assumed initial public offering price of $36.00 per share, which is the midpoint of the estimated price range set forth on the cover page of this prospectus, would decrease the number of shares of Class A common stock into which all shares of Series G-3 preferred stock would convert in connection with this offering by approximately 87,482 shares. Each $1.00 decrease in the assumed initial public offering price of $36.00 per share, which is the midpoint of the estimated price range set forth on the cover page of this prospectus would increase the number of shares of Class A common stock into which all shares of Series G-3 preferred stock would convert in connection with this offering by approximately 92,480 shares. In addition, in connection with the Series G-3 Financing, we agreed to issue to a stockholder a contingent payment of up to $9.0 million in shares of Class A common stock, assuming an initial public offering price of $36.00 per share, which is the midpoint of the estimated price range set forth on the cover page of this prospectus, which payment may be made in cash or shares of Class A common stock, upon mutual agreement of us and the stockholder.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G-4 Financing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October 11, 2023, we entered into a stock purchase agreement with certain investors, pursuant to which we issued and sold 785,245 shares of our Series G-4 preferred stock at a price per share of $57.3069, for an aggregate purchase price of approximately $45.0 million, or the Series G-4 Financing. As part of the Series G-4 Financing, we may sell up to an additional 2,704,736 shares of Series G-4 preferred stock through January 9, 2024. The terms of our Series G-4 preferred stock provide that in the event of an initial public offering of our Class A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Based on an assumed initial public offering price of $36.00 per share, which is the midpoint of the estimated price range set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forth on the cover page of this prospectus, all of the shares of Series G-4 preferred stock will convert into an aggregate of 1,490,562 shares of our Class A common stock in connection with this offering. Each $1.00 increase in the assumed initial public offering price of $36.00 per share, which is the midpoint of the estimated price range set forth on the cover page of this prospectus, would decrease the number of shares of Class A common stock into which all shares of Series G-4 preferred stock would convert in connection with this offering by approximately 40,286 shares. Each $1.00 decrease in the assumed public offering price of $36.00 per share, which is the midpoint of the estimated price range set forth on the cover page of this prospectus, would increase the number of shares of Class A common stock into which all shares of Series G-4 preferred stock would convert in connection with this offering by approximately 42,587 shares.</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we agreed to pay to each purchaser in the Series G-4 Financing an amount equal to 5% of the per share price for each share of Series G-4 preferred stock purchased by such purchaser,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purchasers within 30 days following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G-5 Financing</w:t>
      </w:r>
    </w:p>
    <w:p>
      <w:pPr>
        <w:spacing w:after="0" w:line="112"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On April 30, 2024, we entered into a stock purchase agreement with an investor affiliated with SoftBank Group Corporation, or SoftBank, pursuant to which we issued and sold 3,489,981 shares of our Series G-5 convertible preferred stock at a price per share of $57.3069, for an aggregate purchase price of approximately $200.0 million. The terms of our Series G-5 convertible preferred stock provide that in the event of an initial public offering of our Class A common stock, each share of Series G-5 convertible preferred stock would be converted into a number of shares of our Class A common stock equal to (i) $57.3069 per share, plus any accrued and unpaid dividends on such share, divided by (ii) the lesser of (a) $51.5762 and (b) 90% of the public offering price in this offering. Based on an assumed initial public offering price of $36.00 per share, which is the midpoint of the estimated price range set forth on the cover page of this prospectus, all of the shares of Series G-5 convertible preferred stock will convert into an aggregate of 6,172,839 shares of our Class A common stock in connection with this offering. Each $1.00 increase in the assumed initial public offering price of $36.00 per share, which is the midpoint of the estimated price range set forth on the cover page of this prospectus, would decrease the number of shares of Class A common stock into which all shares of Series G-5 convertible preferred stock would convert in connection with this offering by approximately 166,833 shares. Each $1.00 decrease in the assumed public offering price of $36.00 per share, which is the midpoint of the estimated price range set forth on the cover page of this prospectus, would increase the number of shares of Class A common stock into which all shares of Series G-5 preferred stock would convert in connection with this offering by approximately 176,367 shares.</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On September 22, 2022, we entered into a Credit Agreement with Ares Capital Corporation, or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Terms of the second amendment are consistent with those of the first amendment. Interest on the Term Loan Facility is payable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40"/>
          </w:cols>
          <w:pgMar w:left="320" w:top="44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us and secured by substantially all of our assets. We have the right at any time and from time to time to prepay any Term Loan Facility in whole or in part.</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we are required to generate consolidated revenues of $459.1 million and $594.1 million, respectively. We were in compliance with the covenants of the Credit Agreement as of March 31, 2024.</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20" w:type="dxa"/>
            <w:vAlign w:val="bottom"/>
          </w:tcPr>
          <w:p>
            <w:pPr>
              <w:spacing w:after="0"/>
              <w:rPr>
                <w:sz w:val="13"/>
                <w:szCs w:val="13"/>
                <w:color w:val="auto"/>
              </w:rPr>
            </w:pPr>
          </w:p>
        </w:tc>
        <w:tc>
          <w:tcPr>
            <w:tcW w:w="1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right="17"/>
              <w:spacing w:after="0" w:line="127"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(168,204)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(214,339)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w w:val="94"/>
              </w:rPr>
              <w:t>(66,262)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(101,378)</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(57,939)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(9,095)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16,990</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251,391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117,547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354"/>
        </w:trPr>
        <w:tc>
          <w:tcPr>
            <w:tcW w:w="4100" w:type="dxa"/>
            <w:vAlign w:val="bottom"/>
          </w:tcPr>
          <w:p>
            <w:pPr>
              <w:spacing w:after="0"/>
              <w:rPr>
                <w:sz w:val="24"/>
                <w:szCs w:val="24"/>
                <w:color w:val="auto"/>
              </w:rPr>
            </w:pPr>
          </w:p>
        </w:tc>
        <w:tc>
          <w:tcPr>
            <w:tcW w:w="16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2023 was $66.3 million, which resulted from a net loss of $54.4 million and a net change in our operating assets and liabilities of $25.7 million, offset by non-cash charges of $13.8 million. Non-cash charges primarily consisted of $7.9 million of depreciation and amortization, $7.4 million due to impairment of intangible assets, $1.7 million of non-cash operating lease costs, amortization of the warrant contract asset of $1.7 million, and a decrease in the fair value of the warrant liability of $6.4 million. The net change in our operating assets and liabilities was primarily the result of a $9.7 million increase in accounts receivable and a $3.8 million decrease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2024 was $101.4 million, which resulted from a net loss of $64.7 million and a net change in our operating assets and liabilities of $51.1 million, offset by non-cash charges of $14.5 million. Non-cash charges primarily consisted of $9.2 million of depreciation and amortization, $1.7 million of non-cash operating lease costs, amortization of the warrant contract asset of $1.2 million, $6.2 million due to gain on marketable equity securities, and a decrease in the fair value of the warrant asset of $4.7 million. The net change in our operating assets and liabilities was primarily the result of a $13.6 million increase in accounts receivable and a $16.0 million decrease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2022 was $168.2 million, which resulted from a net loss of $289.8 million, offset by a net change in our operating assets and liabilities of $71.8 million and non-cash charges of $49.8 million. Non-cash charges primarily consisted of $30.0 million of depreciation and amortization, $6.4 million of non-cash operating lease costs, amortization of the warrant asset of $4.7 million, an increase in the fair value of the warrant liability of $4.7 million, and a decrease in the fair value of contingent consideration of $3.7 million. The net change in our operating assets and liabilities was primarily the result of a $67.6 million increase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2023 was $214.3 million, which resulted from a net loss of $214.1 million and a net change in our operating assets and liabilities of $37.8 million, offset by non-cash charges of $37.6 million. Non-cash charges primarily consisted of $33.0 million of depreciation and amortization, $6.8 million of non-cash operating lease costs, $7.4 million due to impairment of intangible assets, amortization of the warrant contract asset of $5.2 million, $9.8 million due to unrealized gains on marketable equity securities, and a decrease in the fair value of the warrant liability of $8.0 million. The net change in our operating assets and liabilities was primarily the result of a $26.4 million decrease in deferred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2023 was $9.1 million, which resulted from $2.9 million related to the cash paid for business combinations, and purchases of property and equipment of $6.2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investing activities during the three months ended March 31, 2024 was $17.0 million, which was the result of proceeds from sale of marketable equity securities of $23.1 million, offset by purchases of property and equipment of $6.1 million, which related primarily to the expansion of our Chicago office for additional laboratory space.</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2022 was $57.9 million, which resulted from $35.0 million related to the Highline Acquisition, and purchases of property and equipment of $18.4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2023 was $40.3 million, which was the result of purchases of property and equipment of $34.6 million, which related primarily to the expansion of the Chicago office for additional lab space, and $5.7 million related to cash paid for business combinations.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2023 was $3.8 million, which was primarily due to a $3.6 million in purchase of treasury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2024 was $1.4 million, which was primarily due to $0.8 million in payment for an indemnity holdback related to an acquisition and $0.6 million due to payments for deferred offering costs.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2022 was $251.4 million which was primarily due to net proceeds of $170.6 million from the Term Loan Facility with Ares and $92.2 million in net proceeds from the issuance of convertible preferred stock, offset by $5.6 million of dividend payments, $2.9 million in payments for deferred offering costs, and $2.6 million in payments for deferred financing fees.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2023 was $117.5 million, which was primarily due to net proceeds of $82.9 million from the Term Loan Facility with Ares and $44.9 million in net proceeds from the issuance of convertible preferred stock, offset by $5.6 million of dividend payments and $3.6 million in purchase of treasury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obligations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47,981</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6,774</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16,705</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15,770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8,732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113,497</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42,080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67,588</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3,829</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263,587</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263,587</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248,445</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248,445</w:t>
            </w:r>
          </w:p>
        </w:tc>
        <w:tc>
          <w:tcPr>
            <w:tcW w:w="3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673,510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48,854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332,738</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283,186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8,732</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Includes $55,321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40"/>
          </w:cols>
          <w:pgMar w:left="320" w:top="448"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services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for the quarter in which this offering is consumated. As of March 31, 2024 there was $555.0 million of unrecognized stock-based compensation expense.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40"/>
          </w:cols>
          <w:pgMar w:left="320" w:top="448"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4"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From the second quarter of 2022 through the second quarter of 2023, in response to volatile market conditions and the resulting uncertainty around the timing of a liquidity event, we changed our valuation methodology back to an OPM. Beginning in the third quarter of 2023, as a result of improving market conditions, we switched back to a PWERM.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40"/>
          </w:cols>
          <w:pgMar w:left="320" w:top="448"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events. Changes in any or all of these estimates and assumptions or the relationships between those assumptions affect our valuations as of each valuation date and may have a material impact on the valuation of our common stock.</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$478.9 million of stock-based compensation expense related to RSUs granted through March 31, 2024, for which the service-based vesting condition will be satisfied as of June 14, 2024 and for which the performance-based vesting condition will be satisfied in connection with this offering. In addition, based on RSUs outstanding as of March 31, 2024, we expect to recognize approximately $46.0 million of additional stock-based compensation expense related to these awards during the next twelve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March 31, 2024, we had cash, cash equivalents and restricted cash of $80.8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March 31, 2024,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March 31, 2024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neuropsychiatry,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approximately 450 unique data connections, many of which supply us with complex multimodal data in near real time, across more than 2,000 healthcare institutions that order our products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6"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AI Applications or Algos.</w:t>
      </w:r>
      <w:r>
        <w:rPr>
          <w:rFonts w:ascii="Times New Roman" w:cs="Times New Roman" w:eastAsia="Times New Roman" w:hAnsi="Times New Roman"/>
          <w:sz w:val="16"/>
          <w:szCs w:val="16"/>
          <w:color w:val="auto"/>
        </w:rPr>
        <w:t xml:space="preserve">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130810</wp:posOffset>
            </wp:positionV>
            <wp:extent cx="5052060" cy="2067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52060"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 and Services</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and Services product line, </w:t>
      </w:r>
      <w:r>
        <w:rPr>
          <w:rFonts w:ascii="Times New Roman" w:cs="Times New Roman" w:eastAsia="Times New Roman" w:hAnsi="Times New Roman"/>
          <w:sz w:val="18"/>
          <w:szCs w:val="18"/>
          <w:i w:val="1"/>
          <w:iCs w:val="1"/>
          <w:color w:val="auto"/>
        </w:rPr>
        <w:t>Trials</w:t>
      </w:r>
      <w:r>
        <w:rPr>
          <w:rFonts w:ascii="Times New Roman" w:cs="Times New Roman" w:eastAsia="Times New Roman" w:hAnsi="Times New Roman"/>
          <w:sz w:val="18"/>
          <w:szCs w:val="18"/>
          <w:color w:val="auto"/>
        </w:rPr>
        <w:t xml:space="preserve">, leverages the broad network of physicians we work with in oncology to provide clinical trial support for pharmaceutical companies that are looking to reach hard-to-find and underserved patient populations. Our third product line,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is focused on developing and providing diagnostics that are algorithmic in nature, implementing new software as a medical device, and building and deploying clinical decision support tools. The primary product of AI Applications is currently “Next,” an AI platform that leverages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generative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147955</wp:posOffset>
            </wp:positionV>
            <wp:extent cx="5052060" cy="3176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52060"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5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205105</wp:posOffset>
            </wp:positionV>
            <wp:extent cx="4951730" cy="31261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51730" cy="312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neuropsychiatry.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neuropsychiatry,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40"/>
          </w:cols>
          <w:pgMar w:left="320" w:top="448"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neuropsychiatry, radiology,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146685</wp:posOffset>
            </wp:positionV>
            <wp:extent cx="5001895" cy="25095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01895" cy="250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full-stack, bi-directional integrations between a clinician’s desktop and our laboratory diagnostic capabilities, analytics platform, and repository of multimodal data. Our scaled, interconnected provider network covers more than 50%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competitive advantage. The following diagram represents the different elements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280035</wp:posOffset>
            </wp:positionV>
            <wp:extent cx="4818380" cy="2834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18380" cy="283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Between our sequencing and data collection efforts, we are connected in some way to more than 50% of all oncologists practicing in the United States, along with a growing number of patients in neuropsychiatry,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Ingesting data through our relationships and partnerships with healthcare providers. </w:t>
      </w:r>
      <w:r>
        <w:rPr>
          <w:rFonts w:ascii="Times New Roman" w:cs="Times New Roman" w:eastAsia="Times New Roman" w:hAnsi="Times New Roman"/>
          <w:sz w:val="18"/>
          <w:szCs w:val="18"/>
          <w:color w:val="auto"/>
        </w:rPr>
        <w:t>We have developed proprietary tools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450 direct data connections, across more than 2,000 hospitals, many of which are bi-directional. We have established relationships with hundreds of provider networks, including more than 65%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193" w:lineRule="exact"/>
        <w:rPr>
          <w:sz w:val="20"/>
          <w:szCs w:val="20"/>
          <w:color w:val="auto"/>
        </w:rPr>
      </w:pPr>
    </w:p>
    <w:p>
      <w:pPr>
        <w:jc w:val="both"/>
        <w:ind w:left="460" w:firstLine="43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 and distribute the oncology data ASCO collects as part of CancerLinq, which is their oncology data effort. We work with other large associations such as ONCare Alliance, LLC (surviving entity after merger of the National Cancer Care Alliance and the Quality Cancer Care Alliance), and have agreements in place with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40"/>
          </w:cols>
          <w:pgMar w:left="320" w:top="448"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large integrated community practices. While our relationships in oncology are widespread, we are making inroads in other disease areas. For example, we are working with a large hospital network to train algorithmic models based on a de-identified subset of approximately 3.5 million ECGs, across more than 700,000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neuropsychiatry, diabetes, and cardiology giving us access to additional clinical data.</w:t>
      </w:r>
    </w:p>
    <w:p>
      <w:pPr>
        <w:spacing w:after="0" w:line="185" w:lineRule="exact"/>
        <w:rPr>
          <w:sz w:val="20"/>
          <w:szCs w:val="20"/>
          <w:color w:val="auto"/>
        </w:rPr>
      </w:pPr>
    </w:p>
    <w:p>
      <w:pPr>
        <w:jc w:val="both"/>
        <w:ind w:left="460" w:firstLine="43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three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Atlanta, and Raleigh.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135890</wp:posOffset>
            </wp:positionV>
            <wp:extent cx="5052060" cy="31845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5206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Once data is ingested,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Proprietary Multimodal Database</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near-real 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900 million documents, across more than 5.6 million de-identified patient records, including approximately 1.3 billion pages of rich clinical text that we use to train our large language models. The database also includes over 1,000,000 records with imaging data, more than 900,000 with matched clinical records linked with genomic information, and more than 220,000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the amount of data in our cloud environment continues to grow from its current size of more than 200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75565</wp:posOffset>
            </wp:positionV>
            <wp:extent cx="5052060" cy="22091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52060" cy="220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40"/>
          </w:cols>
          <w:pgMar w:left="320" w:top="448"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March 31, 2024,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142875</wp:posOffset>
            </wp:positionV>
            <wp:extent cx="5052060" cy="31762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52060"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are both a healthcare company and a technology company, which we believe allows us to more quickly and effectively develop and deploy AI techniques within our proprietary software systems. To do so, we rely on employees with expertise spanning multiple disciplines, including those with PhDs and other advanced degrees in the scientific fields of machine learning, data science and computational biology, as well as Medical Doctors practicing disciplines such as pathology and oncology. In addition to our diverse employee base, we are able to train AI models using our proprietary and expansive multimodal, de-identified dataset. We leverage our varied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expertise and extensive resources to continuously monitor and review the statistical performance of the models used across our Platform to ensure performance and prevent degradation.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some of the core software applications that form part of our Platform, including examples where we have developed and deployed AI techniques.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One example of an AI model whose results are available within Hub, and which illustrates a typical development and validation process for our AI models, is our Tumor Origin, or TO, algorithm. Our TO algorithm predicts the site of origin for cancer patients whose primary tumor site is unknown using machine learning models trained on tumor RNA expression results from our de-identified multimodal database. We began developing our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algorithm in 2019, and it was first deployed in a clinical setting in 2021. We developed and trained the TO algorithm, like other machine learning models, by adopting current best practices for AI model development. For example, in developing the TO algorithm, we explored distinct model architectures (logistic regression, random forests and neural networks) and feature selection methods, and we utilized multiple cross validation techniques using both our own and independent third-party datasets. After its launch, we continue to monitor the performance of the TO algorithm by using advanced statistical methods to detect potential model drift or degradation over time. Each TO prediction is reviewed by our board certified pathologists for consistency with underlying data, and the distribution of expected cases is reviewed and assessed against the expected distribution of diagnoses.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163830</wp:posOffset>
            </wp:positionV>
            <wp:extent cx="5052060" cy="55187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55187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139"/>
          </w:cols>
          <w:pgMar w:left="320" w:top="448"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55187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139"/>
          </w:cols>
          <w:pgMar w:left="320" w:top="448"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2684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5206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178435</wp:posOffset>
            </wp:positionV>
            <wp:extent cx="5052060" cy="55187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600"/>
          </w:cols>
          <w:pgMar w:left="320" w:top="448" w:right="9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55187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and Services product line monetizes de-identified data that we collect and facilitates enrollment in clinical trials, and which at scale has allowed us to provide a series of data related services to our life sciences customers, such as clinical trial matching. Our AI Applications product line leverages our database to provide diagnostics entirely driven by data, which helps route patients to the optimal therapy and advance research more broadly.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222250</wp:posOffset>
            </wp:positionV>
            <wp:extent cx="4518660" cy="25012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18660" cy="250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NGS provider broadly serving the market. However, unlike other laboratory diagnostic testing providers, many of our tests are connected to clinical data, in some manner, which allows our suite of tests to be self-learning, becoming more accurate and precise with each new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135890</wp:posOffset>
            </wp:positionV>
            <wp:extent cx="5068570" cy="35598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68570" cy="355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whole exome (xE), and hereditary cancer risk (xG). We are also currently validating a treatment response monitoring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 Premarket approval (PMA) obtained from the FDA in April 2023</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 Run at ~150-250x median coverage for approximately 650 of the most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significant onco-driving mutations and ~150-200x median coverage for more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than 19,000 genes on the panel</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164</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xF+ version is a 523 gene panel that includes bTMB, MSI, additional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fusions and CNVs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Tempus|xR</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 Full  transcriptomic  profiling  assay  for  solid  tumors  and  hematologic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malignancies at 50 million paired end reads, offered as a separate test 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2023 (previous paired with xT and xE)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   Reports clinically relevant fusions for more than 100 targeted genes, as well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as altered splicing events for MET exon 14 and EGFRvIII, in an unbiased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manner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 43.4% of patients were matched to a targeted therapy when DNA seq, RNA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seq, and immune biomarker assessment were combined, compared to 29.6%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patients who had a therapy match using DNA seq alone</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165</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p>
      <w:pPr>
        <w:spacing w:after="0"/>
        <w:tabs>
          <w:tab w:leader="none" w:pos="4260" w:val="left"/>
          <w:tab w:leader="none" w:pos="5500" w:val="left"/>
        </w:tabs>
        <w:rPr>
          <w:sz w:val="20"/>
          <w:szCs w:val="20"/>
          <w:color w:val="auto"/>
        </w:rPr>
      </w:pPr>
      <w:r>
        <w:rPr>
          <w:rFonts w:ascii="Times New Roman" w:cs="Times New Roman" w:eastAsia="Times New Roman" w:hAnsi="Times New Roman"/>
          <w:sz w:val="14"/>
          <w:szCs w:val="14"/>
          <w:b w:val="1"/>
          <w:bCs w:val="1"/>
          <w:u w:val="single" w:color="auto"/>
          <w:color w:val="auto"/>
        </w:rPr>
        <w:t>Lab Tests</w:t>
      </w:r>
      <w:r>
        <w:rPr>
          <w:sz w:val="20"/>
          <w:szCs w:val="20"/>
          <w:color w:val="auto"/>
        </w:rPr>
        <w:tab/>
      </w:r>
      <w:r>
        <w:rPr>
          <w:rFonts w:ascii="Times New Roman" w:cs="Times New Roman" w:eastAsia="Times New Roman" w:hAnsi="Times New Roman"/>
          <w:sz w:val="14"/>
          <w:szCs w:val="14"/>
          <w:b w:val="1"/>
          <w:bCs w:val="1"/>
          <w:u w:val="single" w:color="auto"/>
          <w:color w:val="auto"/>
        </w:rPr>
        <w:t>Launch Year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97725" cy="6921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7725" cy="692150"/>
                    </a:xfrm>
                    <a:prstGeom prst="rect">
                      <a:avLst/>
                    </a:prstGeom>
                    <a:noFill/>
                  </pic:spPr>
                </pic:pic>
              </a:graphicData>
            </a:graphic>
          </wp:anchor>
        </w:drawing>
      </w:r>
    </w:p>
    <w:p>
      <w:pPr>
        <w:spacing w:after="0" w:line="101" w:lineRule="exact"/>
        <w:rPr>
          <w:sz w:val="20"/>
          <w:szCs w:val="20"/>
          <w:color w:val="auto"/>
        </w:rPr>
      </w:pPr>
    </w:p>
    <w:p>
      <w:pPr>
        <w:jc w:val="both"/>
        <w:ind w:left="5860" w:hanging="349"/>
        <w:spacing w:after="0" w:line="302" w:lineRule="auto"/>
        <w:rPr>
          <w:sz w:val="20"/>
          <w:szCs w:val="20"/>
          <w:color w:val="auto"/>
        </w:rPr>
      </w:pPr>
      <w:r>
        <w:rPr>
          <w:rFonts w:ascii="Times New Roman" w:cs="Times New Roman" w:eastAsia="Times New Roman" w:hAnsi="Times New Roman"/>
          <w:sz w:val="16"/>
          <w:szCs w:val="16"/>
          <w:color w:val="auto"/>
        </w:rPr>
        <w:t>•     Among patients with identified fusions, 29% more patients were identified with a unique clinically actionable fusion that could be matched to a targeted therapy when RNA seq was incorporated, compared to DNA seq alone</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p>
      <w:pPr>
        <w:spacing w:after="0" w:line="22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launched xM, a high coverage methylation sequencing assay for monitoring for cancer recurrence and minimal residual disease on June 1, 2024, initially covering colorectal cancer with the potential to expand into additional indications. In November 2023, we entered into a Commercialization and Reference Laboratory Agreement with Personalis, Inc., or Personalis, pursuant to which we began marketing Personalis’ Personal Dx test in the United States initially in non-small cell lung cancer and breast cancer, as well as IO treatment response monitoring. Personalis will conduct additional development activities to further analytically validate the test in other indications. Personalis will perform tests ordered by patients through us and will bill such patients or payors.</w:t>
      </w:r>
    </w:p>
    <w:p>
      <w:pPr>
        <w:spacing w:after="0" w:line="15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146685</wp:posOffset>
            </wp:positionV>
            <wp:extent cx="5052060" cy="23507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52060" cy="235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288,000 samples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145415</wp:posOffset>
            </wp:positionV>
            <wp:extent cx="5068570" cy="30092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68570"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Neuropsychiatry Tests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entered neuropsychiatry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95"/>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vMerge w:val="restart"/>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Neuropsychiatry Test</w:t>
            </w:r>
          </w:p>
        </w:tc>
        <w:tc>
          <w:tcPr>
            <w:tcW w:w="20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Tempus|nP</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 Covers 13 validated genes with known roles in pharmacokinetics, pharmacodynamics,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immune  response  to  FDA  approved  medications  that  may  be  prescribed  in  the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neuropsychiatric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80 single nucleotide and small insertion-deletion (indel) variants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the 13 genes. Concurrently, DNA fragment analysis is used to analyze copy number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variants in CYP2D6 and a large indel in the SLC6A4 promoter</w:t>
            </w:r>
          </w:p>
        </w:tc>
        <w:tc>
          <w:tcPr>
            <w:tcW w:w="0" w:type="dxa"/>
            <w:vAlign w:val="bottom"/>
          </w:tcPr>
          <w:p>
            <w:pPr>
              <w:spacing w:after="0"/>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expanded into infectious diseases in 2020 due to the onset of the COVID-19 pandemic and launched PCR and NGS tests to detect the rapidly spreading virus. Our laboratory testing infrastructure and our relationships with a broad customer base enabled us to rapidly scale operations and deliver approximately 2.8 million COVID-19 clinical tests through March 31, 2023, after which we stopped offering such tests. We entered into clinical testing agreements with various clients, including pharmacies, urgent care centers, state departments of health, primary care providers, universities and schools, and corporate clients.</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stopped offering COVID-19 PCR diagnostic tests in the first quarter of 2023.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life sciences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One way we measure our data business is based on the remaining total contract value (the “Remaining TCV”) that is contractually committed to be delivered in the future. As of December 31, 2023, we have signed contracts with a Remaining TCV of more than $920.0 million, which includes approximately $300.0 million 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3"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and GSK, which, although listed under the Data and Services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near-real time across multiple modalities and multiple disease areas, allowing us to work with pharmaceutical and biotechnology companies across the drug lifecycle—from discovery, research and development, and, ultimately, commercialization.</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2023 revenue.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2023, Net Revenue Retention was approximately 125% compared to the same cohort of customers for the period ended December 31, 2022.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23342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52060" cy="233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$40.2 million and $56.5 million for the years ended December 31, 2022 and 2023, respectively. These costs represented 32.8% and 33.5% of data and services revenue for the years ended December 31, 2022 and 2023, respectively.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“Cohort Lifetime Value” for the 2018 to 2023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163830</wp:posOffset>
            </wp:positionV>
            <wp:extent cx="4834890" cy="41351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34890" cy="413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205105</wp:posOffset>
            </wp:positionV>
            <wp:extent cx="4834890" cy="57188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34890" cy="571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139"/>
          </w:cols>
          <w:pgMar w:left="320" w:top="448"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205105</wp:posOffset>
            </wp:positionV>
            <wp:extent cx="4834890" cy="18592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34890"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Trials is our second offering within our Data and Services product line and leverages our broad network of physicians we work with in oncology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27" w:lineRule="auto"/>
        <w:rPr>
          <w:sz w:val="20"/>
          <w:szCs w:val="20"/>
          <w:color w:val="auto"/>
        </w:rPr>
      </w:pPr>
      <w:r>
        <w:rPr>
          <w:rFonts w:ascii="Times New Roman" w:cs="Times New Roman" w:eastAsia="Times New Roman" w:hAnsi="Times New Roman"/>
          <w:sz w:val="18"/>
          <w:szCs w:val="18"/>
          <w:color w:val="auto"/>
        </w:rPr>
        <w:t>Our clinical trial matching offering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with more than 230 clinical trials signed into the network. More than 30,000 patients were identified for potential enrollment into clinical trials in our network as of March 31, 2024.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205105</wp:posOffset>
            </wp:positionV>
            <wp:extent cx="5001895" cy="3101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01895" cy="3101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two weeks on average in 2023.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125095</wp:posOffset>
            </wp:positionV>
            <wp:extent cx="4951730" cy="264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51730" cy="264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approximately 4,000 tumor samples to date.</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vastness of our dataset, along with our connected platform, creates an opportunity to use data to algorithmically diagnose and treat patients. 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 While we plan to continue developing our own proprietary software and algorithms, from time to time, we also utilize open source technologies or in-license technologies from third parties.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163830</wp:posOffset>
            </wp:positionV>
            <wp:extent cx="5052060" cy="4276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52060" cy="427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have more in various stages of development. As of March 31, 2024, more than 58,000 molecular oncology Algos have been ordered with our various genomic assays.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 Predicts the site of origin for cancer patients whose primary tumor site 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unknown 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 Intended use of the TO test is for cancers of unknown primary, or CUPs,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help clinicians make more informed decisions where other clinical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 like imaging and immunohistochemistry results do not provide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 Uses information from analysis of nucleic acids by NGS performed as part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with transcriptomic molecular data. By comparing the molecular profile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(transcriptome) of the patient’s cancer with profiles of other cancers in 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database, we can help pinpoint the origin of the patient’s cancer, potentially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helping to inform the course 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 For the year ended December 31, 2023, ordered on approximately 10% of our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solid 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Homologous Recombination Deficiency (“HRD”)</w:t>
            </w:r>
          </w:p>
        </w:tc>
        <w:tc>
          <w:tcPr>
            <w:tcW w:w="1260" w:type="dxa"/>
            <w:vAlign w:val="bottom"/>
            <w:gridSpan w:val="2"/>
            <w:shd w:val="clear" w:color="auto" w:fill="CCEEFF"/>
          </w:tcPr>
          <w:p>
            <w:pPr>
              <w:jc w:val="right"/>
              <w:ind w:right="500"/>
              <w:spacing w:after="0" w:line="192" w:lineRule="exact"/>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DNA-based algorithmic test that helps identify if a patient has HRD,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Test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providing a comprehensive view into a patient’s ability to repair double-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into commonly mutated genes in the HR-pathway, along with a genome wide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 LOH 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177</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Dihydropyrimidine Dehydrogenase Deficiency</w:t>
            </w:r>
          </w:p>
        </w:tc>
        <w:tc>
          <w:tcPr>
            <w:tcW w:w="12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77"/>
              </w:rPr>
              <w:t> </w:t>
            </w:r>
          </w:p>
        </w:tc>
        <w:tc>
          <w:tcPr>
            <w:tcW w:w="5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 Identifies certain alterations in the </w:t>
            </w:r>
            <w:r>
              <w:rPr>
                <w:rFonts w:ascii="Times New Roman" w:cs="Times New Roman" w:eastAsia="Times New Roman" w:hAnsi="Times New Roman"/>
                <w:sz w:val="18"/>
                <w:szCs w:val="18"/>
                <w:i w:val="1"/>
                <w:iCs w:val="1"/>
                <w:color w:val="auto"/>
                <w:w w:val="97"/>
              </w:rPr>
              <w:t>DPYD</w:t>
            </w:r>
            <w:r>
              <w:rPr>
                <w:rFonts w:ascii="Times New Roman" w:cs="Times New Roman" w:eastAsia="Times New Roman" w:hAnsi="Times New Roman"/>
                <w:sz w:val="18"/>
                <w:szCs w:val="18"/>
                <w:color w:val="auto"/>
                <w:w w:val="97"/>
              </w:rPr>
              <w:t xml:space="preserve"> gene, which may be associated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a 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Consortium, or CPIC.</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 Provides insight into the potential likelihood of a patient developing severe 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even fatal toxicity of 5-FU/Capecitabine chemotherapy by covering five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SNVs in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genes, providing a more complete patient profile. According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 CPIC, 5-7% of patients test positive for DPYD deficiency and should be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considered for monitoring 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ordered 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colorectal, breast, pancreatic and GI cancer patients who are being considered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treatment with 5-FU/Capecitabine chemotherapy.</w:t>
            </w: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line="257" w:lineRule="exact"/>
              <w:rPr>
                <w:sz w:val="20"/>
                <w:szCs w:val="20"/>
                <w:color w:val="auto"/>
              </w:rPr>
            </w:pPr>
            <w:r>
              <w:rPr>
                <w:rFonts w:ascii="Times New Roman" w:cs="Times New Roman" w:eastAsia="Times New Roman" w:hAnsi="Times New Roman"/>
                <w:sz w:val="18"/>
                <w:szCs w:val="18"/>
                <w:color w:val="auto"/>
              </w:rPr>
              <w:t>Tempus Purist</w:t>
            </w:r>
            <w:r>
              <w:rPr>
                <w:rFonts w:ascii="Times New Roman" w:cs="Times New Roman" w:eastAsia="Times New Roman" w:hAnsi="Times New Roman"/>
                <w:sz w:val="26"/>
                <w:szCs w:val="26"/>
                <w:color w:val="auto"/>
                <w:vertAlign w:val="superscript"/>
              </w:rPr>
              <w:t>SM</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line="257" w:lineRule="exact"/>
              <w:rPr>
                <w:sz w:val="20"/>
                <w:szCs w:val="20"/>
                <w:color w:val="auto"/>
              </w:rPr>
            </w:pPr>
            <w:r>
              <w:rPr>
                <w:rFonts w:ascii="Times New Roman" w:cs="Times New Roman" w:eastAsia="Times New Roman" w:hAnsi="Times New Roman"/>
                <w:sz w:val="18"/>
                <w:szCs w:val="18"/>
                <w:color w:val="auto"/>
              </w:rPr>
              <w:t>   Tempus Purist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test  is  an  algorithm  that  classifies  pancreatic  ductal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adenocarcinomas (PDAC) patients into one of two subtypes (basal-like 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classical).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 Patients with the basal subtype have a worse prognosis and are less likely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from FOLFIRINOX therapy than classical patients.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information from nucleic acids by NGS performed as part of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a k-top scoring pair (k-TSP) method (8 top scoring pairs, 16 genes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to assign a basal probability score. Patients with a basal probability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score of ≥50 are categorized as basal subtype, while those with basal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probability score &lt;50 are categorized as classical subtype.</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Cardiology Algos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disease progression. More than 80 hospitals nationwide are currently powered by Tempus Next and more than 44,000 patients are screened per month.</w:t>
      </w:r>
    </w:p>
    <w:p>
      <w:pPr>
        <w:spacing w:after="0" w:line="180" w:lineRule="exact"/>
        <w:rPr>
          <w:sz w:val="20"/>
          <w:szCs w:val="20"/>
          <w:color w:val="auto"/>
        </w:rPr>
      </w:pPr>
    </w:p>
    <w:p>
      <w:pPr>
        <w:jc w:val="both"/>
        <w:ind w:firstLine="454"/>
        <w:spacing w:after="0" w:line="232" w:lineRule="auto"/>
        <w:rPr>
          <w:sz w:val="20"/>
          <w:szCs w:val="20"/>
          <w:color w:val="auto"/>
        </w:rPr>
      </w:pPr>
      <w:r>
        <w:rPr>
          <w:rFonts w:ascii="Times New Roman" w:cs="Times New Roman" w:eastAsia="Times New Roman" w:hAnsi="Times New Roman"/>
          <w:sz w:val="18"/>
          <w:szCs w:val="18"/>
          <w:color w:val="auto"/>
        </w:rPr>
        <w:t>We are also developing algorithmic models that aid clinicians in identifying patients at increased risk of developing atrial fibrillation, or AFib, along with a variety of other cardiac conditions. These Algos are trained using a de-identified subset from approximately 3.5 million ECGs, across more than 700,000 patients, with decades of longitudinal clinical data, including outcome and response data. The FDA granted Tempus breakthrough status for our first ECG software device, which employs a diagnostic algorithm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ectPr>
          <w:pgSz w:w="11900" w:h="16838" w:orient="portrait"/>
          <w:cols w:equalWidth="0" w:num="1">
            <w:col w:w="11340"/>
          </w:cols>
          <w:pgMar w:left="320" w:top="448" w:right="239" w:bottom="1440" w:gutter="0" w:footer="0" w:header="0"/>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Algo</w:t>
            </w:r>
          </w:p>
        </w:tc>
        <w:tc>
          <w:tcPr>
            <w:tcW w:w="2560" w:type="dxa"/>
            <w:vAlign w:val="bottom"/>
            <w:vMerge w:val="restart"/>
          </w:tcPr>
          <w:p>
            <w:pPr>
              <w:spacing w:after="0"/>
              <w:rPr>
                <w:sz w:val="13"/>
                <w:szCs w:val="13"/>
                <w:color w:val="auto"/>
              </w:rPr>
            </w:pPr>
          </w:p>
        </w:tc>
        <w:tc>
          <w:tcPr>
            <w:tcW w:w="1800" w:type="dxa"/>
            <w:vAlign w:val="bottom"/>
            <w:gridSpan w:val="3"/>
          </w:tcPr>
          <w:p>
            <w:pPr>
              <w:jc w:val="center"/>
              <w:ind w:left="1215"/>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Cardiology</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7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4"/>
              </w:rPr>
              <w:t>clinical</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trial</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2"/>
              </w:rPr>
              <w:t>setting)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13335</wp:posOffset>
            </wp:positionV>
            <wp:extent cx="7197725" cy="133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258" w:lineRule="exact"/>
        <w:rPr>
          <w:sz w:val="20"/>
          <w:szCs w:val="20"/>
          <w:color w:val="auto"/>
        </w:rPr>
      </w:pPr>
    </w:p>
    <w:p>
      <w:pPr>
        <w:jc w:val="both"/>
        <w:ind w:left="360" w:hanging="349"/>
        <w:spacing w:after="0" w:line="267" w:lineRule="auto"/>
        <w:rPr>
          <w:sz w:val="20"/>
          <w:szCs w:val="20"/>
          <w:color w:val="auto"/>
        </w:rPr>
      </w:pPr>
      <w:r>
        <w:rPr>
          <w:rFonts w:ascii="Times New Roman" w:cs="Times New Roman" w:eastAsia="Times New Roman" w:hAnsi="Times New Roman"/>
          <w:sz w:val="18"/>
          <w:szCs w:val="18"/>
          <w:color w:val="auto"/>
        </w:rPr>
        <w:t>•     We have developed an algorithm designed to predict AFib from a normal ECG for certain populations.</w:t>
      </w:r>
    </w:p>
    <w:p>
      <w:pPr>
        <w:spacing w:after="0" w:line="78" w:lineRule="exact"/>
        <w:rPr>
          <w:sz w:val="20"/>
          <w:szCs w:val="20"/>
          <w:color w:val="auto"/>
        </w:rPr>
      </w:pPr>
    </w:p>
    <w:p>
      <w:pPr>
        <w:jc w:val="both"/>
        <w:ind w:left="360" w:hanging="349"/>
        <w:spacing w:after="0" w:line="251" w:lineRule="auto"/>
        <w:rPr>
          <w:sz w:val="20"/>
          <w:szCs w:val="20"/>
          <w:color w:val="auto"/>
        </w:rPr>
      </w:pPr>
      <w:r>
        <w:rPr>
          <w:rFonts w:ascii="Times New Roman" w:cs="Times New Roman" w:eastAsia="Times New Roman" w:hAnsi="Times New Roman"/>
          <w:sz w:val="18"/>
          <w:szCs w:val="18"/>
          <w:color w:val="auto"/>
        </w:rPr>
        <w:t>•     About 3.5% of patients who receive ECGs appear not to have AFib but will develop AFib, acute coronary syndrome, or similar condition within one year. This Algo is designed to predict major cardiac trauma and stroke risk from these normal ECG results.</w:t>
      </w:r>
    </w:p>
    <w:p>
      <w:pPr>
        <w:spacing w:after="0" w:line="92" w:lineRule="exact"/>
        <w:rPr>
          <w:sz w:val="20"/>
          <w:szCs w:val="20"/>
          <w:color w:val="auto"/>
        </w:rPr>
      </w:pPr>
    </w:p>
    <w:p>
      <w:pPr>
        <w:jc w:val="both"/>
        <w:ind w:left="360" w:hanging="349"/>
        <w:spacing w:after="0" w:line="227" w:lineRule="auto"/>
        <w:rPr>
          <w:sz w:val="20"/>
          <w:szCs w:val="20"/>
          <w:color w:val="auto"/>
        </w:rPr>
      </w:pPr>
      <w:r>
        <w:rPr>
          <w:rFonts w:ascii="Times New Roman" w:cs="Times New Roman" w:eastAsia="Times New Roman" w:hAnsi="Times New Roman"/>
          <w:sz w:val="18"/>
          <w:szCs w:val="18"/>
          <w:color w:val="auto"/>
        </w:rPr>
        <w:t>•     The Tempus AFib test received FDA breakthrough designation in March 2021 for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88" w:lineRule="exact"/>
        <w:rPr>
          <w:sz w:val="20"/>
          <w:szCs w:val="20"/>
          <w:color w:val="auto"/>
        </w:rPr>
      </w:pPr>
    </w:p>
    <w:p>
      <w:pPr>
        <w:jc w:val="both"/>
        <w:ind w:left="360" w:hanging="349"/>
        <w:spacing w:after="0" w:line="255" w:lineRule="auto"/>
        <w:rPr>
          <w:sz w:val="20"/>
          <w:szCs w:val="20"/>
          <w:color w:val="auto"/>
        </w:rPr>
      </w:pPr>
      <w:r>
        <w:rPr>
          <w:rFonts w:ascii="Times New Roman" w:cs="Times New Roman" w:eastAsia="Times New Roman" w:hAnsi="Times New Roman"/>
          <w:sz w:val="18"/>
          <w:szCs w:val="18"/>
          <w:color w:val="auto"/>
        </w:rPr>
        <w:t>•     We are also advancing Algos that are designed to predict aortic stenosis, and we are working on other disease areas within cardiology, such as low ejection fraction and familial hypercholesterolemia.</w:t>
      </w:r>
    </w:p>
    <w:p>
      <w:pPr>
        <w:spacing w:after="0" w:line="194" w:lineRule="exact"/>
        <w:rPr>
          <w:sz w:val="20"/>
          <w:szCs w:val="20"/>
          <w:color w:val="auto"/>
        </w:rPr>
      </w:pPr>
    </w:p>
    <w:p>
      <w:pPr>
        <w:sectPr>
          <w:pgSz w:w="11900" w:h="16838" w:orient="portrait"/>
          <w:cols w:equalWidth="0" w:num="2">
            <w:col w:w="4660" w:space="320"/>
            <w:col w:w="6360"/>
          </w:cols>
          <w:pgMar w:left="320" w:top="448" w:right="239" w:bottom="1440" w:gutter="0" w:footer="0" w:header="0"/>
          <w:type w:val="continuous"/>
        </w:sect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currently offer more than 50 algorithms and are continuing to develop additional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real time data-driven decisions at the point of care.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signed a multi-year strategic collaboration agreement with AstraZeneca in 2021 to identify and validate biomarkers that would inform patient selection strategies, accelerate the development of new molecular entities, and de-risk late phase clinical trials. One component of the collaboration involves leveraging our data insights to increase the Probability of Technical Success, or PTS, of late phase clinical trials. In the pilot program that AstraZeneca and Tempus ran together, we saw an average increase in PTS per study of five percentage points.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After seeing these results, AstraZeneca decided to make this approach part of their governance process. Today, AstraZeneca’s Oncology Phase 3 study designs are informed by RWE dataset analyses combined with Tempus analysis. The average lift in PTS exemplifies Tempus’ potential as a partner to advance drug discovery, generate significant return on investment and more quickly deliver innovation to patients through the insights derived from Tempus’ data. In a separate example from the collaboration, AstraZeneca leveraged our TIME network to accelerate the identification and recruitment of patients for its SERENA-6 Phase III clinical trial which has supported the recruitment of 25% of US participants, as mentioned by AstraZeneca in their 2022 annual report.</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Trials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approximately two weeks on average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-3810</wp:posOffset>
            </wp:positionV>
            <wp:extent cx="5052060" cy="900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520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Trials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16 days for each site to first consent. By comparison, it took an average of 234 days for the CRO to open each new site and achieve first consent. Tempus enrolled 13 of the ultimately 29 patients in the study, and helped shorten the estimated full enrollment time by approximately ten months.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neuropsychiatry, cardiology, and radiology, in which there is over $3 trillion of economic burden according to publicly available sources.</w:t>
      </w:r>
    </w:p>
    <w:p>
      <w:pPr>
        <w:spacing w:after="0" w:line="187"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neuropsychiatry, which includes an estimated addressable market opportunity for solid tumor recurrence and treatment monitoring of over $20 billion. Our Data and Services product line operates within a market in which life sciences companies spent an estimated $262 billion in 2023 on research and development according to Evaluate Pharma, and addresses needs within the $50 billion clinical trial services market, the $51 billion market for biomarker discovery, and the $18 billion market research for “real world evidence”, as estimated according to Mordor Intelligence and our internal estimates based on third-party research. Over time, we believe that the potential market opportunity for our Algos product line could be substantially larger than our other product lines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130810</wp:posOffset>
            </wp:positionV>
            <wp:extent cx="5052060" cy="3084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52060" cy="308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neuropsychiatry and infectious disease. In oncology alone, the market for NGS sequencing is expected to grow substantially over the next several decades.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At present, we offer three main assays in cancer, including solid tumor profiling, liquid biopsy, and inherited cancer risk screening, and expect to commercialize our fourth assay for cancer recurrence monitoring and measuring minimal residual disease in 2024. We believe that our technology integration, and go to market and commercial infrastructure may provide a strategic advantage, and our assays provide a comprehensive and holistic range of options for physicians and patients. Over time, we anticipate being able to address other emerging NGS oncology markets, such as early disease screening, as our most recent cancer recurrence and MRD assay (xM) is based on joint methylation signature and variant calling workflow for minimal residual disease detection.</w:t>
      </w:r>
    </w:p>
    <w:p>
      <w:pPr>
        <w:spacing w:after="0" w:line="15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Therapy selection: </w:t>
      </w:r>
      <w:r>
        <w:rPr>
          <w:rFonts w:ascii="Times New Roman" w:cs="Times New Roman" w:eastAsia="Times New Roman" w:hAnsi="Times New Roman"/>
          <w:sz w:val="16"/>
          <w:szCs w:val="16"/>
          <w:color w:val="auto"/>
        </w:rPr>
        <w:t>We address the market for therapy selection with our current tissue and liquid biopsy assay offerings and immunohistochemistry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staining. We believe that NGS is increasingly becoming the standard of care to help physicians choose a therapy for their cancer patients across multiple cancer types. There were approximately 20 million patients estimated to be newly diagnosed with cancer globally in 2022 according to GLOBOCAN, and NGS was performed on less than 3 million of these patients according to our estimates. Genomic markers are connected to FDA approved therapeutics for cancers including breast, cervical, cholangiocarcinoma, colorectal, skin, esophageal, stomach, head and neck, leukemia, certain other blood cancers, 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approximately 750 immuno-oncology and 600 targeted oncology therapy programs ongoing with more than 225,000 patients enrolled. Combined, we estimate that therapy selection accounted for 20 million tests globally in 2023 and believe that this will grow substantially as patients may be tested multiple times in the future to inform therapy. According to the National Cancer Institute, an estimated 2 million patients were diagnosed with new cancer in the United States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267335</wp:posOffset>
            </wp:positionV>
            <wp:extent cx="5052060" cy="26092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52060" cy="260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launched our liquid biopsy test for cancer recurrence monitoring and minimal residual disease on June 1, 2024 covering colorectal cancer.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this market 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20 million newly diagnosed cancer patients globally in 2022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53.5 million cancer survivors in 2022 globally that were diagnosed within the five years previous to 2022 and there are approximately 18.1 million cancer survivors in the United States in 2022.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2022.</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Neuropsychiatry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Over 13 million patients per year receive treatment for major depressive disorder, or MDD, according to data provided by the National Institute of Mental Health. We believe the opportunity to bring AI to neuropsychiatry is significant and we are at the early stage of the market evolution. The Anxiety &amp; Depression Association of America estimates that 40 million Americans alone suffer from anxiety, and over 26 million Americans have had an episode of depression in 2021 alone according to the National Institute of Mental Health.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neuropsychiatry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 Product Line Market Opportunity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Data and Services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2023, an estimated $262 billion was spent on clinical development in the United States. Within this market, our Data and Services product line addresses the following spending categories for biotechnology and pharmaceutical researchers:</w:t>
      </w:r>
    </w:p>
    <w:p>
      <w:pPr>
        <w:spacing w:after="0" w:line="95" w:lineRule="exact"/>
        <w:rPr>
          <w:sz w:val="20"/>
          <w:szCs w:val="20"/>
          <w:color w:val="auto"/>
        </w:rPr>
      </w:pPr>
    </w:p>
    <w:p>
      <w:pPr>
        <w:ind w:left="1000" w:hanging="549"/>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$50 billion spend in 2023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$51 billion spend in 2023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$18 billion spend in 2024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 Product Line Market Opportunity</w:t>
      </w:r>
    </w:p>
    <w:p>
      <w:pPr>
        <w:spacing w:after="0" w:line="110" w:lineRule="exact"/>
        <w:rPr>
          <w:sz w:val="20"/>
          <w:szCs w:val="20"/>
          <w:color w:val="auto"/>
        </w:rPr>
      </w:pPr>
    </w:p>
    <w:p>
      <w:pPr>
        <w:ind w:firstLine="454"/>
        <w:spacing w:after="0" w:line="270"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Data and Services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generative AI, which are rarely found among diagnostics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2,300 employees, including hundreds with diverse expertise in genetics, molecular and computational biology, bioinformatics, regulatory affairs, medical, product and engineering, and data science. Roughly one-third of our team is technical, with approximately 250 PhDs and MDs on staff. In addition, as a testament to our balanced workforce, we have almost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approximately 450 direct data connections, many of which supply us with data in near real time, across more than 2,000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Diagnostics to enable precision medicine at scale. Our database of multimodal, de-identified records has grown to be more than 50 times the size of The Cancer Genome Atlas, the largest public genomic dataset that we know of in oncology. We also now have more than 200 petabytes of data in our cloud environment. We have also extended our Platform into neuropsychiatry, radiology, and cardiology. We believe each of the elements of our Platform is difficult for others to replicate.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Trials product offering, we also help oncologists identify patients eligible for clinical trials. Over time, we believe our AI Applications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and Services product line, which in turn drives our AI Applications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generative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further enhances our revenue opportunity as the records we collect have value over time, given that outcomes and response evolve as patients progress through treatment.</w:t>
      </w:r>
    </w:p>
    <w:p>
      <w:pPr>
        <w:spacing w:after="0" w:line="271"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 and make use of large language models deploying generative AI applications in healthcare.</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Our unique dataset allows us to leverage multimodal data to deploy generative AI across the large language models we develop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neuropsychiatry in 2020 (MDD, bipolar disease, anxiety), radiology and cardiology in 2023.</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AI Applications at scale.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believe our AI Applications product line represents an emerging category of diagnostics that are algorithmic in nature and has the potential to be highly disruptive across a broad set of disease areas. For example, our currently deployed Algos use data the same way laboratory diagnostics companies use chemistry in the battle against disease, improving patient care by learning from the patients who have come before, and tailoring test results based on each patient’s unique profile. We believe that as our database grows, we will be able to expand our AI Applications offering, representing a significant long-term opportunity that may be substantially larger than our other existing product lines. We believe our ability to launch AI Applications at scale is a key differentiator of our Platform.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65% of all academic medical centers in the United States. We have approximately 450 direct unique data connections, many of which supply us with complex multimodal data in near real time, across more than 2,000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network to improve patient care and research. These products have gained significant traction over the past five years, as our offerings are used by more than 7,000 physicians in some way. Between our sequencing and data collection efforts, we are connected in some way to more than 50% of all oncologists practicing in the United States. The value of our products is further evidenced by our volume of repeat ordering from oncologists. Through December 2023, the 12-month retention rate for physicians ordering more than 5 oncology NGS tests was 87% and for physicians ordering more than 25 oncology NGS tests, it was 92%. We define an active physician as those that have placed an oncology NGS test in the last 365 days. The 2023 retention rates are calculated by dividing the number of active physicians in 2022 who have placed more than 5 or 25 oncology NGS tests and also placed an order in 2023 by the total number of active physicians in 2022 who placed more than 5 or 25 oncology NGS tests. As of December 31, 2023, the number of active physicians that had ordered more than 5 oncology NGS tests in the last 365 days was 3,186, and the number of physicians that had previously ordered more than 5 oncology NGS tests but did not order one in 2023 was</w:t>
      </w:r>
    </w:p>
    <w:p>
      <w:pPr>
        <w:spacing w:after="0" w:line="6" w:lineRule="exact"/>
        <w:rPr>
          <w:sz w:val="20"/>
          <w:szCs w:val="20"/>
          <w:color w:val="auto"/>
        </w:rPr>
      </w:pPr>
    </w:p>
    <w:p>
      <w:pPr>
        <w:ind w:firstLine="5"/>
        <w:spacing w:after="0" w:line="247" w:lineRule="auto"/>
        <w:tabs>
          <w:tab w:leader="none" w:pos="3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number of active ordering physicians that had ordered more than 25 oncology NGS tests in the prior 365 days was 1,977, and the number of physicians that had previously ordered more than 25 oncology NGS tests but did not order one in 2023 was 162.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neuropsychiatry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clinical trials and through the development of companion diagnostics. At present, we have more than 211 sales representatives focused on our Genomics offering, and intend to significantly add resources to the team over time.</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As of March 31, 2024, we have worked with over 200 biotech companies, as well as 19 of the 20 largest public pharmaceutical companies based on 2023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Trials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AI Applications at scale.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have AI Applications commercially launched through our three Algos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also intend to focus on growing our primary AI Applications product called “Next,” which is an AI-platform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We will also seek to launch additional AI Applications, such as implementing new software as a medical device and building and deploying clinical decision support tools.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AI Applications across multiple disease categories.</w:t>
      </w:r>
    </w:p>
    <w:p>
      <w:pPr>
        <w:spacing w:after="0" w:line="296" w:lineRule="exact"/>
        <w:rPr>
          <w:sz w:val="20"/>
          <w:szCs w:val="20"/>
          <w:color w:val="auto"/>
        </w:rPr>
      </w:pPr>
    </w:p>
    <w:p>
      <w:pPr>
        <w:ind w:left="460" w:right="8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neuropsychiatry, radiology, cardiology, and other disease categories.</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data associations and substantially reduce the guesswork as to which drug to prescribe, in what amount, and in which order. We believe these conditions exist in oncology, neuropsychiatry,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 such as our Joint Venture in Japan. See “Prospectus Summary—Recent Developments—Japan Joint Venture and Related Agreements” for additional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March 31, 2024, our clinical sales organization in the United States included more than 199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March 31, 2024, we have either published or been acknowledged in 485 publications (401 Tempus-authored), including the following:</w:t>
      </w:r>
    </w:p>
    <w:p>
      <w:pPr>
        <w:spacing w:after="0" w:line="89" w:lineRule="exact"/>
        <w:rPr>
          <w:sz w:val="20"/>
          <w:szCs w:val="20"/>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126 total (93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 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 total (237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a similar strategy in neuropsychiatry, in which we aim to increase the commercial adoption of our nP test for depression as part of the rapidly growing market for pharmacogenomic testing, with a goal to better understand, diagnose and treat neuropsychiatric disorders.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and Services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and Services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March 31, 2024, we had approximately 47 sales executives in our Data and Services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Our primary AI Applications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commercialize AI Applications in multiple ways. With respect to Algos, historically, we have billed our Algos in oncology to third-party payers just like our other clinical tests. Beginning January 1, 2023, these three Algos were no longer billed separately as there is now a dedicated CPT code to bill for the underlying wet lab procedure.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to billing third-party payers, we also work with pharmaceutical companies and healthcare providers to deploy AI Applications that we bill directly to the customer.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diagnostics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neuropsychiatry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and Services products primarily face competition from companies that help pharmaceutical and biotechnology companies acquire data to inform drug discovery and development. Our main competitors in this area are Flatiron Health, Inc., IQVIA Holdings Inc., ConcertAI, and others. Our Data and Services products also face competition from CROs, such as Fortrea,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2023, we had received payment on approximately 50% of our clinical oncology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$916 and $1,452, respectively. Our strategy to improve reimbursement is as follows:</w:t>
      </w:r>
    </w:p>
    <w:p>
      <w:pPr>
        <w:spacing w:after="0" w:line="92" w:lineRule="exact"/>
        <w:rPr>
          <w:sz w:val="20"/>
          <w:szCs w:val="20"/>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maintain coverage of current assays, obtain coverage of new assays through engagement and reconsideration requests, and to continue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our new MAC, Palmetto, which covers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FDA approval of additional assays.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work with commercial payers to both get in network and get our assay approved and reimbursement at a higher rate than it currently is.</w:t>
      </w:r>
    </w:p>
    <w:p>
      <w:pPr>
        <w:spacing w:after="0" w:line="23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Atlanta, and Raleigh. Our Chicago, Atlanta and Raleigh laboratories are CAP-accredited and CLIA-certified, and licensed in other states including New York, California, Maryland, Pennsylvania, and Rhode Island.</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scale our laboratories have been able to achieve in the approximately 7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At present, for our xT and xF tests, our laboratory workflows enable us to successfully deliver results over 95% of the time, assuming tissue is received that meets the minimum requirements we have outlined for our assays.</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2023, our average turnaround time for our xT assays was approximately nine days, and our average turnaround time for xF was seven days.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AstraZeneca Master Services Agreement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minimum commitment may increase to $320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2028, unless terminated sooner.</w:t>
      </w:r>
    </w:p>
    <w:p>
      <w:pPr>
        <w:spacing w:after="0" w:line="16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warrant, AstraZeneca has the right to purchase up to $100 million in shares of our Class A common stock at an exercise price equal to the initial public offering price in this offering. The number of shares of Class A common stock issuable upon exercise of the warrant will be determined based on the initial public offering price in this offering (2,777,778 shares of Class A common stock, assuming an initial public offering price of $36.00 per share, the midpoint of the estimated price range set forth on the cover page of this prospectus). The warrant may be exercised any time following the date that is 180 days following the pricing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GSK Master Services Agreement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Class A common stock and Class B common stock outstanding on November 3, 2023, or the date immediately preceding the date of any shares of Class A common stock issued pursuant to the Recursion Agreement, whichever is less. We have customary registration rights with respect to any shares of Recursion’s Class A common stock issued pursuant to the Recursion Agreement.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3684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52060" cy="368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has AI assistant capabilities and relays information contained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oncology reports and supporting database 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March 31, 2024, our patent portfolio and patent applications included 82 issued U.S. patents and allowed applications, 113 pending U.S. non-provisional patent applications, 16 pending U.S. provisional patent applications, 7 pending Patent Cooperation Treaty (international) patent applications, 25 issued foreign patents, 166 pending foreign patent applications, 6 licensed issued U.S. patents, 1 licensed pending U.S. patent application, 10 licensed issued foreign patents and 3 licensed pending foreign patent applications. Our issued patents are expected to begin expiring in 2033, assuming payment of all appropriate maintenance, renewal, annuity or other governmental fees. These patents and applications generally fall into four broad categories:</w:t>
      </w:r>
    </w:p>
    <w:p>
      <w:pPr>
        <w:spacing w:after="0" w:line="95" w:lineRule="exact"/>
        <w:rPr>
          <w:sz w:val="20"/>
          <w:szCs w:val="20"/>
          <w:color w:val="auto"/>
        </w:rPr>
      </w:pPr>
    </w:p>
    <w:p>
      <w:pPr>
        <w:ind w:left="1000" w:hanging="549"/>
        <w:spacing w:after="0" w:line="26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investigational products, or “off-label” uses of cleared or approved products;</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right="20"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On May 6, 2024, the FDA published final regulations taking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In addition to FDA regulation, the New York Clinical Laboratory Evaluation Program separately approves certain LDTs offered to New York State patients.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Atlanta, Georgia and Raleigh, North Carolina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9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went into effect on January 1, 2023 and creates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the Virginia Consumer Data Protection Act, and Colorado passed the Colorado Privacy Act, both of which differ from the CPRA and became effective in 2023.</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such challenges and litigation, and the healthcare reform measures of the Biden administration will impact the ACA.</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 unless additional Congressional action is taken.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91"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Initial indications suggest that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within which we operate. On May 1, 2024, CMS posted the MAC-specific payment recommendations which indicated that the codes applicable to our tests would be reimbursed at the same or a higher level than they were previously reimbursed. These recommendations are currently open for public comment and CMS will publish the final MAC-specific amounts in September. If CMS ultimately prices the new codes at lower rates than they have previously reimbursed our tests at, such pricing decision may have a significant impact on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37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based on our current knowledge,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additional inquiry since that time. 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expect to continue producing responsive documents on a rolling basis over the next several months. While the Company believes its programs and payments comply with the Anti-Kickback statute, no assurance can be given as to the timing or outcome of the government’s investigation, or that it will not result in a material adverse effect on the Company’s business. In addition, we have received requests for medical records and billing information from certain Unified Program Integrity Coordinators regarding clinical diagnostic services provided by Tempus to patients enrolled in the Medicare and Medicaid programs. We have responded to all such requests for information.</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11, 2024,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intend to vigorously defend ourselves in this matter. Based on our initial review, we believe that we have reasonable defenses available.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We also have a new genomics lab in Raleigh, North Carolina, which became operational in 2022 and from which we began offering commercial laboratory tests in the second half of 2022. Our CLIA-certified laboratories are located in these facilities.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As of March 31, 2024, we had more than 2,300 employees, of which 757 were technical and were engaged in product and engineering, and research and development. As of March 31, 2024, 983 employees were based at our headquarters in Chicago, Illinois, 88 employees were based in Atlanta, Georgia, and 122 employees were based in Raleigh, North Carolina. None of our employees are currently represented by a labor union or covered under a collective bargaining agreement, and we have never experienced a work stoppage. However, on February 8, 2024, the International Association of Machinists and Aerospace Workers, or the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Even though we are currently unaware of other unionization efforts, it is possible that other employees may also seek to unionize. We consider our relationship with our employees to be positive.</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May 31, 2024,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6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2"/>
                <w:szCs w:val="22"/>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Administrative and Legal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 and Assistant Secretary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Andrew Polovin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David R. Epstein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line="210" w:lineRule="exact"/>
              <w:rPr>
                <w:sz w:val="20"/>
                <w:szCs w:val="20"/>
                <w:color w:val="auto"/>
              </w:rPr>
            </w:pPr>
            <w:r>
              <w:rPr>
                <w:rFonts w:ascii="Times New Roman" w:cs="Times New Roman" w:eastAsia="Times New Roman" w:hAnsi="Times New Roman"/>
                <w:sz w:val="16"/>
                <w:szCs w:val="16"/>
                <w:color w:val="auto"/>
              </w:rPr>
              <w:t>Robert Ghenchev</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60" w:hanging="455"/>
        <w:spacing w:after="0" w:line="267"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is expected to resign from our board of directors, effective immediately prior to the effectiveness of the registration statement of which this prospectus forms a part.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 of directors since our inception. Before 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9"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 Entrepreneur-in-Residence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77"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Polovin </w:t>
      </w:r>
      <w:r>
        <w:rPr>
          <w:rFonts w:ascii="Times New Roman" w:cs="Times New Roman" w:eastAsia="Times New Roman" w:hAnsi="Times New Roman"/>
          <w:sz w:val="18"/>
          <w:szCs w:val="18"/>
          <w:color w:val="auto"/>
        </w:rPr>
        <w:t>has served as our General Counsel since June 2020 and our Executive Vice President and Secretary since April 2024. From August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June 2020, Mr. Polovin was the 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w:t>
      </w:r>
    </w:p>
    <w:p>
      <w:pPr>
        <w:spacing w:after="0" w:line="182"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 of directors of Sprout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February 2024. Mr. Epstein also serves as a board member at a privately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biotherapeutics company, Valo Health, LLC. He is a Director at the non-profit Three Opinions Foundation Inc and at South Florida’s Pelican Harbor Seabird Station. Mr. Epstein previously served as the Chief Executive Officer and a member of the board of directors of Seagen Inc. (Nasdaq: SGEN) from November 2022 until Seagen’s acquisition by Pfizer Inc. in December 2023. From October 2021 to December 2023, Mr. Epstein served on the board of directors of OPY Acquisition Corp. I (Nasdaq: OHAA). From June 2022 to June 2023, Mr. Epstein served as a member of the board of directors of Senti Biosciences, Inc. (Nasdaq: SNTI) and was previously a member of the board of Senti’s predecessor, Dynamics Special Purpose Corp. (Nasdaq: DYNS) since March 2021. From March 2017 to February 2023, he served as a director at Evelo Biosciences, Inc. (Nasdaq: EVLO),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(Nasdaq: AXLA) and, from January 2017 to October 2022, Mr. Epstein served on the board of directors of Rubius Therapeutics, Inc. (Nasdaq: RUBY), he served on the board of directors of Seer, Inc. (Nasdaq: SEER). From 2010 to mid-2016, he served as the Chief Executive Officer of Novartis Pharmaceuticals, a division of Novartis AG. Previously, he started and led Novartis’ Oncology and Molecular Diagnostic units. Under his leadership, Norvartis’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w:t>
      </w:r>
    </w:p>
    <w:p>
      <w:pPr>
        <w:spacing w:after="0" w:line="19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Workday, Inc. since July 2022, Insulet Corp since October 2020 and Humana Inc. since February 2020. From July 2020 to October 2022, Dr. Frederick served as a member of the board of director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Managing Partner and Head of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at Novo Holdings A/S. Prior to joining Novo Holdings in January of 2018, Mr. Ghenchev served as a Senior Vice President at Moelis &amp; Company in London where he focused on mergers and acquisitions within the healthcare industry, from April 2010 to January 2018. Mr. Ghenchev also serves on the boards of directors of Exscientia plc, a Nasdaq-listed public company, Oxford Biomedica plc, a company listed on the London Stock Exchange, and other private companies. Mr. Ghenchev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6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the Capital One Arena in Washington, D.C. and Monumental Sports Network.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which currently consists of ten directors. Mr. Ghenchev is expected to resign from our board of directors immediately prior to the effectiveness of the registration statement of which this prospectus forms a part. Accordingly, our board of directors is expected to consist of nine directors upon the consummation of this offering.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Our board of directors has determined that each of Messrs. Belcher and Frederick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material risks relating to data privacy, technology and information security, including cybersecurity.</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David R. Epstein and Nadja West. The chair of our compensation committee will be Mr. Barris. Our board of directors has determined that each of Messrs. Barris and Epstein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compensation clawback or similar policies;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 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ESG activities, as applicable;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2023:</w:t>
      </w:r>
    </w:p>
    <w:p>
      <w:pPr>
        <w:spacing w:after="0" w:line="24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20" w:type="dxa"/>
            <w:vAlign w:val="bottom"/>
            <w:vMerge w:val="restart"/>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(1)(2)</w:t>
            </w:r>
          </w:p>
        </w:tc>
        <w:tc>
          <w:tcPr>
            <w:tcW w:w="100" w:type="dxa"/>
            <w:vAlign w:val="bottom"/>
          </w:tcPr>
          <w:p>
            <w:pPr>
              <w:spacing w:after="0"/>
              <w:rPr>
                <w:sz w:val="13"/>
                <w:szCs w:val="13"/>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880" w:type="dxa"/>
            <w:vAlign w:val="bottom"/>
            <w:gridSpan w:val="3"/>
          </w:tcPr>
          <w:p>
            <w:pPr>
              <w:jc w:val="right"/>
              <w:ind w:right="1040"/>
              <w:spacing w:after="0" w:line="15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945,500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1,045,500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0" w:type="dxa"/>
            <w:vAlign w:val="bottom"/>
          </w:tcPr>
          <w:p>
            <w:pPr>
              <w:spacing w:after="0"/>
              <w:rPr>
                <w:sz w:val="19"/>
                <w:szCs w:val="19"/>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Pr>
          <w:p>
            <w:pPr>
              <w:spacing w:after="0"/>
              <w:rPr>
                <w:sz w:val="19"/>
                <w:szCs w:val="19"/>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jc w:val="both"/>
        <w:ind w:left="460" w:hanging="455"/>
        <w:spacing w:after="0" w:line="279" w:lineRule="auto"/>
        <w:tabs>
          <w:tab w:leader="none" w:pos="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non-employee directors during 2023 under our 2015 Plan, computed in accordance with the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aggregate number of shares underlying outstanding RSUs under our 2015 Plan held by each of our non-employee directors was as follows:</w:t>
      </w:r>
    </w:p>
    <w:p>
      <w:pPr>
        <w:spacing w:after="0" w:line="190"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40" w:type="dxa"/>
            <w:vAlign w:val="bottom"/>
            <w:vMerge w:val="restart"/>
          </w:tcPr>
          <w:p>
            <w:pPr>
              <w:spacing w:after="0"/>
              <w:rPr>
                <w:sz w:val="13"/>
                <w:szCs w:val="13"/>
                <w:color w:val="auto"/>
              </w:rPr>
            </w:pPr>
          </w:p>
        </w:tc>
        <w:tc>
          <w:tcPr>
            <w:tcW w:w="3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b w:val="1"/>
                <w:bCs w:val="1"/>
                <w:color w:val="auto"/>
                <w:w w:val="99"/>
              </w:rPr>
              <w:t>Underlying RSUs</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(a)</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20" w:type="dxa"/>
            <w:vAlign w:val="bottom"/>
          </w:tcPr>
          <w:p>
            <w:pPr>
              <w:spacing w:after="0"/>
              <w:rPr>
                <w:sz w:val="18"/>
                <w:szCs w:val="18"/>
                <w:color w:val="auto"/>
              </w:rPr>
            </w:pPr>
          </w:p>
        </w:tc>
        <w:tc>
          <w:tcPr>
            <w:tcW w:w="1300" w:type="dxa"/>
            <w:vAlign w:val="bottom"/>
            <w:gridSpan w:val="2"/>
          </w:tcPr>
          <w:p>
            <w:pPr>
              <w:ind w:left="60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20" w:type="dxa"/>
            <w:vAlign w:val="bottom"/>
          </w:tcPr>
          <w:p>
            <w:pPr>
              <w:spacing w:after="0"/>
              <w:rPr>
                <w:sz w:val="18"/>
                <w:szCs w:val="18"/>
                <w:color w:val="auto"/>
              </w:rPr>
            </w:pPr>
          </w:p>
        </w:tc>
        <w:tc>
          <w:tcPr>
            <w:tcW w:w="1300" w:type="dxa"/>
            <w:vAlign w:val="bottom"/>
            <w:gridSpan w:val="2"/>
          </w:tcPr>
          <w:p>
            <w:pPr>
              <w:ind w:left="600"/>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(c)</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20" w:type="dxa"/>
            <w:vAlign w:val="bottom"/>
          </w:tcPr>
          <w:p>
            <w:pPr>
              <w:spacing w:after="0"/>
              <w:rPr>
                <w:sz w:val="24"/>
                <w:szCs w:val="24"/>
                <w:color w:val="auto"/>
              </w:rPr>
            </w:pP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(d)</w:t>
            </w:r>
          </w:p>
        </w:tc>
        <w:tc>
          <w:tcPr>
            <w:tcW w:w="0" w:type="dxa"/>
            <w:vAlign w:val="bottom"/>
          </w:tcPr>
          <w:p>
            <w:pPr>
              <w:spacing w:after="0"/>
              <w:rPr>
                <w:sz w:val="1"/>
                <w:szCs w:val="1"/>
                <w:color w:val="auto"/>
              </w:rPr>
            </w:pPr>
          </w:p>
        </w:tc>
      </w:tr>
    </w:tbl>
    <w:p>
      <w:pPr>
        <w:jc w:val="both"/>
        <w:ind w:left="460" w:hanging="455"/>
        <w:spacing w:after="0" w:line="242"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April 1,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74" w:lineRule="auto"/>
        <w:tabs>
          <w:tab w:leader="none" w:pos="4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 RSUs, 1/20 of which vest on January 1, 2021 and quarterly thereafter, provided that the recipient remains in continuous service with us through each vesting date, and subject to the earlier to occur of (i) the consummation of this offering and (ii) a change in control of our company.</w:t>
      </w:r>
    </w:p>
    <w:p>
      <w:pPr>
        <w:jc w:val="both"/>
        <w:ind w:left="460" w:hanging="455"/>
        <w:spacing w:after="0" w:line="243"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one fourth of which vest on July 1, 2020 and quarterly thereafter, and 25,000 RSUs, one fifth of which vest on July 1, 2024, and 1/20 of which vest quarterly thereafter, provided that, in each case,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fifth of which vest on April 1, 2021, and 1/20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in connection with Mr. Epstein’s appointment to our board of directors, he received 15,000 RSUs, which vest ratably on a quarterly basis over a period of 15 quarters beginning on February 5, 2024, provided that Mr. Epstein remains in continuous service with us through each vesting date.</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board of directors adopted a non-employee director compensation policy in February 2024 that will become effective upon the effectiveness of the registration statement of which this prospectus forms a part and will be applicable to all of our non-employee directors. This compensation policy provides that each such non-employee director will receive the following compensation for service on our board of directors:</w:t>
      </w:r>
    </w:p>
    <w:p>
      <w:pPr>
        <w:spacing w:after="0" w:line="89" w:lineRule="exact"/>
        <w:rPr>
          <w:sz w:val="20"/>
          <w:szCs w:val="20"/>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$50,000 (plus an additional $12,500 for the non-executive chair of our board of directors or lead independent direct, if any);</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$12,500 for service as a member of the audit committee, compensation committee and the nominating and corporate governance committee;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grant having grant date fair value of $500,000 on the date of each such non-employee director’s appointment to our board of directors;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refresh RSU grant having a grant date fair value of $500,000 on the fifth anniversary of such non-employee director’s initial RSU grant or initial public offering grant, as described below; as applicable;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grant having grant date fair value of $125,000 on the date of each of our annual stockholder meetings.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Under the non-employee director compensation policy, directors may elect to receive some or all of their eligible cash compensation in the form of RSUs.</w:t>
      </w:r>
    </w:p>
    <w:p>
      <w:pPr>
        <w:spacing w:after="0" w:line="23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we will grant each of our non-employee directors RSUs with a grant date fair value of $500,000 on the date of this prospectus.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of the RSU grants described above under the non-employee director compensation policy will be granted under our 2024 Plan, the terms of which are described in more detail below under the section titled “Executive Compensation—Equity Incentive Plans—2024 Equity Incentive Plan.” Each of the initial RSU grants and grants made in connection with this offering, as applicable,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w:t>
      </w:r>
    </w:p>
    <w:p>
      <w:pPr>
        <w:spacing w:after="0" w:line="103" w:lineRule="exact"/>
        <w:rPr>
          <w:sz w:val="20"/>
          <w:szCs w:val="20"/>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all of the compensation awarded to or earned by or paid to our named executive officers for the years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36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3"/>
                <w:szCs w:val="1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37"/>
              <w:spacing w:after="0" w:line="156"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(1)</w:t>
            </w:r>
          </w:p>
        </w:tc>
        <w:tc>
          <w:tcPr>
            <w:tcW w:w="480" w:type="dxa"/>
            <w:vAlign w:val="bottom"/>
          </w:tcPr>
          <w:p>
            <w:pPr>
              <w:spacing w:after="0"/>
              <w:rPr>
                <w:sz w:val="15"/>
                <w:szCs w:val="15"/>
                <w:color w:val="auto"/>
              </w:rPr>
            </w:pPr>
          </w:p>
        </w:tc>
        <w:tc>
          <w:tcPr>
            <w:tcW w:w="150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640" w:type="dxa"/>
            <w:vAlign w:val="bottom"/>
            <w:tcBorders>
              <w:top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Chairmain</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95"/>
        </w:trPr>
        <w:tc>
          <w:tcPr>
            <w:tcW w:w="4080" w:type="dxa"/>
            <w:vAlign w:val="bottom"/>
            <w:gridSpan w:val="2"/>
          </w:tcPr>
          <w:p>
            <w:pPr>
              <w:spacing w:after="0" w:line="294" w:lineRule="exact"/>
              <w:rPr>
                <w:sz w:val="20"/>
                <w:szCs w:val="20"/>
                <w:color w:val="auto"/>
              </w:rPr>
            </w:pPr>
            <w:r>
              <w:rPr>
                <w:rFonts w:ascii="Times New Roman" w:cs="Times New Roman" w:eastAsia="Times New Roman" w:hAnsi="Times New Roman"/>
                <w:sz w:val="18"/>
                <w:szCs w:val="18"/>
                <w:color w:val="auto"/>
              </w:rPr>
              <w:t>James Rogers</w:t>
            </w:r>
            <w:r>
              <w:rPr>
                <w:rFonts w:ascii="Times New Roman" w:cs="Times New Roman" w:eastAsia="Times New Roman" w:hAnsi="Times New Roman"/>
                <w:sz w:val="26"/>
                <w:szCs w:val="26"/>
                <w:color w:val="auto"/>
                <w:vertAlign w:val="superscript"/>
              </w:rPr>
              <w:t>(3)</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491,667</w:t>
            </w:r>
          </w:p>
        </w:tc>
        <w:tc>
          <w:tcPr>
            <w:tcW w:w="1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2,762,550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14"/>
              <w:spacing w:after="0" w:line="294" w:lineRule="exact"/>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3,306,317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450,000</w:t>
            </w:r>
          </w:p>
        </w:tc>
        <w:tc>
          <w:tcPr>
            <w:tcW w:w="1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2,975,250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3,427,350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Ryan Fukushima</w:t>
            </w:r>
            <w:r>
              <w:rPr>
                <w:rFonts w:ascii="Times New Roman" w:cs="Times New Roman" w:eastAsia="Times New Roman" w:hAnsi="Times New Roman"/>
                <w:sz w:val="24"/>
                <w:szCs w:val="24"/>
                <w:color w:val="auto"/>
                <w:vertAlign w:val="superscript"/>
              </w:rPr>
              <w:t>(4)</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390,625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200,000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4,604,250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78,468</w:t>
            </w:r>
            <w:r>
              <w:rPr>
                <w:rFonts w:ascii="Times New Roman" w:cs="Times New Roman" w:eastAsia="Times New Roman" w:hAnsi="Times New Roman"/>
                <w:sz w:val="24"/>
                <w:szCs w:val="24"/>
                <w:color w:val="auto"/>
                <w:vertAlign w:val="superscript"/>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5,273,343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499,858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5,550,870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6,141,544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jc w:val="both"/>
        <w:ind w:left="460" w:hanging="455"/>
        <w:spacing w:after="0" w:line="248"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granted to our executive officers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represents parking fees in the amount of $2,100.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annualized base salary for 2022 was $450,000. As described below under “—Employment Arrangements,” he entered into a new employment agreement, effective January 2023, providing for an annualized base salary of $500,000.</w:t>
      </w:r>
    </w:p>
    <w:p>
      <w:pPr>
        <w:jc w:val="both"/>
        <w:ind w:left="460" w:hanging="455"/>
        <w:spacing w:after="0" w:line="243"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Fukushima’s annualized base salary for 2022 was $500,000. As described below under “—Employment Arrangements,” he entered into a new employment agreement, effective January 2023, providing for an annualized base salary of $375,000, which represents a proration based on the amount of time subject to outside activities that Mr. Fukushima devotes to Pathos AI, Inc. See the section titled “Certain Relationships and Related Party Transactions —Agreements with Pathos” in this prospectus for more information.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a housing stipend earned during each of the years presented.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2023</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outstanding equity awards granted to our named executive officers that remain outstanding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tcPr>
          <w:p>
            <w:pPr>
              <w:jc w:val="center"/>
              <w:ind w:right="41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520" w:type="dxa"/>
            <w:vAlign w:val="bottom"/>
            <w:gridSpan w:val="2"/>
          </w:tcPr>
          <w:p>
            <w:pPr>
              <w:jc w:val="center"/>
              <w:ind w:right="41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22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5"/>
              </w:rPr>
              <w:t>Vested</w:t>
            </w:r>
            <w:r>
              <w:rPr>
                <w:rFonts w:ascii="Times New Roman" w:cs="Times New Roman" w:eastAsia="Times New Roman" w:hAnsi="Times New Roman"/>
                <w:sz w:val="10"/>
                <w:szCs w:val="10"/>
                <w:b w:val="1"/>
                <w:bCs w:val="1"/>
                <w:color w:val="auto"/>
                <w:w w:val="95"/>
              </w:rPr>
              <w:t>(2)</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5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2"/>
              </w:rPr>
              <w:t>(3)</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184,032,120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November 11, 2017</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520" w:type="dxa"/>
            <w:vAlign w:val="bottom"/>
            <w:gridSpan w:val="2"/>
          </w:tcPr>
          <w:p>
            <w:pPr>
              <w:jc w:val="right"/>
              <w:ind w:right="274"/>
              <w:spacing w:after="0" w:line="297" w:lineRule="exact"/>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March 13, 2018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17, 2019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15, 2020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21, 2021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21, 2021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27, 2022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18, 2023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15, 2023</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July 18, 2023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31, 2023</w:t>
            </w:r>
          </w:p>
        </w:tc>
        <w:tc>
          <w:tcPr>
            <w:tcW w:w="1520" w:type="dxa"/>
            <w:vAlign w:val="bottom"/>
            <w:gridSpan w:val="2"/>
          </w:tcPr>
          <w:p>
            <w:pPr>
              <w:jc w:val="right"/>
              <w:ind w:right="274"/>
              <w:spacing w:after="0"/>
              <w:rPr>
                <w:sz w:val="20"/>
                <w:szCs w:val="20"/>
                <w:color w:val="auto"/>
              </w:rPr>
            </w:pPr>
            <w:r>
              <w:rPr>
                <w:rFonts w:ascii="Times New Roman" w:cs="Times New Roman" w:eastAsia="Times New Roman" w:hAnsi="Times New Roman"/>
                <w:sz w:val="18"/>
                <w:szCs w:val="18"/>
                <w:color w:val="auto"/>
              </w:rPr>
              <w:t>60,000</w:t>
            </w:r>
            <w:r>
              <w:rPr>
                <w:rFonts w:ascii="Times New Roman" w:cs="Times New Roman" w:eastAsia="Times New Roman" w:hAnsi="Times New Roman"/>
                <w:sz w:val="26"/>
                <w:szCs w:val="26"/>
                <w:color w:val="auto"/>
                <w:vertAlign w:val="superscript"/>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March 13, 2018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April 17, 2019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October 16, 2019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21, 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21, 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 2022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January 3, 2022</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27, 2022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18, 2023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2023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18, 2023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2023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granted pursuant to our 2015 Plan, the terms of which are described below under “—Equity Incentive Plans—2015 Stock Plan.”</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$37.82 as of December 31, 2023 as determined by our board of directors, multiplied by the amount shown in the column “Stock Awards—Number of Shares or Units of Stock that Have Not Vested.”</w:t>
      </w: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 each of which we refer to as a Liquidity Event. These PSUs were originally granted as Performance-Vesting Restricted Stock Unit awards, or PSUs, which included both a Liquidity Event vesting requirement and a performance-vesting condition. In July 2023, our board of directors approved the removal of the performance-vesting condition, following which these PSUs are treated as RSUs, as more fully described in the section titled “—Equity Incentive Plans—2015 Stock Plan” below.</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of these RSUs vest quarterly during the first year commencing on the vesting commencement date, 1/12 of these RSUs vest quarterly during the second year and one eighth of these RSUs vest quarterly during the third year,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eighth of these RSUs vest quarterly starting on the second anniversary of the vesting commencement date, provided that the recipient remains in continuous service with us through each vesting date, and subject to the earlier to occur of (i) the consummation of this offering and (ii) a change in control of our company.</w:t>
      </w:r>
    </w:p>
    <w:p>
      <w:pPr>
        <w:spacing w:after="0" w:line="18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2024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Plans—2024 Equity Incentive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as of the date of this prospectus. Mr. Lefkofsky’s employment agreement provides for an annual base salary of $800,000 beginning on January 1, 2025, and an annual cash bonus of $800,000, in each case, subject to review and adjustment by the company in its sole discretion.</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Under the terms of his employment agreement, if Mr. Lefkofsky resigns for Good Reason or we terminate Mr. Lefkofsky’s employment without Cause (each as defined in his employment agreement), in either case in the event of a Change in Control (as defined in the 2024 Plan), 100% of his then-unvested equity will immediately accelerate, vest and become exercisable. In addition, on the date of this prospectus, we will grant Mr. Lefkofsky 750,000 RSUs under the 2024 Plan, which will vest in substantially equal quarterly installments over a five-year period.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2023. Mr. Rogers’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2023. Mr. Fukushima’s employment agreement provides for an annual base salary of $375,000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board of directors intends to adopt the 2024 Equity Incentive Plan, or the 2024 Plan, that will become effective on the date of the underwriting agreement related to this offering. Our 2024 Plan will come into existence upon its adoption by our board of directors, but no grants will be made under our 2024 Plan prior to its effectiveness. Once our 2024 Plan becomes effective, no further grants will be made under our 2015 Plan.</w:t>
      </w:r>
    </w:p>
    <w:p>
      <w:pPr>
        <w:spacing w:after="0" w:line="17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2024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2024 Plan is 7,430,000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2024 Plan will automatically increase on January 1 of each year, beginning on January 1, 2025, and continuing through and including January 1, 2034, in an amount equal to either (i) a number of shares of our Class A common stock or,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w:t>
      </w:r>
    </w:p>
    <w:p>
      <w:pPr>
        <w:spacing w:after="0" w:line="1" w:lineRule="exact"/>
        <w:rPr>
          <w:sz w:val="20"/>
          <w:szCs w:val="20"/>
          <w:color w:val="auto"/>
        </w:rPr>
      </w:pPr>
    </w:p>
    <w:p>
      <w:pPr>
        <w:ind w:firstLine="5"/>
        <w:spacing w:after="0" w:line="247"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lesser number of shares determined by our board of directors prior to the applicable January 1. The maximum number of shares that may be issued upon the exercise of ISOs under our 2024 Plan is 22,290,000 shares.</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2024 Plan will be authorized but unissued or reacquired shares of Class A common stock. Shares subject to awards granted under our 2024 Plan that expire or terminate without being exercised in full, or that are paid out in cash rather than in shares, will not reduce the number of shares available for issuance under our 2024 Plan. Additionally, shares issued pursuant to awards under our 2024 Plan that we repurchase or that are forfeited, as well as shares used to pay the exercise price of an award or to satisfy the tax withholding obligations to an award, will become available for future grant under our 2024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2024 Plan or otherwise during any calendar year beginning in 2025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2024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2024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2024 Plan, the administrator also has the power to modify outstanding awards under our 2024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2024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2024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2024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2024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2024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7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2024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2024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under our 2024 Plan, awards granted under our 2024 Plan will not receive automatic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vesting and exercisability, although this treatment may be provided for in an award agreement.</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All awards granted under the 2024 Plan will be subject to recoupment in accordance with any clawback policy that we are required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w:t>
      </w:r>
    </w:p>
    <w:p>
      <w:pPr>
        <w:spacing w:after="0" w:line="181"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2024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2024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2024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2024 Plan. No awards may be granted under our 2024 Plan while it is suspended or after it is terminated.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1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2025 and continuing through and including January 1, 2034, by the lesser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 2% of the aggregate number of shares of common stock (both Class A and Class B) outstanding on December 31 of the preceding calendar year,</w:t>
      </w:r>
    </w:p>
    <w:p>
      <w:pPr>
        <w:spacing w:after="0" w:line="21" w:lineRule="exact"/>
        <w:rPr>
          <w:sz w:val="20"/>
          <w:szCs w:val="20"/>
          <w:color w:val="auto"/>
        </w:rPr>
      </w:pPr>
    </w:p>
    <w:p>
      <w:pPr>
        <w:jc w:val="both"/>
        <w:ind w:firstLine="5"/>
        <w:spacing w:after="0" w:line="244" w:lineRule="auto"/>
        <w:tabs>
          <w:tab w:leader="none" w:pos="2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but no offering periods under the ESPP will commence unless and until otherwise determined by our board of directors. The implementation of the ESPP and the terms of the offerings thereunder, if any, will be in the discretion of the administrator. The administrator does not currently have any intention to make offerings available under the ESPP.</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July 2023.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March 31, 2024, there were 20,793,305 shares of common stock issuable upon the vesting and settlement of RSUs outstanding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Plan, there were 4,250,000 shares of fully vested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2,517,445 shares of common stock were available for future issuance under the 2015 Plan. In February 2022 and April 2023, we increased the share reserve under the 2015 plan by 3,000,000 shares, respectively. On and after the effective date of the 2024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28,115,750 shares. The maximum number of shares of Class A common stock that may be issued pursuant to the exercise of ISOs under our 2015 Plan is 28,115,750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91"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granted under the 2015 Plan are evidenced by award agreements established by our board of directors.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 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92" w:lineRule="exact"/>
        <w:rPr>
          <w:sz w:val="20"/>
          <w:szCs w:val="20"/>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340"/>
          </w:cols>
          <w:pgMar w:left="320" w:top="448"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5"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also granted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 In July 2023, our board of directors approved the removal of the performance-vesting condition, following which the PSUs are treated as RSUs as the terms of such PSUs are consistent with those of our outstanding RSUs.</w:t>
      </w:r>
    </w:p>
    <w:p>
      <w:pPr>
        <w:spacing w:after="0" w:line="185"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78"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2021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Blue Media, LLC</w:t>
            </w:r>
            <w:r>
              <w:rPr>
                <w:rFonts w:ascii="Times New Roman" w:cs="Times New Roman" w:eastAsia="Times New Roman" w:hAnsi="Times New Roman"/>
                <w:sz w:val="24"/>
                <w:szCs w:val="24"/>
                <w:color w:val="auto"/>
                <w:vertAlign w:val="superscript"/>
              </w:rPr>
              <w:t>(2)</w:t>
            </w:r>
          </w:p>
        </w:tc>
        <w:tc>
          <w:tcPr>
            <w:tcW w:w="1840" w:type="dxa"/>
            <w:vAlign w:val="bottom"/>
            <w:gridSpan w:val="2"/>
          </w:tcPr>
          <w:p>
            <w:pPr>
              <w:ind w:left="740"/>
              <w:spacing w:after="0" w:line="210" w:lineRule="exact"/>
              <w:rPr>
                <w:sz w:val="20"/>
                <w:szCs w:val="20"/>
                <w:color w:val="auto"/>
              </w:rPr>
            </w:pPr>
            <w:r>
              <w:rPr>
                <w:rFonts w:ascii="Times New Roman" w:cs="Times New Roman" w:eastAsia="Times New Roman" w:hAnsi="Times New Roman"/>
                <w:sz w:val="16"/>
                <w:szCs w:val="16"/>
                <w:color w:val="auto"/>
              </w:rPr>
              <w:t>130,876</w:t>
            </w:r>
            <w:r>
              <w:rPr>
                <w:rFonts w:ascii="Times New Roman" w:cs="Times New Roman" w:eastAsia="Times New Roman" w:hAnsi="Times New Roman"/>
                <w:sz w:val="24"/>
                <w:szCs w:val="24"/>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Scottish Mortgage Investment plc</w:t>
            </w:r>
            <w:r>
              <w:rPr>
                <w:rFonts w:ascii="Times New Roman" w:cs="Times New Roman" w:eastAsia="Times New Roman" w:hAnsi="Times New Roman"/>
                <w:sz w:val="24"/>
                <w:szCs w:val="24"/>
                <w:color w:val="auto"/>
                <w:vertAlign w:val="superscript"/>
              </w:rPr>
              <w:t>(4)</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2"/>
              </w:rPr>
              <w:t>872,495</w:t>
            </w:r>
          </w:p>
        </w:tc>
        <w:tc>
          <w:tcPr>
            <w:tcW w:w="5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49,999,983.72</w:t>
            </w: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Schiehallion Fund Limited</w:t>
            </w:r>
            <w:r>
              <w:rPr>
                <w:rFonts w:ascii="Times New Roman" w:cs="Times New Roman" w:eastAsia="Times New Roman" w:hAnsi="Times New Roman"/>
                <w:sz w:val="26"/>
                <w:szCs w:val="26"/>
                <w:color w:val="auto"/>
                <w:vertAlign w:val="superscript"/>
              </w:rPr>
              <w:t>(4)</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43,625</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2,500,013.52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line="253"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Managing Partner and Head of Growth Investments at Novo Holdings US, Inc., which provides consulting services to Novo Holdings A/S.</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Common and Preferred Stock” below. As a result, Blue Media, LLC is no longer a holder of our Series G-2 convertible preferred stock.</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Schiehallion Fund Limited and Scottish Mortgage Investment Trust plc are controlled by Baillie Gifford &amp; Co., a holder of more than 5% of our capital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2022 and May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85% of the public offering price in this offering. The holders of our Series G-3 convertible preferred stock are entitled to paid-in-kind dividends at a rate of 4% of the original issue price, payable in shares of Series G-3 convertible preferred stock. For more information regarding such dividend, see the sections titled “Dividend Policy” and “Prospectus Summary—The Offering—Additional Class A Conversion Shares” in this prospectus. The holders of our Series G-3 convertible preferred stock listed below are also entitled to specified registration rights. See the section titled “Description of Capital Stock—Registration Rights” for additional information regarding these registration rights.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80" w:type="dxa"/>
            <w:vAlign w:val="bottom"/>
            <w:vMerge w:val="restart"/>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4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80" w:type="dxa"/>
            <w:vAlign w:val="bottom"/>
            <w:vMerge w:val="continue"/>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92,483</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5,299,914.03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Scottish Mortgage Investment plc</w:t>
            </w:r>
            <w:r>
              <w:rPr>
                <w:rFonts w:ascii="Times New Roman" w:cs="Times New Roman" w:eastAsia="Times New Roman" w:hAnsi="Times New Roman"/>
                <w:sz w:val="24"/>
                <w:szCs w:val="24"/>
                <w:color w:val="auto"/>
                <w:vertAlign w:val="superscript"/>
              </w:rPr>
              <w:t>(2)</w:t>
            </w: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872,495</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49,999,983.72</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The Schiehallion Fund Limited</w:t>
            </w:r>
            <w:r>
              <w:rPr>
                <w:rFonts w:ascii="Times New Roman" w:cs="Times New Roman" w:eastAsia="Times New Roman" w:hAnsi="Times New Roman"/>
                <w:sz w:val="24"/>
                <w:szCs w:val="24"/>
                <w:color w:val="auto"/>
                <w:vertAlign w:val="superscript"/>
              </w:rPr>
              <w:t>(2)</w:t>
            </w:r>
          </w:p>
        </w:tc>
        <w:tc>
          <w:tcPr>
            <w:tcW w:w="1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87,250</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5,000,027.03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20"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Schiehallion Fund Limited and Scottish Mortgage Investment Trust plc are controlled by Baillie Gifford &amp; Co., a holder of more than 5% of our capital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G-4 Convertible Preferred Stock Financing</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In October 2023, we sold an aggregate of 785,245 shares of our Series G-4 convertible preferred stock at a price per share of $57.3069 for an aggregate purchase price of approximately $45.0 million in private placements to accredited investors. The table below sets forth the number of shares of our Series G-4 preferred stock purchased by our executive officers, directors, holders of more than 5% of our capital stock, and their affiliated entities or immediate family members. The terms of our Series G-4 preferred stock provide that in the event of an initial public offering of our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The holders of our Series G-4 convertible preferred stock are entitled to paid-in-kind dividends at a rate of 5.25% of the original issue price, payable in shares of Series G-4 convertible preferred stock. For more information regarding such dividend, see the sections titled “Dividend Policy” and “Prospectus Summary—The Offering—Additional Class A Conversion Shares” in this prospectus. In addition, we agreed to pay to each holder of Series G-4 preferred stock an amount equal to 5% of the per share price for each share of Series G-4 preferred stock purchased by such holder,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holders within thirty (30) days following this offering. The holders of our Series G-4 preferred stock listed below are entitled to specified registration rights. See the section titled “Description of Capital Stock—Registration Rights” for additional information regarding these registration rights.</w:t>
      </w:r>
    </w:p>
    <w:p>
      <w:pPr>
        <w:spacing w:after="0" w:line="200" w:lineRule="exact"/>
        <w:rPr>
          <w:sz w:val="20"/>
          <w:szCs w:val="20"/>
          <w:color w:val="auto"/>
        </w:rPr>
      </w:pP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460" w:type="dxa"/>
            <w:vAlign w:val="bottom"/>
            <w:vMerge w:val="restart"/>
          </w:tcPr>
          <w:p>
            <w:pPr>
              <w:spacing w:after="0"/>
              <w:rPr>
                <w:sz w:val="18"/>
                <w:szCs w:val="18"/>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5"/>
              </w:rPr>
              <w:t>G-4 Shares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460" w:type="dxa"/>
            <w:vAlign w:val="bottom"/>
            <w:vMerge w:val="continue"/>
          </w:tcPr>
          <w:p>
            <w:pPr>
              <w:spacing w:after="0"/>
              <w:rPr>
                <w:sz w:val="20"/>
                <w:szCs w:val="20"/>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Scottish Mortgage Investment Trust plc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348,998</w:t>
            </w:r>
          </w:p>
        </w:tc>
        <w:tc>
          <w:tcPr>
            <w:tcW w:w="7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$ 19,999,993.49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918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5" w:lineRule="exact"/>
        <w:rPr>
          <w:sz w:val="20"/>
          <w:szCs w:val="20"/>
          <w:color w:val="auto"/>
        </w:rPr>
      </w:pPr>
    </w:p>
    <w:p>
      <w:pPr>
        <w:ind w:left="5540" w:right="2140" w:hanging="5535"/>
        <w:spacing w:after="0" w:line="435" w:lineRule="auto"/>
        <w:tabs>
          <w:tab w:leader="none" w:pos="4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Scottish Mortgage Investment Trust plc is controlled by Baillie Gifford &amp; Co., a holder of more than 5% of our capital stock. 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 Payment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June 4, 2024, we paid an aggregate of approximately $5.6 million of accrued and unpaid cash dividends in respect of certain shares of our convertible preferred stock. Of this amount, approximately $5.3 million was paid to entities controlled by Mr. Lefkofsky and approximately $67,000 was paid to each of BK TL21 LLC and Red Sky LLC.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$0.7 million remains to be amortized. We currently sublease a portion of this office space to Lightbank LLC, Lefkofsky Family Foundation and 346 Investment Partners, each an entity affiliated with and controlled by Mr. Lefkofsky, on a month-to-month basis. As of March 31, 2024, we have received an aggregate of $0.7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March 31, 2024,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entered into a master agreement in August 2021, as amended and restated in February 2024,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16.5%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measured from February 2024,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Either party may terminate the agreement after the initial five-year term by prior written notice to the other party. As of the date of this prospectus, Pathos has paid us an aggregate of $0.8 million in annual subscription fee, and we have not exercised the warrant to purchase shares of Pathos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ran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provide services to help Pathos use our de-identified data to answer research and development questions posed by Pathos. Under the program, we initially provided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increases proportionally.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2023, Ryan Fukushima, Tempus’s Chief Operating Officer, was appointed as interim Chief Executive Officer of Pathos. In connection with such appointment, our Board of Directors has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May 2024, we and Pathos entered into an order form under the master agreement pursuant to which we will license organoids and organoid data sets to Pathos. Under this order form, we granted Pathos a revocable, limited, non-transferable, non-exclusive right and license, without right of sublicense, to use certain organoid material and organoid data. Pathos in turn agreed to pay us certain license fees depending on the number of organoid materials and data it elects to license and the term of such license. The order form provides for an initial term of two years, subject to annual renewal upon written confirmation from us and Pathos. As of the date of this prospectus, we have not received license fee payment from Pathos.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February 2021, we repurchased an aggregate of 130,876 shares of various series of convertible preferred stock from entities affiliated with and controlled by Eric Lefkofsky at the original issue price for a total purchase price of approximately $7.5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April 15, 2024 by:</w:t>
      </w:r>
    </w:p>
    <w:p>
      <w:pPr>
        <w:spacing w:after="0" w:line="121" w:lineRule="exact"/>
        <w:rPr>
          <w:sz w:val="20"/>
          <w:szCs w:val="20"/>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130,041,582 shares of Class A common stock and 5,374,899 shares of Class B common stock outstanding as of April 15, 2024, assuming (i) the conversion of all outstanding shares of our Series B redeemable convertible preferred stock into an aggregate of 5,374,899 shares of Class B common stock (without giving effect to the Class B Transfer), (ii) the issuance and sale of 3,489,981 shares of Series G-5 Convertible preferred stock in April 2024 as if such issuance and sale had occurred on April 15, 2024, (iii) the Preferred Stock Conversion, assuming an initial public offering price of $36.00 per share, the midpoint of the estimated price range set forth on the cover page of this prospectus and (iv) the automatic conversion of all outstanding shares of our nonvoting common stock into 5,069,477 shares of Class A common stock.</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Applicable percentage ownership after this offering gives effect to (a) the Additional Class A Conversion Share Issuance resulting in the issuance of 5,227,001 Additional Class A Conversion Shares, assuming an initial public offering price of $36.00 per share, the midpoint of the estimated price range set forth on the cover page of this prospectus and (b) the net issuance of 2,527,923 shares of Class A common stock upon the RSU Net Settlement and the issuance of 10,724,524 shares of Class A common stock upon the Additional RSU Settlement. See “Prospectus Summary—The Offering—Additional Class A Conversion Shares” for a description of the Additional Class A Conversion Shares, as the number of Additional Class A Conversion Shares that will be issued depends on the initial public offering price of our Class A common stock. Applicable percentage ownership after this offering assumes that the underwriters’ option to purchase additional shares to cover over-allotments, if any, is not exercised and is based on (1) 160,060,473 shares of Class A common stock and (2) 5,043,789 shares of Class B common stock outstanding immediately after the closing of this offering. Applicable percentage ownership after this offering if the underwriters’ option to purchase additional shares to cover over-allotments, if any, is exercised in full is based on (1) 161,725,473 shares of Class A common stock and (2) 5,043,789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April 15, 2024. However, except as described above, we did not deem such shares outstanding for the purpose of computing the percentage ownership of any other person.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20" w:firstLine="608"/>
        <w:spacing w:after="0" w:line="286" w:lineRule="auto"/>
        <w:rPr>
          <w:sz w:val="20"/>
          <w:szCs w:val="20"/>
          <w:color w:val="auto"/>
        </w:rPr>
      </w:pPr>
      <w:r>
        <w:rPr>
          <w:rFonts w:ascii="Times New Roman" w:cs="Times New Roman" w:eastAsia="Times New Roman" w:hAnsi="Times New Roman"/>
          <w:sz w:val="11"/>
          <w:szCs w:val="11"/>
          <w:b w:val="1"/>
          <w:bCs w:val="1"/>
          <w:color w:val="auto"/>
        </w:rPr>
        <w:t>Name of Beneficial Owner 5% Stockholders:</w:t>
      </w:r>
    </w:p>
    <w:p>
      <w:pPr>
        <w:spacing w:after="0" w:line="188" w:lineRule="auto"/>
        <w:rPr>
          <w:sz w:val="20"/>
          <w:szCs w:val="20"/>
          <w:color w:val="auto"/>
        </w:rPr>
      </w:pPr>
      <w:r>
        <w:rPr>
          <w:rFonts w:ascii="Times New Roman" w:cs="Times New Roman" w:eastAsia="Times New Roman" w:hAnsi="Times New Roman"/>
          <w:sz w:val="11"/>
          <w:szCs w:val="11"/>
          <w:color w:val="auto"/>
        </w:rPr>
        <w:t>Eric Lefkofsky</w:t>
      </w:r>
      <w:r>
        <w:rPr>
          <w:rFonts w:ascii="Times New Roman" w:cs="Times New Roman" w:eastAsia="Times New Roman" w:hAnsi="Times New Roman"/>
          <w:sz w:val="16"/>
          <w:szCs w:val="16"/>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Red Sky LLC</w:t>
      </w:r>
      <w:r>
        <w:rPr>
          <w:rFonts w:ascii="Times New Roman" w:cs="Times New Roman" w:eastAsia="Times New Roman" w:hAnsi="Times New Roman"/>
          <w:sz w:val="17"/>
          <w:szCs w:val="17"/>
          <w:color w:val="auto"/>
          <w:vertAlign w:val="superscript"/>
        </w:rPr>
        <w:t>(2)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BK TL21 LLC</w:t>
      </w:r>
      <w:r>
        <w:rPr>
          <w:rFonts w:ascii="Times New Roman" w:cs="Times New Roman" w:eastAsia="Times New Roman" w:hAnsi="Times New Roman"/>
          <w:sz w:val="17"/>
          <w:szCs w:val="17"/>
          <w:color w:val="auto"/>
          <w:vertAlign w:val="superscript"/>
        </w:rPr>
        <w:t>(3)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Entities affiliated with Baillie Gifford &amp; Co.</w:t>
      </w:r>
      <w:r>
        <w:rPr>
          <w:rFonts w:ascii="Times New Roman" w:cs="Times New Roman" w:eastAsia="Times New Roman" w:hAnsi="Times New Roman"/>
          <w:sz w:val="17"/>
          <w:szCs w:val="17"/>
          <w:color w:val="auto"/>
          <w:vertAlign w:val="superscript"/>
        </w:rPr>
        <w:t>(4)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Other Directors and Named Executive Officers: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James Rogers</w:t>
      </w:r>
      <w:r>
        <w:rPr>
          <w:rFonts w:ascii="Times New Roman" w:cs="Times New Roman" w:eastAsia="Times New Roman" w:hAnsi="Times New Roman"/>
          <w:sz w:val="17"/>
          <w:szCs w:val="17"/>
          <w:color w:val="auto"/>
          <w:vertAlign w:val="superscript"/>
        </w:rPr>
        <w:t>(5)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Ryan Fukushima</w:t>
      </w:r>
      <w:r>
        <w:rPr>
          <w:rFonts w:ascii="Times New Roman" w:cs="Times New Roman" w:eastAsia="Times New Roman" w:hAnsi="Times New Roman"/>
          <w:sz w:val="17"/>
          <w:szCs w:val="17"/>
          <w:color w:val="auto"/>
          <w:vertAlign w:val="superscript"/>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Peter J. Barris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Eric D. Belcher</w:t>
      </w:r>
      <w:r>
        <w:rPr>
          <w:rFonts w:ascii="Times New Roman" w:cs="Times New Roman" w:eastAsia="Times New Roman" w:hAnsi="Times New Roman"/>
          <w:sz w:val="17"/>
          <w:szCs w:val="17"/>
          <w:color w:val="auto"/>
          <w:vertAlign w:val="superscript"/>
        </w:rPr>
        <w:t>(7)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Jennifer A. Doudna, Ph.D.</w:t>
      </w:r>
      <w:r>
        <w:rPr>
          <w:rFonts w:ascii="Times New Roman" w:cs="Times New Roman" w:eastAsia="Times New Roman" w:hAnsi="Times New Roman"/>
          <w:sz w:val="17"/>
          <w:szCs w:val="17"/>
          <w:color w:val="auto"/>
          <w:vertAlign w:val="superscript"/>
        </w:rPr>
        <w:t>(8)</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David R. Epstein</w:t>
      </w:r>
      <w:r>
        <w:rPr>
          <w:rFonts w:ascii="Times New Roman" w:cs="Times New Roman" w:eastAsia="Times New Roman" w:hAnsi="Times New Roman"/>
          <w:sz w:val="17"/>
          <w:szCs w:val="17"/>
          <w:color w:val="auto"/>
          <w:vertAlign w:val="superscript"/>
        </w:rPr>
        <w:t>(9)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Wayne A.I. Frederick, M.D.</w:t>
      </w:r>
      <w:r>
        <w:rPr>
          <w:rFonts w:ascii="Times New Roman" w:cs="Times New Roman" w:eastAsia="Times New Roman" w:hAnsi="Times New Roman"/>
          <w:sz w:val="17"/>
          <w:szCs w:val="17"/>
          <w:color w:val="auto"/>
          <w:vertAlign w:val="superscript"/>
        </w:rPr>
        <w:t>(10)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Robert Ghenchev</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Scott Gottlieb, M.D.</w:t>
      </w:r>
      <w:r>
        <w:rPr>
          <w:rFonts w:ascii="Times New Roman" w:cs="Times New Roman" w:eastAsia="Times New Roman" w:hAnsi="Times New Roman"/>
          <w:sz w:val="17"/>
          <w:szCs w:val="17"/>
          <w:color w:val="auto"/>
          <w:vertAlign w:val="superscript"/>
        </w:rPr>
        <w:t>(11)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Theodore J. Leonsis</w:t>
      </w:r>
      <w:r>
        <w:rPr>
          <w:rFonts w:ascii="Times New Roman" w:cs="Times New Roman" w:eastAsia="Times New Roman" w:hAnsi="Times New Roman"/>
          <w:sz w:val="17"/>
          <w:szCs w:val="17"/>
          <w:color w:val="auto"/>
          <w:vertAlign w:val="superscript"/>
        </w:rPr>
        <w:t>(12)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Nadja West, M.D.</w:t>
      </w:r>
      <w:r>
        <w:rPr>
          <w:rFonts w:ascii="Times New Roman" w:cs="Times New Roman" w:eastAsia="Times New Roman" w:hAnsi="Times New Roman"/>
          <w:sz w:val="17"/>
          <w:szCs w:val="17"/>
          <w:color w:val="auto"/>
          <w:vertAlign w:val="superscript"/>
        </w:rPr>
        <w:t>(13)</w:t>
      </w:r>
    </w:p>
    <w:p>
      <w:pPr>
        <w:spacing w:after="0" w:line="109" w:lineRule="exact"/>
        <w:rPr>
          <w:sz w:val="20"/>
          <w:szCs w:val="20"/>
          <w:color w:val="auto"/>
        </w:rPr>
      </w:pPr>
    </w:p>
    <w:p>
      <w:pPr>
        <w:ind w:left="120" w:right="40" w:hanging="113"/>
        <w:spacing w:after="0" w:line="284" w:lineRule="auto"/>
        <w:rPr>
          <w:sz w:val="20"/>
          <w:szCs w:val="20"/>
          <w:color w:val="auto"/>
        </w:rPr>
      </w:pPr>
      <w:r>
        <w:rPr>
          <w:rFonts w:ascii="Times New Roman" w:cs="Times New Roman" w:eastAsia="Times New Roman" w:hAnsi="Times New Roman"/>
          <w:sz w:val="11"/>
          <w:szCs w:val="11"/>
          <w:color w:val="auto"/>
        </w:rPr>
        <w:t>All directors and executive officers as a group (14 persons)</w:t>
      </w:r>
      <w:r>
        <w:rPr>
          <w:rFonts w:ascii="Times New Roman" w:cs="Times New Roman" w:eastAsia="Times New Roman" w:hAnsi="Times New Roman"/>
          <w:sz w:val="17"/>
          <w:szCs w:val="17"/>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918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8"/>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gridSpan w:val="1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After the Offering if Underwriters’ Option is</w:t>
            </w:r>
          </w:p>
        </w:tc>
        <w:tc>
          <w:tcPr>
            <w:tcW w:w="2880" w:type="dxa"/>
            <w:vAlign w:val="bottom"/>
            <w:gridSpan w:val="11"/>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After the Offering if Underwriters’ Option is</w:t>
            </w:r>
          </w:p>
        </w:tc>
        <w:tc>
          <w:tcPr>
            <w:tcW w:w="0" w:type="dxa"/>
            <w:vAlign w:val="bottom"/>
          </w:tcPr>
          <w:p>
            <w:pPr>
              <w:spacing w:after="0"/>
              <w:rPr>
                <w:sz w:val="1"/>
                <w:szCs w:val="1"/>
                <w:color w:val="auto"/>
              </w:rPr>
            </w:pPr>
          </w:p>
        </w:tc>
      </w:tr>
      <w:tr>
        <w:trPr>
          <w:trHeight w:val="142"/>
        </w:trPr>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Before the Offering</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Not Exercised</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Exercised in Full</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vMerge w:val="restart"/>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8"/>
              </w:rPr>
              <w:t>% of Total</w:t>
            </w:r>
          </w:p>
        </w:tc>
        <w:tc>
          <w:tcPr>
            <w:tcW w:w="160" w:type="dxa"/>
            <w:vAlign w:val="bottom"/>
          </w:tcPr>
          <w:p>
            <w:pPr>
              <w:spacing w:after="0"/>
              <w:rPr>
                <w:sz w:val="9"/>
                <w:szCs w:val="9"/>
                <w:color w:val="auto"/>
              </w:rPr>
            </w:pPr>
          </w:p>
        </w:tc>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restart"/>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98"/>
              </w:rPr>
              <w:t>% of Total</w:t>
            </w:r>
          </w:p>
        </w:tc>
        <w:tc>
          <w:tcPr>
            <w:tcW w:w="160" w:type="dxa"/>
            <w:vAlign w:val="bottom"/>
          </w:tcPr>
          <w:p>
            <w:pPr>
              <w:spacing w:after="0"/>
              <w:rPr>
                <w:sz w:val="9"/>
                <w:szCs w:val="9"/>
                <w:color w:val="auto"/>
              </w:rPr>
            </w:pPr>
          </w:p>
        </w:tc>
        <w:tc>
          <w:tcPr>
            <w:tcW w:w="720" w:type="dxa"/>
            <w:vAlign w:val="bottom"/>
            <w:gridSpan w:val="2"/>
            <w:vMerge w:val="restart"/>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8"/>
              </w:rPr>
              <w:t>% of 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7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7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0" w:type="dxa"/>
            <w:vAlign w:val="bottom"/>
          </w:tcPr>
          <w:p>
            <w:pPr>
              <w:spacing w:after="0"/>
              <w:rPr>
                <w:sz w:val="1"/>
                <w:szCs w:val="1"/>
                <w:color w:val="auto"/>
              </w:rPr>
            </w:pPr>
          </w:p>
        </w:tc>
      </w:tr>
      <w:tr>
        <w:trPr>
          <w:trHeight w:val="53"/>
        </w:trPr>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7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7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0" w:type="dxa"/>
            <w:vAlign w:val="bottom"/>
          </w:tcPr>
          <w:p>
            <w:pPr>
              <w:spacing w:after="0"/>
              <w:rPr>
                <w:sz w:val="1"/>
                <w:szCs w:val="1"/>
                <w:color w:val="auto"/>
              </w:rPr>
            </w:pPr>
          </w:p>
        </w:tc>
      </w:tr>
      <w:tr>
        <w:trPr>
          <w:trHeight w:val="53"/>
        </w:trPr>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720" w:type="dxa"/>
            <w:vAlign w:val="bottom"/>
            <w:tcBorders>
              <w:bottom w:val="single" w:sz="8" w:color="auto"/>
            </w:tcBorders>
            <w:gridSpan w:val="2"/>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Before the</w:t>
            </w:r>
          </w:p>
        </w:tc>
        <w:tc>
          <w:tcPr>
            <w:tcW w:w="720" w:type="dxa"/>
            <w:vAlign w:val="bottom"/>
            <w:tcBorders>
              <w:bottom w:val="single" w:sz="8" w:color="auto"/>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After the</w:t>
            </w:r>
          </w:p>
        </w:tc>
        <w:tc>
          <w:tcPr>
            <w:tcW w:w="72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After the</w:t>
            </w:r>
          </w:p>
        </w:tc>
        <w:tc>
          <w:tcPr>
            <w:tcW w:w="0" w:type="dxa"/>
            <w:vAlign w:val="bottom"/>
          </w:tcPr>
          <w:p>
            <w:pPr>
              <w:spacing w:after="0"/>
              <w:rPr>
                <w:sz w:val="1"/>
                <w:szCs w:val="1"/>
                <w:color w:val="auto"/>
              </w:rPr>
            </w:pPr>
          </w:p>
        </w:tc>
      </w:tr>
      <w:tr>
        <w:trPr>
          <w:trHeight w:val="22"/>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50,857,963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39.1</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5,374,899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72.2</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48,754,202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30.5</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5,043,789</w:t>
            </w:r>
          </w:p>
        </w:tc>
        <w:tc>
          <w:tcPr>
            <w:tcW w:w="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65.3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48,754,202</w:t>
            </w: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5,043,789</w:t>
            </w:r>
          </w:p>
        </w:tc>
        <w:tc>
          <w:tcPr>
            <w:tcW w:w="6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100.0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16,544,420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12.7</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16,549,877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16,549,877</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16,544,419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12.7</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16,549,873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16,549,873</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8,401,309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2.9</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9,464,471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9,464,471</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42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200,500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110,275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110,275</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1,287,526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1,094,039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1,094,039</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14,034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14,034</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16,250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17,500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17,500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17,500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3,473,060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2.7</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3,881,557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3,881,557</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16,250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8"/>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56,638,528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43.6</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5,374,899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73.4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54,395,269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34.0</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5,043,789</w:t>
            </w:r>
          </w:p>
        </w:tc>
        <w:tc>
          <w:tcPr>
            <w:tcW w:w="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67.0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54,395,269</w:t>
            </w: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5,043,789</w:t>
            </w:r>
          </w:p>
        </w:tc>
        <w:tc>
          <w:tcPr>
            <w:tcW w:w="6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100.0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-2238375</wp:posOffset>
            </wp:positionV>
            <wp:extent cx="7197725" cy="133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-1971675</wp:posOffset>
            </wp:positionV>
            <wp:extent cx="7197725"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-1704975</wp:posOffset>
            </wp:positionV>
            <wp:extent cx="7197725"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-1438275</wp:posOffset>
            </wp:positionV>
            <wp:extent cx="7197725" cy="133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-1171575</wp:posOffset>
            </wp:positionV>
            <wp:extent cx="7197725" cy="133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-904875</wp:posOffset>
            </wp:positionV>
            <wp:extent cx="7197725" cy="133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-638175</wp:posOffset>
            </wp:positionV>
            <wp:extent cx="7197725" cy="133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-370840</wp:posOffset>
            </wp:positionV>
            <wp:extent cx="7197725" cy="133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-2421890</wp:posOffset>
            </wp:positionV>
            <wp:extent cx="7197725" cy="914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320" w:space="280"/>
            <w:col w:w="8740"/>
          </w:cols>
          <w:pgMar w:left="320" w:top="448" w:right="239" w:bottom="1440" w:gutter="0" w:footer="0" w:header="0"/>
          <w:type w:val="continuous"/>
        </w:sectPr>
      </w:pPr>
    </w:p>
    <w:p>
      <w:pPr>
        <w:ind w:left="460" w:hanging="455"/>
        <w:spacing w:after="0"/>
        <w:tabs>
          <w:tab w:leader="none" w:pos="4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jc w:val="both"/>
        <w:ind w:left="460" w:hanging="455"/>
        <w:spacing w:after="0" w:line="215" w:lineRule="auto"/>
        <w:tabs>
          <w:tab w:leader="none" w:pos="4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 entitled to 30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p>
      <w:pPr>
        <w:spacing w:after="0" w:line="1" w:lineRule="exact"/>
        <w:rPr>
          <w:sz w:val="20"/>
          <w:szCs w:val="20"/>
          <w:color w:val="auto"/>
        </w:rPr>
      </w:pPr>
    </w:p>
    <w:p>
      <w:pPr>
        <w:jc w:val="both"/>
        <w:ind w:left="460" w:hanging="455"/>
        <w:spacing w:after="0" w:line="218" w:lineRule="auto"/>
        <w:tabs>
          <w:tab w:leader="none" w:pos="4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21,866,021 shares of Class A common stock held by Blue Media, LLC (assuming, with respect to the conversion of shares of Series G-3 convertible preferred stock, an initial public offering price of $36.00 per share, the midpoint of the estimated price range set forth on the cover page of this prospectus), (b) 178,485 shares of Class B common stock held by Black Media, LLC, (c) 8,625,000 shares of Class A common stock held by Gray Media, LLC, (d) 2,789,336 shares of Class A common stock held by Innovation Group Investors, L.P. -2011 Series, (e) 145,875 shares of Class A common stock held by Innovation Group Investors, L.P. -Series 1B, (f) 248,476 shares of Class A common stock held by Lightbank Investments 1B, LLC, (g) 1,603,279 shares of Class A common stock held by Tempus Series A Investments, LLC, (h) 5,196,414 shares of Class B common stock held by Tempus Series B Investments, LLC, (i) 1,500,071 shares of Class A common stock held by Tempus Series B-1 Investments, LLC, (j) 2,111,415 shares of Class A common stock held by Tempus Series B-2 Investments, LLC, (k) 3,911,762 shares of Class A common stock held by Tempus Series C Investments, LLC, (l) 2,133,583 shares of Class A common stock held by Tempus Series D Investments, LLC, (m) 248,512 shares of Class A common stock held by Tempus Series E Investments, LLC, (n) 321,008 shares of Class A common stock held by Tempus Series G Investments, LLC and (o) 1,400,000 shares of Class A common stock held by Mr. Lefkofsky. Upon the consummation of this offering, shares of Class A common stock held by each of Tempus Series A Investments, LLC, Tempus Series B-1 Investments, LLC,</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spacing w:after="0" w:line="217" w:lineRule="auto"/>
        <w:rPr>
          <w:sz w:val="20"/>
          <w:szCs w:val="20"/>
          <w:color w:val="auto"/>
        </w:rPr>
      </w:pPr>
      <w:r>
        <w:rPr>
          <w:rFonts w:ascii="Times New Roman" w:cs="Times New Roman" w:eastAsia="Times New Roman" w:hAnsi="Times New Roman"/>
          <w:sz w:val="14"/>
          <w:szCs w:val="14"/>
          <w:color w:val="auto"/>
        </w:rPr>
        <w:t>Tempus Series B-2 Investments, LLC, Tempus Series C Investments, LLC, Tempus Series D Investments, LLC, Tempus Series E Investments, LLC and Tempus Series G Investments, LLC and shares of Class B common stock held by Tempus Series B Investments, LLC will be distributed pro rata to the members of each entity, or the LLC Distributions. Mr. Lefkofsky’s beneficial ownership after the offering gives effect to the LLC Distributions, the Class B Transfer and the receipt of the Additional Class A Conversion Shares in the Additional Class A Conversion Share Issuance, and consists of (i) 27,625,232 shares of Class A common stock (assuming, with respect to the conversion of shares of Series G-3 convertible preferred stock, an initial public offering price of $36.00 per share, the midpoint of the estimated price range set forth on the cover page of this prospectus) and 3,972,878 shares of Class B common stock held by Blue Media, LLC, (ii) 209 shares of Class A common stock and 178,485 shares of Class B common stock held by Black Media, LLC, (iii) 9,607,349 shares of Class A common stock held by Gray Media, LLC, (iv) 145,967 shares of Class A common stock held by Innovation Group Investors, L.P. -Series 1B, (v) 4,084,121 shares of Class A common stock and 892,426 shares of Class B common stock held by Innovation Group Investors, L.P. -2011 Series, (vi) 1,397,602 shares of Class A common stock held by Lightbank Global LLC, (vii) 248,633 shares of Class A common stock held by Lightbank Investments 1B, LLC, (viii) 333,079 shares of Class A common stock held by the Lefkofsky Family Foundation and (ix) 1,400,000 shares of Class A common stock held by Mr. Lefkofsky. Mr. Lefkofsky is the controlling member of, and may be deemed to have shared voting, investment and dispositive power with respect to the shares held by, the aforementioned entities. Prior to this offering, includes 3,953,625 shares of Class A common stock issuable upon settlement of RSUs for which the service-based vesting condition would be satisfied within 60 days of April 15, 2024. After this offering, includes 50,862 shares of Class A common stock issuable to Mr. Lefkofsky pursuant to the RSU Net Settlement and 3,861,148 additional RSUs, for which the service-based vesting condition would be satisfied within 60 days of April 15, 2024.</w:t>
      </w:r>
    </w:p>
    <w:p>
      <w:pPr>
        <w:spacing w:after="0" w:line="1" w:lineRule="exact"/>
        <w:rPr>
          <w:sz w:val="20"/>
          <w:szCs w:val="20"/>
          <w:color w:val="auto"/>
        </w:rPr>
      </w:pPr>
    </w:p>
    <w:p>
      <w:pPr>
        <w:jc w:val="both"/>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16,544,420 shares of Class A common stock held by Red Sky LLC. In May 2024, Keeks, LLC, which beneficially owned more than 5% of our Class A common stock as of April 15, 2024, assigned an aggregate of 16,544,420 and 16,544,419 shares of Class A common stock to Red Sky LLC and BK TL21 LLC, respectively. The information set forth in the table above reflects such assignment as if it had occurred on April 15, 2024. Kimberly Keywell is the controlling shareholder of, and may be deemed to have shared voting, investment and dispositive power with respect to the shares held by, Red Sky LLC. Ms. Keywell executed an irrevocable proxy and power of attorney providing that Bradley A. Keywell may vote and exercise all voting rights with respect to the shares of Class A common stock held by Red Sky LLC until the consummation of this offering.</w:t>
      </w:r>
    </w:p>
    <w:p>
      <w:pPr>
        <w:jc w:val="both"/>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16,544,419 shares of Class A common stock held by BK TL21 LLC. In May 2024, Keeks, LLC, which beneficially owned more than 5% of our Class A common stock as of April 15, 2024, assigned an aggregate of 16,544,420 and 16,544,419 shares of Class A common stock to Red Sky LLC and BK TL21 LLC, respectively. The information set forth in the table above reflects such assignment as if it had occurred on April 15, 2024. Bradley A. Keywell is the controlling shareholder of, and may be deemed to have voting, investment and dispositive control over the shares held by, BK TL21 LLC.</w:t>
      </w:r>
    </w:p>
    <w:p>
      <w:pPr>
        <w:jc w:val="both"/>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(i) 7,696,632 shares of Class A common stock held by Scottish Mortgage Investment Trust plc, or SMIT, and (ii) 704,677 shares of Class A common stock held by the Schiehallion Fund Limited, or TSFL (in each case, assuming, with respect to the conversion of shares of Series G-3 convertible preferred stock and Series G-4 preferred stock, as applicable, an initial public offering price of $36.00 per share, the midpoint of the estimated price range set forth on the cover page of this prospectus). The beneficial ownership after the offering gives effect to the LLC Distributions and the receipt of the Additional Class A Conversion Shares in the Additional Class A Conversion Share Issuance, and consists of (i) 8,647,914 shares of Class A common stock held by SMIT and (ii) 816,557 shares of Class A common stock held by TSFL (in each case, assuming, with respect to the conversion of shares of Series G-3 convertible preferred stock and Series G-4 preferred stock, as applicable, an initial public offering price of $36.00 per share, the midpoint of the estimated price range set forth on the cover page of this prospectus). Baillie Gifford &amp; Co Ltd, as direct investment manager, and its affiliate group entity, Baillie Gifford &amp; Co, on a delegated basis, have been appointed to act for and on behalf of SMIT with full voting and investment power. Baillie Gifford Overseas Limited has been appointed to act for and on behalf of, as direct investment manager, for TSFL with full voting and investment power. The address for SMIT is Calton Square, 1 Greenside Row. Edinburgh, United Kingdom, EH1 3AN, and the address for TSFL is First Floor, Albert House, South Esplanade, St Peter Port, Guernsey, GY1 1AJ.</w:t>
      </w:r>
    </w:p>
    <w:p>
      <w:pPr>
        <w:spacing w:after="0" w:line="1" w:lineRule="exact"/>
        <w:rPr>
          <w:rFonts w:ascii="Times New Roman" w:cs="Times New Roman" w:eastAsia="Times New Roman" w:hAnsi="Times New Roman"/>
          <w:sz w:val="14"/>
          <w:szCs w:val="14"/>
          <w:color w:val="auto"/>
        </w:rPr>
      </w:pP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represents 200,500 shares of Class A common stock issuable upon settlement of RSUs for which the service-based vesting condition would be satisfied within 60 days of April 15, 2024. After this offering, represents 110,275 shares of Class A common stock issuable to Mr. Rogers in connection with the RSU Net Settlement.</w:t>
      </w:r>
    </w:p>
    <w:p>
      <w:pPr>
        <w:jc w:val="both"/>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857,557 shares of Class A common stock, including (i) 725,664 shares of Class A common stock held by Ryan Fukushima and (ii) 131,893 shares of Class A common stock held by Ryan Fukushima Irrevocable Family Trust, or collectively, Fukushima Class A common stock, and (b) 429,969 shares of Class A common stock issuable upon settlement of RSUs for which the service-based vesting condition would be satisfied within 60 days of April 15, 2024. After this offering, consists of (a) 857,557 shares of Fukushima Class A common stock and (b) 236,482 shares of Class A common stock issuable to Mr. Fukushima in connection with the RSU Net Settlement.</w:t>
      </w: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14,034 shares of Class A common stock to be transferred to Nob Hill Ventures LLC upon the consummation of this offering in the LLC Distributions. Mr. Belcher is the controlling shareholder of, and may be deemed to have shared voting, investment and dispositive power with respect to the shares held by Nob Hill Ventures LLC.</w:t>
      </w: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16,250 shares of Class A common stock issuable upon settlement of RSUs held by Dr. Doudna for which the service-based vesting condition would be satisfied within 60 days of April 15, 2024.</w:t>
      </w: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1,000 shares of Class A common stock issuable upon settlement of RSUs held by Mr. Epstein for which the service based vesting condition would be satisfied within 60 days of April 15, 2024.</w:t>
      </w: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17,500 shares of Class A common stock issuable upon settlement of RSUs held by Dr. Frederick for which the service-based vesting condition would be satisfied within 60 days of April 15, 2024.</w:t>
      </w: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50,000 shares of Class A common stock issuable upon settlement of RSUs held by Dr. Gottlieb for which the service-based vesting condition would be satisfied within 60 days of April 15, 2024.</w:t>
      </w:r>
    </w:p>
    <w:p>
      <w:pPr>
        <w:jc w:val="both"/>
        <w:ind w:left="460" w:hanging="455"/>
        <w:spacing w:after="0" w:line="223"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3,263,060 shares of Class A common stock held by Revolution Growth III, LP, or RG III, and 210,000 shares of Class A common stock issuable upon the exercise of a stock option held by Revolution Growth Management Company, Inc., or RGMC, that is exercisable within 60 days of April 15, 2024. Mr. Leonsis, as a member of the investment committee of the ultimate general partner of RG III and a member of the board of directors of RGMC, may be deemed to share dispositive power over the shares held by RG III and RGMC. The address for Mr. Leonsis is 1717 Rhode Island Ave., NW, 10th Floor, Washington, DC 20036.</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hanging="455"/>
        <w:spacing w:after="0" w:line="227" w:lineRule="auto"/>
        <w:tabs>
          <w:tab w:leader="none" w:pos="4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16,250 shares of Class A common stock issuable upon settlement of RSUs held by Dr. West for which the service-based vesting condition would be satisfied within 60 days of April 15, 2024.</w:t>
      </w:r>
    </w:p>
    <w:p>
      <w:pPr>
        <w:jc w:val="both"/>
        <w:ind w:left="460" w:hanging="455"/>
        <w:spacing w:after="0" w:line="220" w:lineRule="auto"/>
        <w:tabs>
          <w:tab w:leader="none" w:pos="4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51,124,955 shares of Class A common stock, (b) 5,374,899 shares of Class B common stock, (c) 210,000 shares of Class A common stock issuable upon the exercise of a stock option that is exercisable within 60 days of April 15, 2024 and (d) 5,303,573 shares of Class A common stock issuable upon the settlement of RSUs for which the service-based vesting condition would be satisfied within 60 days of April 15, 2024. After this offering, consists of (a) 49,485,340 shares of Class A common stock, (b) 5,043,789 shares of Class B common stock, (c) 210,000 shares of Class A common stock issuable upon the exercise of a stock option that is exercisable within 60 days of April 15, 2024, (d) 737,781 shares of Class A common stock issuable in the RSU Net Settlement and (e) 3,962,148 shares of Class A common stock issuable upon settlement of RSUs for which the service-based vesting condition would be satisfied within 60 days of April 15, 2024.</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we had outstanding:</w:t>
      </w:r>
    </w:p>
    <w:p>
      <w:pPr>
        <w:spacing w:after="0" w:line="121" w:lineRule="exact"/>
        <w:rPr>
          <w:sz w:val="20"/>
          <w:szCs w:val="20"/>
          <w:color w:val="auto"/>
        </w:rPr>
      </w:pPr>
    </w:p>
    <w:p>
      <w:pPr>
        <w:jc w:val="both"/>
        <w:ind w:left="1000" w:hanging="549"/>
        <w:spacing w:after="0" w:line="282" w:lineRule="auto"/>
        <w:tabs>
          <w:tab w:leader="none" w:pos="10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148,960,473 shares of Class A common stock, which gives effect to (1) the issuance and sale of 3,489,981 shares of Series G-5 convertible preferred stock in April 2024 as if such issuance and sale had occurred on March 31, 2024; (2) the Preferred Stock Conversion, resulting in 66,935,254 shares of Class A common stock, assuming an initial public offering price of $36.00 per share, the midpoint of the estimated price range set forth on the cover page of this prospectus; (3) the Additional Class A Conversion Share Issuance resulting in the issuance of 5,227,001 Additional Class A Conversion Shares upon the closing of this offering, assuming an initial public offering price of $36.00 per share, the midpoint of the estimated price range set forth on the cover page of this prospectus; (4) the conversion of all outstanding shares of nonvoting common stock into 5,069,477 shares of Class A common stock; (5) the net issuance of 2,527,923 shares of Class A common stock upon the RSU Net Settlement and the issuance of shares of Class A common stock in connection with the Additional RSU Net Settlement; and (6) the Warrant Net Settlement</w:t>
      </w:r>
    </w:p>
    <w:p>
      <w:pPr>
        <w:spacing w:after="0" w:line="69"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5,043,789 shares of Class B common stock, which assumes the Series B Preferred Conversion and Transfer.</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92 stockholders of record as of March 31, 2024. Our board of directors is authorized, without stockholder approval except as required by the listing standards of the Nasdaq stock market, to issue additional shares of our capital stock.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 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84"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Change of Control Transactions</w:t>
      </w:r>
      <w:r>
        <w:rPr>
          <w:rFonts w:ascii="Times New Roman" w:cs="Times New Roman" w:eastAsia="Times New Roman" w:hAnsi="Times New Roman"/>
          <w:sz w:val="18"/>
          <w:szCs w:val="18"/>
          <w:color w:val="auto"/>
        </w:rPr>
        <w:t>. The holders of Class A common stock and Class B common stock will be treated equally and identically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4"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trading day that is no less than 90 days and no more than 150 days following the twenty-year anniversary of the filing of our amended and restated certificate of incorporation, in connection with the closing of this offering; (3) the date on which Mr. Lefkofsky is no longer providing services to us as an executive officer or member of our board of directors; and</w:t>
      </w:r>
    </w:p>
    <w:p>
      <w:pPr>
        <w:spacing w:after="0" w:line="3" w:lineRule="exact"/>
        <w:rPr>
          <w:sz w:val="20"/>
          <w:szCs w:val="20"/>
          <w:color w:val="auto"/>
        </w:rPr>
      </w:pPr>
    </w:p>
    <w:p>
      <w:pPr>
        <w:ind w:firstLine="5"/>
        <w:spacing w:after="0" w:line="247" w:lineRule="auto"/>
        <w:tabs>
          <w:tab w:leader="none" w:pos="25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day that is no less than 90 days and no more than 150 days following the date that Mr. Lefkofsky and his controlled entities hold, in the aggregate, fewer than 10,000,000 shares of our capital stock (as adjusted for stock splits, stock dividends, combinations, subdivisions and recapitalizations).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March 31, 2024, the value of the Amended Note was $186.7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 upon exercise of the warrant will be determined based on the initial public offering price in this offering (2,777,778 shares of Class A common stock, assuming an initial public offering price of $36.00 per share, the midpoint of the estimated price range set forth on the cover page of 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Collaboration—AstraZeneca Master Services Agreement.”</w:t>
      </w:r>
    </w:p>
    <w:p>
      <w:pPr>
        <w:spacing w:after="0" w:line="16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In December 2023, in connection with our entry into a letter agreement with Allen for certain financial advisory services provided by Allen to us, we issued, as compensation for such services, a warrant to Allen to purchase up to 150,000 shares of our Class A common stock at an exercise price of $10.00 per share, subject to adjustments provided therein. Pursuant to the Warrant Net Exercise, Allen will receive 108,333 shares of Class A common stock following this offering (assuming an initial public offering price of $36.00 per share, the midpoint of the estimated price range set forth on the cover page of this prospectus).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March 31, 2024, there were 67,093,065 shares of our convertible preferred stock outstanding (including 3,489,981 shares of Series G-5 convertible preferred stock issued in April 2024).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 offering, we expect to issue 5,227,001 additional shares of Class A common stock upon the conversion of all of our outstanding shares of our preferred stock, pursuant to provisions of our certificate of incorporation as currently in effect, assuming an initial public offering price of $36.00 per share, the midpoint of the estimated price range set forth on the cover page of this prospectus, which we refer to as the Additional Class A Conversion Shares. See “Prospectus Summary—The Offering—Additional Class A Conversion Shares” for additional information.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 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we had outstanding 20,793,305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we had no outstanding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April 2024.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holders of an aggregate of 135,574,005 shares of our Class A common stock and Class B common stock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connection with this offering, the holders of an aggregate of 135,574,005 shares of our Class A common stock and Class B common stock (after giving effect to the issuance of Series G-5 preferred stock in April 2024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statement made by that person or entity and who has prepared or certified any part of the documents underlying the offering. Investors cannot waive compliance with the federal securities laws and the rules and regulations thereunder.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Our Class A common stock has been approved for listing on the Nasdaq Global Select Market under the symbol “TEM.”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the transfer agent and registrar for our Class A common stock and Class B common stock will be Equiniti Trust Company, LLC (formerly known as American Stock Transfer &amp; Trust Company, LLC). The transfer agent’s address is 55 Challenger Road, Ridgefield Park, New Jersey 07660.</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Upon the closing of this offering, a total of 160,060,473 shares of Class A common stock and 5,043,789 shares of Class B common stock will be outstanding, assuming (i) the Series B Preferred Stock Conversion and Transfer resulting in 5,043,789 shares of Class B common stock outstanding immediately following the consummation of this offering, (ii) the issuance and sale of 3,489,981 shares of Series G-5 convertible preferred stock in April 2024 as if such issuance and sale had occurred on March 31, 2024, (iii) the Preferred Stock Conversion, assuming an initial public offering price of $36.00 per share, the midpoint of the estimated price range set forth on the cover page of this prospectus, (iv) the Additional Class A Conversion Share Issuance resulting in 5,227,001 Additional Class A Conversion Shares, assuming an initial public offering price of $36.00 per share, the midpoint of the estimated price range set forth on the cover page of this prospectus, (v) the automatic conversion of all outstanding shares of our nonvoting common stock into 5,069,477 shares of Class A common stock, and (vi) the net issuance of 2,527,923 shares of Class A common stock upon the RSU Net Settlement. Of these shares, all of the Class A common stock sold in this offering by us, plus any shares sold by us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March 31, 2024 and we intend to register all of the shares of Class A common stock issued upon the exercise of the outstanding option, settlement of outstanding RSUs and other equity incentives we may grant in the future for resale under the Securities Act.</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AstraZeneca also holds an outstanding warrant, pursuant to which AstraZeneca has the right to purchase $100 million in shares of our Class A common stock at an exercise price equal to the public offering price in this offering. The shares of Class A common stock will become eligible for sale in the public market to the extent such warrant is exercised, subject to the market standoff provisions included in such agreement and described in the section titled “Underwriting” and compliance with applicable securities laws. In addition, pursuant to the Warrant Net Exercise, Allen, an underwriter in this offering, will receive 108,333 shares of Class A common stock following this offering (assuming an initial public offering price of $36.00 per share, the midpoint of the estimated price range set forth on the cover page of this prospectus). The shares of Class A common stock issued pursuant to the Warrant Net Exercise will become eligible for sale in the public market, subject to the market standoff provision contained in the Allen warrant agreement and described in the section titled “Underwriting” and compliance with applicable securities laws.</w:t>
      </w:r>
    </w:p>
    <w:p>
      <w:pPr>
        <w:spacing w:after="0" w:line="186"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remaining shares of Class A common stock and Class B common stock will be, and shares of Class A common stock issued on settlement of RSUs or exercise of options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and market standoff agreements described below and the provisions of Rule 144 or 701 or Regulation S under the Securities Act, as well as our insider trading policy, these restricted securities will be available for sale in the public market as follows:</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Earliest Date Available for Sale in the Public Market</w:t>
      </w:r>
    </w:p>
    <w:p>
      <w:pPr>
        <w:spacing w:after="0" w:line="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the closing price of our Class A common stock on The Nasdaq Stock Market LLC is at least 30% greater than the initial public offering price per share set forth on the cover page of this prospectus for (i) any 10 trading days (which need not be consecutive trading days) during the period ending on, and including, the date that we publicly announce our earnings for the first completed quarterly period following the most recent period for which financial statements are included in this prospectus, or the Initial Earnings Release, and (ii) any one trading day following the Initial Earnings Release, then the later of (a) the date on which the conditions set forth in both (i) and (ii) above are satisfied and (b) two trading days following our Initial Earnings Release.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180 days after the date of this prospectus unless such date falls within one of our quarterly blackout periods under our insider trading policy, in which case the restricted period will expire on the date that is the later of (i) 10 trading days prior to the date such blackout period begins and (ii) the 150th day after the date of this prospectus.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Number of Shares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46,201,278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25876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87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All remaining shares held by our stockholders not previously eligible for sale, subject to applicable limitations under Rule 144, including for “affiliates” and compliance with other applicable law, as described below.</w:t>
      </w:r>
    </w:p>
    <w:p>
      <w:pPr>
        <w:spacing w:after="0" w:line="152" w:lineRule="exact"/>
        <w:rPr>
          <w:sz w:val="20"/>
          <w:szCs w:val="20"/>
          <w:color w:val="auto"/>
        </w:rPr>
      </w:pPr>
    </w:p>
    <w:p>
      <w:pPr>
        <w:sectPr>
          <w:pgSz w:w="11900" w:h="16838" w:orient="portrait"/>
          <w:cols w:equalWidth="0" w:num="2">
            <w:col w:w="7040" w:space="220"/>
            <w:col w:w="4080"/>
          </w:cols>
          <w:pgMar w:left="320" w:top="448" w:right="239" w:bottom="1440" w:gutter="0" w:footer="0" w:header="0"/>
          <w:type w:val="continuous"/>
        </w:sect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certain exceptions in the lock-up agreements and because of our ability to release RSU holders early under the market standoff agreements, certain shares of our Class A common stock may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ectPr>
          <w:pgSz w:w="11900" w:h="16838" w:orient="portrait"/>
          <w:cols w:equalWidth="0" w:num="1">
            <w:col w:w="1134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Date First Available for Sale into the Market</w:t>
      </w:r>
    </w:p>
    <w:p>
      <w:pPr>
        <w:spacing w:after="0" w:line="2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91 days after the date of this prospectus (or the next trading day if such date is not a trading day)</w:t>
      </w:r>
    </w:p>
    <w:p>
      <w:pPr>
        <w:spacing w:after="0" w:line="1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120 days after the date of this prospectus (or the next trading day if such date is not a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918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18"/>
                <w:szCs w:val="18"/>
                <w:color w:val="auto"/>
              </w:rPr>
            </w:pPr>
          </w:p>
        </w:tc>
        <w:tc>
          <w:tcPr>
            <w:tcW w:w="264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b w:val="1"/>
                <w:bCs w:val="1"/>
                <w:color w:val="auto"/>
                <w:w w:val="96"/>
              </w:rPr>
              <w:t>Approximate Number</w:t>
            </w:r>
          </w:p>
        </w:tc>
      </w:tr>
      <w:tr>
        <w:trPr>
          <w:trHeight w:val="210"/>
        </w:trPr>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 Shares of Class A</w:t>
            </w:r>
          </w:p>
        </w:tc>
      </w:tr>
      <w:tr>
        <w:trPr>
          <w:trHeight w:val="210"/>
        </w:trPr>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r>
      <w:tr>
        <w:trPr>
          <w:trHeight w:val="21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Number of RSUs</w:t>
            </w: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 be Sold</w:t>
            </w:r>
          </w:p>
        </w:tc>
      </w:tr>
      <w:tr>
        <w:trPr>
          <w:trHeight w:val="21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w:t>
            </w: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Sell-to-Cover</w:t>
            </w:r>
          </w:p>
        </w:tc>
      </w:tr>
      <w:tr>
        <w:trPr>
          <w:trHeight w:val="230"/>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Settle</w:t>
            </w:r>
          </w:p>
        </w:tc>
        <w:tc>
          <w:tcPr>
            <w:tcW w:w="10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Transactions</w:t>
            </w:r>
            <w:r>
              <w:rPr>
                <w:rFonts w:ascii="Times New Roman" w:cs="Times New Roman" w:eastAsia="Times New Roman" w:hAnsi="Times New Roman"/>
                <w:sz w:val="18"/>
                <w:szCs w:val="18"/>
                <w:color w:val="auto"/>
                <w:w w:val="92"/>
                <w:vertAlign w:val="superscript"/>
              </w:rPr>
              <w:t>(1)</w:t>
            </w:r>
          </w:p>
        </w:tc>
      </w:tr>
      <w:tr>
        <w:trPr>
          <w:trHeight w:val="22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5,362,261</w:t>
            </w:r>
          </w:p>
        </w:tc>
        <w:tc>
          <w:tcPr>
            <w:tcW w:w="1000" w:type="dxa"/>
            <w:vAlign w:val="bottom"/>
          </w:tcPr>
          <w:p>
            <w:pPr>
              <w:spacing w:after="0"/>
              <w:rPr>
                <w:sz w:val="19"/>
                <w:szCs w:val="19"/>
                <w:color w:val="auto"/>
              </w:rPr>
            </w:pPr>
          </w:p>
        </w:tc>
        <w:tc>
          <w:tcPr>
            <w:tcW w:w="16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94"/>
              </w:rPr>
              <w:t>2,413,017</w:t>
            </w:r>
          </w:p>
        </w:tc>
      </w:tr>
      <w:tr>
        <w:trPr>
          <w:trHeight w:val="44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5,362,262</w:t>
            </w:r>
          </w:p>
        </w:tc>
        <w:tc>
          <w:tcPr>
            <w:tcW w:w="264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2,413,018</w:t>
            </w:r>
          </w:p>
        </w:tc>
      </w:tr>
    </w:tbl>
    <w:p>
      <w:pPr>
        <w:spacing w:after="0" w:line="388" w:lineRule="exact"/>
        <w:rPr>
          <w:sz w:val="20"/>
          <w:szCs w:val="20"/>
          <w:color w:val="auto"/>
        </w:rPr>
      </w:pPr>
    </w:p>
    <w:p>
      <w:pPr>
        <w:sectPr>
          <w:pgSz w:w="11900" w:h="16838" w:orient="portrait"/>
          <w:cols w:equalWidth="0" w:num="2">
            <w:col w:w="6720" w:space="720"/>
            <w:col w:w="3900"/>
          </w:cols>
          <w:pgMar w:left="320" w:top="448" w:right="239" w:bottom="1440" w:gutter="0" w:footer="0" w:header="0"/>
          <w:type w:val="continuous"/>
        </w:sectPr>
      </w:pPr>
    </w:p>
    <w:p>
      <w:pPr>
        <w:ind w:left="460" w:hanging="455"/>
        <w:spacing w:after="0" w:line="207"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45% tax rate. Includes an estimated approximately 868,758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this prospectus in respect of settlement of RSUs held by our Chief Executive Officer.</w:t>
      </w:r>
    </w:p>
    <w:p>
      <w:pPr>
        <w:spacing w:after="0" w:line="19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In addition, if additional net settlement transactions occur on or prior to the dates set forth above, the number of shares of Class A common stock to be sold in each sell-to-cover transaction will be reduced proportionally.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340"/>
          </w:cols>
          <w:pgMar w:left="320" w:top="448" w:right="239" w:bottom="1440" w:gutter="0" w:footer="0" w:header="0"/>
          <w:type w:val="continuous"/>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and market standoff agreements described below.</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92" w:lineRule="exact"/>
        <w:rPr>
          <w:sz w:val="20"/>
          <w:szCs w:val="20"/>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Class A common stock then outstanding, which will equal approximately 1,600,605 shares immediately after this offering;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and market standoff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2024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and Market Standoff Agreements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including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RSUs that will settle in connection with the RSU Net Settlement or the Additional RSU Settlement and the warrants issued to Allen and AstraZeneca), have agreed with the underwriters that, until 180 days (or, subject to certain conditions described in the section titled “Underwriting,” a shorter period) after the date of this prospectus, or the restricted period,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In addition, the restricted period may be shortened with respect to a portion of the locked-up securities under certain circumstances and the lock-up agreements are subject to a number of important exceptions, all of which are described in the section titled “Underwriting”. Morgan Stanley &amp; Co. LLC and J.P. Morgan Securities LLC may release any of the securities subject to these lock-up agreements at any time, subject to applicable notice requirements. In addition to the restrictions contained in the lock-up agreements, we have entered into market standoff agreements with substantially all of our RSU holders, including the holders of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w:t>
      </w:r>
    </w:p>
    <w:p>
      <w:pPr>
        <w:spacing w:after="0" w:line="378"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all of our RSU holders that contain market standoff provisions imposing restrictions on the ability of such security holders to offer, sell or transfer our equity securities for a period of 180 days following the date of this prospectus. If not earlier released, all of the shares of Class A common stock not sold in this offering will become eligible for sale upon expiration of the restricted period, except for any shares held by our affiliates as defined in Rule 144.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Upon the closing of this offering, the holders of an aggregate of 135,574,005 shares of our Class A common stock and Class B common stock, or their transferees,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ownership, and disposition of our Class A common stock acquired in this offering. This discussion is not a complete analysis of all potential U.S. federal income tax consequences relating thereto, and does not address non-U.S.,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(as defined below)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Internal Revenue Code, of 1986, as amended or the Code, and Treasury Regulations, administrative announcements and rulings of the Internal Revenue Service, or the IRS,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non-U.S.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ACQUIRING, OWNING,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820" w:type="dxa"/>
            <w:vAlign w:val="bottom"/>
          </w:tcPr>
          <w:p>
            <w:pPr>
              <w:spacing w:after="0"/>
              <w:rPr>
                <w:sz w:val="16"/>
                <w:szCs w:val="16"/>
                <w:color w:val="auto"/>
              </w:rPr>
            </w:pPr>
          </w:p>
        </w:tc>
        <w:tc>
          <w:tcPr>
            <w:tcW w:w="14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96"/>
        </w:trPr>
        <w:tc>
          <w:tcPr>
            <w:tcW w:w="81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Morgan Stanley &amp; Co. LLC</w:t>
            </w: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gridSpan w:val="2"/>
            <w:shd w:val="clear" w:color="auto" w:fill="CCEEFF"/>
          </w:tcPr>
          <w:p>
            <w:pPr>
              <w:spacing w:after="0"/>
              <w:rPr>
                <w:sz w:val="17"/>
                <w:szCs w:val="17"/>
                <w:color w:val="auto"/>
              </w:rPr>
            </w:pPr>
          </w:p>
        </w:tc>
      </w:tr>
      <w:tr>
        <w:trPr>
          <w:trHeight w:val="210"/>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&amp; Company LLC</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2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820" w:type="dxa"/>
            <w:vAlign w:val="bottom"/>
          </w:tcPr>
          <w:p>
            <w:pPr>
              <w:ind w:left="7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 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4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1,665,000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These amounts are shown assuming both no exercise and full exercise of the underwriters’ option to purchase up to an additional 1,665,000 shares of Class A common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3"/>
        </w:trPr>
        <w:tc>
          <w:tcPr>
            <w:tcW w:w="852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Per</w:t>
            </w:r>
          </w:p>
        </w:tc>
        <w:tc>
          <w:tcPr>
            <w:tcW w:w="380" w:type="dxa"/>
            <w:vAlign w:val="bottom"/>
          </w:tcPr>
          <w:p>
            <w:pPr>
              <w:spacing w:after="0"/>
              <w:rPr>
                <w:sz w:val="9"/>
                <w:szCs w:val="9"/>
                <w:color w:val="auto"/>
              </w:rPr>
            </w:pPr>
          </w:p>
        </w:tc>
        <w:tc>
          <w:tcPr>
            <w:tcW w:w="1040" w:type="dxa"/>
            <w:vAlign w:val="bottom"/>
            <w:gridSpan w:val="2"/>
          </w:tcPr>
          <w:p>
            <w:pPr>
              <w:jc w:val="center"/>
              <w:ind w:right="38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r>
      <w:tr>
        <w:trPr>
          <w:trHeight w:val="169"/>
        </w:trPr>
        <w:tc>
          <w:tcPr>
            <w:tcW w:w="8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3"/>
        </w:trPr>
        <w:tc>
          <w:tcPr>
            <w:tcW w:w="85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$10.5 million. We have agreed to reimburse the underwriters for expenses relating to clearance of this offering with the Financial Industry Regulatory Authority up to $75,000.</w:t>
      </w:r>
    </w:p>
    <w:p>
      <w:pPr>
        <w:spacing w:after="0" w:line="17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underwriters have informed us that they do not intend sales to discretionary accounts to exceed 5% of the total number of shares of Class A common stock offered by them. Our Class A common stock has been approved for listing on the Nasdaq Global Select Market under the trading symbol “TEM.”</w:t>
      </w:r>
    </w:p>
    <w:p>
      <w:pPr>
        <w:spacing w:after="0" w:line="123"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or the lock-up securities, or (ii) enter into any swap or other arrangement that transfers to another, in whole or in part, any of the economic consequences of ownership of our common stock, whether any such transaction described in clause (i) or</w:t>
      </w:r>
    </w:p>
    <w:p>
      <w:pPr>
        <w:spacing w:after="0" w:line="3" w:lineRule="exact"/>
        <w:rPr>
          <w:sz w:val="20"/>
          <w:szCs w:val="20"/>
          <w:color w:val="auto"/>
        </w:rPr>
      </w:pPr>
    </w:p>
    <w:p>
      <w:pPr>
        <w:jc w:val="both"/>
        <w:ind w:firstLine="5"/>
        <w:spacing w:after="0" w:line="245" w:lineRule="auto"/>
        <w:tabs>
          <w:tab w:leader="none" w:pos="27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to be settled by delivery of the lock-up securities, in cash or otherwise, or (iii) file any registration statement with the Securities and Exchange Commission, or the SEC, relating to the offering of any lock-up securities, in each case without the prior written consent of Morgan Stanley &amp; Co. LLC and J.P. Morgan Securities LLC, for a period of 180 days after the date of this prospectus, or the restricted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set forth above applicable to us are subject to specified exceptions, including:</w:t>
      </w:r>
    </w:p>
    <w:p>
      <w:pPr>
        <w:spacing w:after="0" w:line="121" w:lineRule="exact"/>
        <w:rPr>
          <w:sz w:val="20"/>
          <w:szCs w:val="20"/>
          <w:color w:val="auto"/>
        </w:rPr>
      </w:pPr>
    </w:p>
    <w:p>
      <w:pPr>
        <w:ind w:left="1000" w:hanging="424"/>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to be sold hereunder,</w:t>
      </w:r>
    </w:p>
    <w:p>
      <w:pPr>
        <w:spacing w:after="0" w:line="121" w:lineRule="exact"/>
        <w:rPr>
          <w:rFonts w:ascii="Times New Roman" w:cs="Times New Roman" w:eastAsia="Times New Roman" w:hAnsi="Times New Roman"/>
          <w:sz w:val="18"/>
          <w:szCs w:val="18"/>
          <w:color w:val="auto"/>
        </w:rPr>
      </w:pPr>
    </w:p>
    <w:p>
      <w:pPr>
        <w:jc w:val="both"/>
        <w:ind w:left="1000" w:hanging="424"/>
        <w:spacing w:after="0" w:line="255"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lock-up securities pursuant to the conversion or exchange of convertible or exchangeable securities or the exercise of warrants or options (including net exercise) or the settlement of restricted stock units (including net settlement), in each case outstanding on the date of the underwriting agreement and described in this prospectus,</w:t>
      </w:r>
    </w:p>
    <w:p>
      <w:pPr>
        <w:spacing w:after="0" w:line="88"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shares of our common stock as payment of accrued dividends in connection with the conversion of our shares of preferred stock in this offering,</w:t>
      </w:r>
    </w:p>
    <w:p>
      <w:pPr>
        <w:spacing w:after="0" w:line="77" w:lineRule="exact"/>
        <w:rPr>
          <w:rFonts w:ascii="Times New Roman" w:cs="Times New Roman" w:eastAsia="Times New Roman" w:hAnsi="Times New Roman"/>
          <w:sz w:val="18"/>
          <w:szCs w:val="18"/>
          <w:color w:val="auto"/>
        </w:rPr>
      </w:pPr>
    </w:p>
    <w:p>
      <w:pPr>
        <w:jc w:val="both"/>
        <w:ind w:left="1000" w:hanging="424"/>
        <w:spacing w:after="0" w:line="255"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 stock awards, restricted stock, restricted stock units or other equity awards and the issuance of lock-up securities (whether upon the exercise of stock options or otherwise) to our employees, officers, directors, advisors, or consultants pursuant to the terms of a plan in effect on the date hereof and described in this prospectus,</w:t>
      </w:r>
    </w:p>
    <w:p>
      <w:pPr>
        <w:spacing w:after="0" w:line="88" w:lineRule="exact"/>
        <w:rPr>
          <w:rFonts w:ascii="Times New Roman" w:cs="Times New Roman" w:eastAsia="Times New Roman" w:hAnsi="Times New Roman"/>
          <w:sz w:val="18"/>
          <w:szCs w:val="18"/>
          <w:color w:val="auto"/>
        </w:rPr>
      </w:pPr>
    </w:p>
    <w:p>
      <w:pPr>
        <w:jc w:val="both"/>
        <w:ind w:left="1000" w:hanging="424"/>
        <w:spacing w:after="0" w:line="249"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or amendment of a trading plan on behalf of any of our stockholders, officers or directors pursuant to Rule 10b5-1 under the Exchange Act for the transfer of shares of our common stock, provided that (i) such plan does not provide for the transfer of our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our common stock may be made under such plan during the restricted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424"/>
        <w:spacing w:after="0" w:line="255"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(i) granted or to be granted pursuant to any plan in effect on the date hereof and described in this prospectus or (b) otherwise eligible to be included on a registration statement on Form S-8 and described in this prospectus, or</w:t>
      </w:r>
    </w:p>
    <w:p>
      <w:pPr>
        <w:spacing w:after="0" w:line="88" w:lineRule="exact"/>
        <w:rPr>
          <w:rFonts w:ascii="Times New Roman" w:cs="Times New Roman" w:eastAsia="Times New Roman" w:hAnsi="Times New Roman"/>
          <w:sz w:val="18"/>
          <w:szCs w:val="18"/>
          <w:color w:val="auto"/>
        </w:rPr>
      </w:pPr>
    </w:p>
    <w:p>
      <w:pPr>
        <w:jc w:val="both"/>
        <w:ind w:left="1000" w:hanging="424"/>
        <w:spacing w:after="0" w:line="24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offer of, or issuance or agreement to issue lock-up securities in connection with an acquisition, merger, joint venture, strategic alliance, commercial or other collaborative relationship or the acquisition or license by us or any of our subsidiaries of the securities, business, property or other assets of another person or entity or pursuant to any employee benefit plan as assumed by us in connection with any such acquisition or transaction, provided that the aggregate number of lock-up securities that we may sell or issue or agree to sell or issue pursuant to this paragraph shall not exceed 15.0% of the total number of shares of our common stock outstanding immediately following the issuance of our Class A common stock in this offering and provided further that the recipients of such securities provide to Morgan Stanley &amp; Co. LLC and J.P. Morgan Securities LLC a signed lock-up agreement substantially in the form of the lock-up letter delivered by certain of our stockholders, officers and directors as required under the underwriting agreement.</w:t>
      </w:r>
    </w:p>
    <w:p>
      <w:pPr>
        <w:spacing w:after="0" w:line="186"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All of our directors, executive officers and the holders of substantially all of our common stock and securities exercisable for or convertible into our common stock outstanding immediately prior to the closing of this offering (except for RSUs previously issued to our employees other than our executive officers, including the RSUs that will settle in connection with the RSU Net Settlement or the Additional RSU Settlement, and the warrants issued to Allen and AstraZeneca), or the lock-up parties, have entered into lock-up agreements prior to the commencement of this offering pursuant to which each lock-up party, with important exceptions described in the following paragraph, will not (and will not publicly disclose an intention to), for the duration of the restricted period,</w:t>
      </w:r>
    </w:p>
    <w:p>
      <w:pPr>
        <w:spacing w:after="0" w:line="3" w:lineRule="exact"/>
        <w:rPr>
          <w:sz w:val="20"/>
          <w:szCs w:val="20"/>
          <w:color w:val="auto"/>
        </w:rPr>
      </w:pPr>
    </w:p>
    <w:p>
      <w:pPr>
        <w:jc w:val="both"/>
        <w:ind w:firstLine="5"/>
        <w:spacing w:after="0" w:line="244" w:lineRule="auto"/>
        <w:tabs>
          <w:tab w:leader="none" w:pos="21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offer, pledge, sell, contract to sell, sell any option or contract to purchase, purchase any option or contract to sell, grant any option, right or warrant to purchase, or otherwise transfer or dispose of, directly or indirectly, any lock-up securities, or (ii) enter into any swap or other arrangement that transfers to another, in whole or in part, any of the economic consequences of ownership of the common stock, whether any such transaction described above is to be settled by delivery of lock-up securities, in cash or otherwise In addition, each lock-up party will agree that such lock-up party will not, during the restricted period, make any demand for, or exercise any right with respect to, the registration of any lock-up securities, for the duration of the restricted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414"/>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Class A common stock to the underwriters;</w:t>
      </w:r>
    </w:p>
    <w:p>
      <w:pPr>
        <w:spacing w:after="0" w:line="121" w:lineRule="exact"/>
        <w:rPr>
          <w:rFonts w:ascii="Times New Roman" w:cs="Times New Roman" w:eastAsia="Times New Roman" w:hAnsi="Times New Roman"/>
          <w:sz w:val="18"/>
          <w:szCs w:val="18"/>
          <w:color w:val="auto"/>
        </w:rPr>
      </w:pPr>
    </w:p>
    <w:p>
      <w:pPr>
        <w:jc w:val="both"/>
        <w:ind w:left="1000" w:hanging="424"/>
        <w:spacing w:after="0" w:line="293" w:lineRule="auto"/>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414"/>
        <w:spacing w:after="0" w:line="285" w:lineRule="auto"/>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lock-up securities (i) as a bona fide gift, (ii) to an immediate family member or to any trust for the direct or indirect benefit of the holder or an immediate family member of the holder, (iii) to any corporation, 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67" w:lineRule="exact"/>
        <w:rPr>
          <w:rFonts w:ascii="Times New Roman" w:cs="Times New Roman" w:eastAsia="Times New Roman" w:hAnsi="Times New Roman"/>
          <w:sz w:val="16"/>
          <w:szCs w:val="16"/>
          <w:color w:val="auto"/>
        </w:rPr>
      </w:pPr>
    </w:p>
    <w:p>
      <w:pPr>
        <w:jc w:val="both"/>
        <w:ind w:left="1000" w:hanging="424"/>
        <w:spacing w:after="0" w:line="255"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lock-up securities to general or limited partners, managers or members, stockholders, other equityholders or direct or indirect affiliates (within the meaning of Rule 405 under the Securities Act) of the holder or to the estates of any of the foregoing, provided that (i) each</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78" w:lineRule="exact"/>
        <w:rPr>
          <w:sz w:val="20"/>
          <w:szCs w:val="20"/>
          <w:color w:val="auto"/>
        </w:rPr>
      </w:pPr>
    </w:p>
    <w:p>
      <w:pPr>
        <w:jc w:val="both"/>
        <w:ind w:left="1000" w:hanging="414"/>
        <w:spacing w:after="0" w:line="24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to us of lock-up securities to satisfy any tax, including estimated tax, remittance, or other payment obligations of the holder arising in connection with a vesting event of our securities, upon the settlement of restricted stock units or the payment due for the exercise of options or other rights to purchase our securities (including, in each case, by way of a “cashless” or “net exercise” basis and any transfer to us necessary in respect of such amount needed for the payment of taxes, including estimated taxes, and remittance payments due as a result of such vesting, settlement or exercise including by means of a “net settlement”, “sell-to-cover” or otherwise), in all such cases pursuant to equity awards granted under a stock incentive plan or other of our equity award plans described in this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vesting, settlement or exercise occurs on terms described in this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 any remaining shares of common stock received upon such vesting, settlement or exercise are subject to the aforementioned restrictions,(ii)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395"/>
        <w:spacing w:after="0" w:line="249"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by the holder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on our behalf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424"/>
        <w:spacing w:after="0" w:line="293" w:lineRule="auto"/>
        <w:tabs>
          <w:tab w:leader="none" w:pos="100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 of lock-up securities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59" w:lineRule="exact"/>
        <w:rPr>
          <w:rFonts w:ascii="Times New Roman" w:cs="Times New Roman" w:eastAsia="Times New Roman" w:hAnsi="Times New Roman"/>
          <w:sz w:val="16"/>
          <w:szCs w:val="16"/>
          <w:color w:val="auto"/>
        </w:rPr>
      </w:pPr>
    </w:p>
    <w:p>
      <w:pPr>
        <w:jc w:val="both"/>
        <w:ind w:left="1000" w:hanging="424"/>
        <w:spacing w:after="0" w:line="249"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our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386"/>
        <w:spacing w:after="0" w:line="25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lock-up securities pursuant to a bona fide third-party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386"/>
        <w:spacing w:after="0" w:line="288" w:lineRule="auto"/>
        <w:tabs>
          <w:tab w:leader="none" w:pos="100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of lock-up securities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lock-up securities described above in whole or in part at any time, subject to applicable notice requirements. In addition, subject to certain limited, more favorable exceptions,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With certain limited exceptions,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the closing price per share of our Class A common stock on The Nasdaq Stock Market LLC is at least 30% greater than the initial public offering price per share of our Class A common stock set forth on the cover page of this prospectus for (i) any ten trading days (which, for the avoidance of doubt, need not be consecutive trading days) during the period ending on, and including, the date that we publicly announce our earnings for the first completed quarterly period following the most recent period for which financial statements are included in this prospectus (which, for this purpose, shall not include “flash” numbers or preliminary partial earnings) and (ii) any one trading day following such initial post-offering earnings release date, then the restricted period shall automatically expire on the date that is the later of (a) the date on which the conditions set forth in both (i) and (ii) above are satisfied and (b) two trading days following our initial post-offering earnings release date. Such release will correspond to 30% of the holder’s aggregate shares of our common stock, to the extent vested, and such released shares may be sold in the public market, subject to compliance with applicable securities laws including, without limitation, Rule 144 under the Securities Act, and compliance with our insider trading policy then in effect, beginning at the commencement of the first trading day following the early release date.</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event that the end of the restricted period would fall during one of our quarterly blackout periods during which trading by certain of our employees in our securities would not be permitted under our insider trading policy then in effect, the restricted period shall automatically expire on the date that is the later of (i) ten trading days prior to the date that such blackout period begins and (ii) the 150th day after the date of this prospectus.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we have entered into market standoff agreements with substantially all of our RSU holders, including the holders of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 with the consent of Morgan Stanley &amp; Co. LLC and J.P. Morgan Securities LLC. Similarly, our warrants held by AstraZeneca and Allen also contain market standoff provisions that impose restrictions on the ability of AstraZeneca and Allen to, during the restricted period, sell, dispose of, transfer, grant any option for the purchase of, or enter into any hedging or similar transaction with the same economic effect as a sale, shares of our common stock or any securities convertible into or exercisable or exchangeable for our common stock.</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not earlier released, all of the shares of Class A common stock not sold in this offering will become eligible for sale upon expiration of the restricted period, except for any shares held by our affiliates as defined in Rule 144.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Pursuant to certain exceptions in the lock-up agreements and because of our ability to release RSU holders early under the market standoff agreements, certain shares of our Class A common stock may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Approximate Number of</w:t>
            </w:r>
          </w:p>
        </w:tc>
      </w:tr>
      <w:tr>
        <w:trPr>
          <w:trHeight w:val="210"/>
        </w:trPr>
        <w:tc>
          <w:tcPr>
            <w:tcW w:w="3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 of Class A</w:t>
            </w:r>
          </w:p>
        </w:tc>
      </w:tr>
      <w:tr>
        <w:trPr>
          <w:trHeight w:val="210"/>
        </w:trPr>
        <w:tc>
          <w:tcPr>
            <w:tcW w:w="3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Common Stock</w:t>
            </w:r>
          </w:p>
        </w:tc>
      </w:tr>
      <w:tr>
        <w:trPr>
          <w:trHeight w:val="210"/>
        </w:trPr>
        <w:tc>
          <w:tcPr>
            <w:tcW w:w="3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Number of RSUs</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 be Sold in Sell-to-</w:t>
            </w:r>
          </w:p>
        </w:tc>
      </w:tr>
      <w:tr>
        <w:trPr>
          <w:trHeight w:val="25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First Available for Sale into the Market</w:t>
            </w: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Expected to Settle</w:t>
            </w:r>
          </w:p>
        </w:tc>
        <w:tc>
          <w:tcPr>
            <w:tcW w:w="31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4"/>
              </w:rPr>
              <w:t>Cover Transactions</w:t>
            </w:r>
            <w:r>
              <w:rPr>
                <w:rFonts w:ascii="Times New Roman" w:cs="Times New Roman" w:eastAsia="Times New Roman" w:hAnsi="Times New Roman"/>
                <w:sz w:val="26"/>
                <w:szCs w:val="26"/>
                <w:b w:val="1"/>
                <w:bCs w:val="1"/>
                <w:color w:val="auto"/>
                <w:w w:val="94"/>
                <w:vertAlign w:val="superscript"/>
              </w:rPr>
              <w:t>(1)</w:t>
            </w:r>
          </w:p>
        </w:tc>
      </w:tr>
      <w:tr>
        <w:trPr>
          <w:trHeight w:val="165"/>
        </w:trPr>
        <w:tc>
          <w:tcPr>
            <w:tcW w:w="33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w w:val="98"/>
              </w:rPr>
              <w:t>91 days after the date of this prospectus (or the</w:t>
            </w:r>
          </w:p>
        </w:tc>
        <w:tc>
          <w:tcPr>
            <w:tcW w:w="258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next trading day if such date is not</w:t>
            </w:r>
          </w:p>
        </w:tc>
        <w:tc>
          <w:tcPr>
            <w:tcW w:w="19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tcBorders>
              <w:top w:val="single" w:sz="8" w:color="auto"/>
            </w:tcBorders>
          </w:tcPr>
          <w:p>
            <w:pPr>
              <w:spacing w:after="0"/>
              <w:rPr>
                <w:sz w:val="14"/>
                <w:szCs w:val="14"/>
                <w:color w:val="auto"/>
              </w:rPr>
            </w:pP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trading day)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5,362,261</w:t>
            </w:r>
          </w:p>
        </w:tc>
        <w:tc>
          <w:tcPr>
            <w:tcW w:w="32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2,413,017</w:t>
            </w: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 days after the date of this prospectus (or the next trading day if such date is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2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 trading day)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5,362,262</w:t>
            </w:r>
          </w:p>
        </w:tc>
        <w:tc>
          <w:tcPr>
            <w:tcW w:w="320" w:type="dxa"/>
            <w:vAlign w:val="bottom"/>
          </w:tcPr>
          <w:p>
            <w:pPr>
              <w:spacing w:after="0"/>
              <w:rPr>
                <w:sz w:val="19"/>
                <w:szCs w:val="19"/>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07" w:lineRule="auto"/>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45% tax rate. Includes an estimated approximately 868,258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this prospectus in respect of settlement of RSUs held by our Chief Executive Officer.</w:t>
      </w:r>
    </w:p>
    <w:p>
      <w:pPr>
        <w:spacing w:after="0" w:line="19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In addition, if additional net settlement transactions occur on or prior to the dates set forth above, the number of shares of Class A common stock to be sold in each sell-to-cover transaction will be reduced proportionally.</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Internet distributions will be allocated by the representatives to underwriters that may make Internet distributions on the same basis as other allocations.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December 2023, in connection with our entry into a letter agreement with Allen for certain financial advisory services provided by Allen to us, we issued, as compensation for such services, a warrant to Allen to purchase up to 150,000 shares of our Class A common stock at an exercise price of $10.00 per share, as more fully described in the section titled “Description of Capital Stock—Warrants” in this prospectus. Pursuant to the Warrant Net Exercise, Allen will receive 108,333 shares of Class A common stock following this offering (assuming an initial public offering price of $36.00 per share, the midpoint of the estimated price range set forth on the cover page of this prospectus). The Financial Industry Regulatory Authority deems such shares to have a compensation value of $    . In no event will total underwriting compensation, as calculated under FINRA rules, exceed 9% of the gross proceeds of this offering. Such shares may not be sold, transferred, assigned, pledged, or hypothecated, or be the subject of any hedging, short sale, derivative, put, or call transaction that would result in the effective economic disposition of the shares for a period of 180 days beginning on the date of this prospectus, except as provided in FINRA Rule 5110(e)(2).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an EEA State, no shares of Class A common stock, or the Shares, have been offered or will be offered pursuant to the offering to the public in that EEA State prior to the publication of a prospectus in relation to the Shares which has been approved by the competent authority in that EEA State or, where appropriate, approved in another EEA State and notified to the competent authority in that EEA State, all in accordance with the EU Prospectus Regulation, except that it may make an offer of the Shares to the public in that EEA State at any time under the following exemptions under the EU Prospectus Regulation:</w:t>
      </w:r>
    </w:p>
    <w:p>
      <w:pPr>
        <w:spacing w:after="0" w:line="95" w:lineRule="exact"/>
        <w:rPr>
          <w:sz w:val="20"/>
          <w:szCs w:val="20"/>
          <w:color w:val="auto"/>
        </w:rPr>
      </w:pPr>
    </w:p>
    <w:p>
      <w:pPr>
        <w:ind w:left="5540" w:right="3660" w:hanging="4954"/>
        <w:spacing w:after="0" w:line="435" w:lineRule="auto"/>
        <w:tabs>
          <w:tab w:leader="none" w:pos="99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 265</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424"/>
        <w:spacing w:after="0" w:line="267"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77" w:lineRule="exact"/>
        <w:rPr>
          <w:rFonts w:ascii="Times New Roman" w:cs="Times New Roman" w:eastAsia="Times New Roman" w:hAnsi="Times New Roman"/>
          <w:sz w:val="18"/>
          <w:szCs w:val="18"/>
          <w:color w:val="auto"/>
        </w:rPr>
      </w:pPr>
    </w:p>
    <w:p>
      <w:pPr>
        <w:jc w:val="both"/>
        <w:ind w:left="1000" w:hanging="414"/>
        <w:spacing w:after="0" w:line="255"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 provided that no such offer of the Shares shall require the issuer or any underwriter to publish a prospectus pursuant to Article 3 of the EU Prospectus Regulation or supplement a prospectus pursuant to Article 23 of the EU Prospectus Regulation,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EEA State means the communication in any form and by any means of sufficient information on the terms of the offer and the Shares to be offered so as to enable an investor to decide to purchase or subscribe for the Shares, and the expression “EU Prospectus Regulation” means Regulation (EU) 2017/1129.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relation to the United Kingdom, 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in accordance with the UK Prospectus Regulation, except that it may make an offer to the public in the United Kingdom of the shares of Class A common stock at any time under the following exemptions under the UK Prospectus Regulation:</w:t>
      </w:r>
    </w:p>
    <w:p>
      <w:pPr>
        <w:spacing w:after="0" w:line="92" w:lineRule="exact"/>
        <w:rPr>
          <w:sz w:val="20"/>
          <w:szCs w:val="20"/>
          <w:color w:val="auto"/>
        </w:rPr>
      </w:pPr>
    </w:p>
    <w:p>
      <w:pPr>
        <w:ind w:left="1000" w:hanging="414"/>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UK Prospectus Regulation;</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of Class A common stock shall require the issuer or any underwriter to publish a prospectus pursuant to Article 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Prospectus Regulation or supplement a prospectus pursuant to Article 23 of the UK Prospectus Regulation.</w:t>
      </w:r>
    </w:p>
    <w:p>
      <w:pPr>
        <w:spacing w:after="0" w:line="16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or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Class A common stock in the United Kingdom means the communication in any form and by any means of sufficient information on the terms of the offerings and the shares of Class A common stock to be offered so as to enable an investor to decide to purchase or subscribe for the shares of Class A common stock, and the expression “UK Prospectus Regulation” means the UK version of Regulation (EU) No 2017/1129 as amended by The Prospectus (Amendment etc.) (EU Exit) Regulations 2019, which is part of UK law by virtue of the European Union (Withdrawal) Act 2018.</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any other applicable laws, regulations and ministerial guidelines of Japan in effect at the relevant time.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shares of Class A common stock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Class A common stock under Section 275 of the SFA except:</w:t>
      </w:r>
    </w:p>
    <w:p>
      <w:pPr>
        <w:spacing w:after="0" w:line="92" w:lineRule="exact"/>
        <w:rPr>
          <w:sz w:val="20"/>
          <w:szCs w:val="20"/>
          <w:color w:val="auto"/>
        </w:rPr>
      </w:pPr>
    </w:p>
    <w:p>
      <w:pPr>
        <w:jc w:val="both"/>
        <w:ind w:left="1000" w:hanging="424"/>
        <w:spacing w:after="0" w:line="249"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340"/>
          </w:cols>
          <w:pgMar w:left="320" w:top="448"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the purposes of our obligations pursuant to Section 309B of the SFA, we have determined, and hereby notify all relevant persons (as defined in the Securities and Futures (Capital Markets Products) Regulations 2018, or the CMP Regulations, that the shares of Class A common stock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340"/>
          </w:cols>
          <w:pgMar w:left="320" w:top="44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2023 and 2022, and for each of the two years in the period ended December 31, 2023,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340"/>
          </w:cols>
          <w:pgMar w:left="320" w:top="448" w:right="2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195"/>
        </w:trPr>
        <w:tc>
          <w:tcPr>
            <w:tcW w:w="920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6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5"/>
              </w:rPr>
              <w:t>Tempus AI, Inc.</w:t>
            </w:r>
          </w:p>
        </w:tc>
        <w:tc>
          <w:tcPr>
            <w:tcW w:w="206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6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60" w:type="dxa"/>
            <w:vAlign w:val="bottom"/>
          </w:tcPr>
          <w:p>
            <w:pPr>
              <w:spacing w:after="0"/>
              <w:rPr>
                <w:sz w:val="19"/>
                <w:szCs w:val="19"/>
                <w:color w:val="auto"/>
              </w:rPr>
            </w:pPr>
          </w:p>
        </w:tc>
      </w:tr>
      <w:tr>
        <w:trPr>
          <w:trHeight w:val="407"/>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1"/>
        </w:trPr>
        <w:tc>
          <w:tcPr>
            <w:tcW w:w="41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100" w:type="dxa"/>
            <w:vAlign w:val="bottom"/>
            <w:gridSpan w:val="3"/>
          </w:tcPr>
          <w:p>
            <w:pPr>
              <w:spacing w:after="0"/>
              <w:rPr>
                <w:sz w:val="18"/>
                <w:szCs w:val="18"/>
                <w:color w:val="auto"/>
              </w:rPr>
            </w:pPr>
          </w:p>
        </w:tc>
        <w:tc>
          <w:tcPr>
            <w:tcW w:w="206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160" w:type="dxa"/>
            <w:vAlign w:val="bottom"/>
            <w:gridSpan w:val="6"/>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40" w:type="dxa"/>
            <w:vAlign w:val="bottom"/>
            <w:gridSpan w:val="2"/>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00" w:type="dxa"/>
            <w:vAlign w:val="bottom"/>
            <w:gridSpan w:val="5"/>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40" w:type="dxa"/>
            <w:vAlign w:val="bottom"/>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F-10-F-50</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color w:val="auto"/>
                <w:w w:val="95"/>
              </w:rPr>
              <w:t>F-1</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320" w:top="443" w:right="3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AI,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AI, Inc. and its subsidiaries (the “Company”) as of December 31, 2023 and 2022,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9"/>
        </w:trPr>
        <w:tc>
          <w:tcPr>
            <w:tcW w:w="7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7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302,938</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165,767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79,942</w:t>
            </w:r>
          </w:p>
        </w:tc>
        <w:tc>
          <w:tcPr>
            <w:tcW w:w="0" w:type="dxa"/>
            <w:vAlign w:val="bottom"/>
          </w:tcPr>
          <w:p>
            <w:pPr>
              <w:spacing w:after="0"/>
              <w:rPr>
                <w:sz w:val="1"/>
                <w:szCs w:val="1"/>
                <w:color w:val="auto"/>
              </w:rPr>
            </w:pPr>
          </w:p>
        </w:tc>
      </w:tr>
      <w:tr>
        <w:trPr>
          <w:trHeight w:val="192"/>
        </w:trPr>
        <w:tc>
          <w:tcPr>
            <w:tcW w:w="716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Accounts receivable, net of allowances of $2,942, $1,115, and $1,045 at December 31, 2022</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2023 and March 31, 2024, respectively</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88,684</w:t>
            </w:r>
          </w:p>
        </w:tc>
        <w:tc>
          <w:tcPr>
            <w:tcW w:w="18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94,462</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107,795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22,282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28,845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30,129</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19,450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17,295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23,024</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31,807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8,217</w:t>
            </w:r>
          </w:p>
        </w:tc>
        <w:tc>
          <w:tcPr>
            <w:tcW w:w="0" w:type="dxa"/>
            <w:vAlign w:val="bottom"/>
          </w:tcPr>
          <w:p>
            <w:pPr>
              <w:spacing w:after="0"/>
              <w:rPr>
                <w:sz w:val="1"/>
                <w:szCs w:val="1"/>
                <w:color w:val="auto"/>
              </w:rPr>
            </w:pPr>
          </w:p>
        </w:tc>
      </w:tr>
      <w:tr>
        <w:trPr>
          <w:trHeight w:val="216"/>
        </w:trPr>
        <w:tc>
          <w:tcPr>
            <w:tcW w:w="7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438,629</w:t>
            </w:r>
          </w:p>
        </w:tc>
        <w:tc>
          <w:tcPr>
            <w:tcW w:w="620" w:type="dxa"/>
            <w:vAlign w:val="bottom"/>
          </w:tcPr>
          <w:p>
            <w:pPr>
              <w:spacing w:after="0"/>
              <w:rPr>
                <w:sz w:val="18"/>
                <w:szCs w:val="18"/>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350,331</w:t>
            </w:r>
          </w:p>
        </w:tc>
        <w:tc>
          <w:tcPr>
            <w:tcW w:w="6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44,105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59,217</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53,100</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73,354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73,346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37,278</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8,830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24,948</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20,288</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23,398</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20,530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19,535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631,364</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45,987</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43,997</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55,272</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82,250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50,142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64,860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57,352</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2,355</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6,070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8,500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dividends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8,343</w:t>
            </w:r>
          </w:p>
        </w:tc>
        <w:tc>
          <w:tcPr>
            <w:tcW w:w="0" w:type="dxa"/>
            <w:vAlign w:val="bottom"/>
          </w:tcPr>
          <w:p>
            <w:pPr>
              <w:spacing w:after="0"/>
              <w:rPr>
                <w:sz w:val="1"/>
                <w:szCs w:val="1"/>
                <w:color w:val="auto"/>
              </w:rPr>
            </w:pPr>
          </w:p>
        </w:tc>
      </w:tr>
      <w:tr>
        <w:trPr>
          <w:trHeight w:val="26"/>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174,239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209,524</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37,125</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32,730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accrued data licensing fees, less current portion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6,613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221,094</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193,124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186,733</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42,500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35,300</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9,604</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18,145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39,485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55,321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58,964</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168,452</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256,541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259,196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35,136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734,248</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840,672</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5560"/>
              <w:spacing w:after="0"/>
              <w:rPr>
                <w:sz w:val="20"/>
                <w:szCs w:val="20"/>
                <w:color w:val="auto"/>
              </w:rPr>
            </w:pPr>
            <w:r>
              <w:rPr>
                <w:rFonts w:ascii="Times New Roman" w:cs="Times New Roman" w:eastAsia="Times New Roman" w:hAnsi="Times New Roman"/>
                <w:sz w:val="18"/>
                <w:szCs w:val="18"/>
                <w:color w:val="auto"/>
              </w:rPr>
              <w:t>F-3</w:t>
            </w: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3"/>
                <w:szCs w:val="13"/>
                <w:color w:val="auto"/>
              </w:rPr>
            </w:pPr>
          </w:p>
        </w:tc>
        <w:tc>
          <w:tcPr>
            <w:tcW w:w="13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3"/>
                <w:szCs w:val="13"/>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3"/>
                <w:szCs w:val="13"/>
                <w:color w:val="auto"/>
              </w:rPr>
            </w:pPr>
          </w:p>
        </w:tc>
        <w:tc>
          <w:tcPr>
            <w:tcW w:w="1040" w:type="dxa"/>
            <w:vAlign w:val="bottom"/>
            <w:gridSpan w:val="2"/>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37"/>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$0.0001 par value, 65,441,289, 69,803,765, and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69,803,765 shares authorized at December 31, 2022 and 2023 and March 31, 2024,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 62,692,927, 63,525,953, and 63,603,084 shares issued and outstanding at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2022 and 2023 and March 31, 2024, respectively; aggregate liquidation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preference of $1,043,757, $1,130,429, and $1,143,105 at December 31, 2022 and 2023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2024, respectively</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1,105,543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1,134,802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Voting Common Stock, $0.0001 par value, 195,865,548 shares authorized at December 31,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2022 and 200,228,024 shares authorized at December 31, 2023 and March 31, 2024,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58,367,961 shares issued and outstanding at December 31, 2022 and 2023 and March 31,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66,946,627 shares authorized at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2022 and 2023 and March 31, 2024; 4,932,415 shares issued and</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December 31, 2022 and 5,205,802 shares issued and 5,060,336 shares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December 31, 2023 and 5,214,943 shares issued and 5,069,477 shares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145,466 shares at December 31, 2022 and 2023 and March 31, 2024, at cost</w:t>
            </w:r>
          </w:p>
        </w:tc>
        <w:tc>
          <w:tcPr>
            <w:tcW w:w="80" w:type="dxa"/>
            <w:vAlign w:val="bottom"/>
          </w:tcPr>
          <w:p>
            <w:pPr>
              <w:spacing w:after="0"/>
              <w:rPr>
                <w:sz w:val="18"/>
                <w:szCs w:val="18"/>
                <w:color w:val="auto"/>
              </w:rPr>
            </w:pPr>
          </w:p>
        </w:tc>
        <w:tc>
          <w:tcPr>
            <w:tcW w:w="13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3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18,345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(1,138,302)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(1,396,917)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(1,489,467)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(1,129,027</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(1,382,163</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469,272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3"/>
        </w:trPr>
        <w:tc>
          <w:tcPr>
            <w:tcW w:w="6920" w:type="dxa"/>
            <w:vAlign w:val="bottom"/>
          </w:tcPr>
          <w:p>
            <w:pPr>
              <w:spacing w:after="0"/>
              <w:rPr>
                <w:sz w:val="9"/>
                <w:szCs w:val="9"/>
                <w:color w:val="auto"/>
              </w:rPr>
            </w:pPr>
          </w:p>
        </w:tc>
        <w:tc>
          <w:tcPr>
            <w:tcW w:w="126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top w:val="single" w:sz="8" w:color="auto"/>
            </w:tcBorders>
            <w:gridSpan w:val="3"/>
          </w:tcPr>
          <w:p>
            <w:pPr>
              <w:jc w:val="right"/>
              <w:ind w:right="378"/>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8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53"/>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197,984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82,058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99"/>
              </w:rPr>
              <w:t>102,569</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122,684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33,566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43,251</w:t>
            </w:r>
          </w:p>
        </w:tc>
        <w:tc>
          <w:tcPr>
            <w:tcW w:w="0" w:type="dxa"/>
            <w:vAlign w:val="bottom"/>
          </w:tcPr>
          <w:p>
            <w:pPr>
              <w:spacing w:after="0"/>
              <w:rPr>
                <w:sz w:val="1"/>
                <w:szCs w:val="1"/>
                <w:color w:val="auto"/>
              </w:rPr>
            </w:pPr>
          </w:p>
        </w:tc>
      </w:tr>
      <w:tr>
        <w:trPr>
          <w:trHeight w:val="216"/>
        </w:trPr>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115,624</w:t>
            </w:r>
          </w:p>
        </w:tc>
        <w:tc>
          <w:tcPr>
            <w:tcW w:w="4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145,820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150,255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45,280</w:t>
            </w:r>
          </w:p>
        </w:tc>
        <w:tc>
          <w:tcPr>
            <w:tcW w:w="10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52,835</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40,227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56,482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15,288</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79,093</w:t>
            </w:r>
          </w:p>
        </w:tc>
        <w:tc>
          <w:tcPr>
            <w:tcW w:w="160" w:type="dxa"/>
            <w:vAlign w:val="bottom"/>
          </w:tcPr>
          <w:p>
            <w:pPr>
              <w:spacing w:after="0"/>
              <w:rPr>
                <w:sz w:val="18"/>
                <w:szCs w:val="18"/>
                <w:color w:val="auto"/>
              </w:rPr>
            </w:pP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95,155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22,902</w:t>
            </w:r>
          </w:p>
        </w:tc>
        <w:tc>
          <w:tcPr>
            <w:tcW w:w="10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27,067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83,158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90,343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20,863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24,340</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233,377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69,047</w:t>
            </w:r>
          </w:p>
        </w:tc>
        <w:tc>
          <w:tcPr>
            <w:tcW w:w="10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79,564</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586,110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95"/>
              </w:rPr>
              <w:t>169,485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9"/>
              </w:rPr>
              <w:t>199,094</w:t>
            </w: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(196,083</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(53,861</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(21,894)</w:t>
            </w:r>
          </w:p>
        </w:tc>
        <w:tc>
          <w:tcPr>
            <w:tcW w:w="16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(46,869)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(4,846)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21,822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(213,529)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(54,240)</w:t>
            </w:r>
          </w:p>
        </w:tc>
        <w:tc>
          <w:tcPr>
            <w:tcW w:w="4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(64,732)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(289,811)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(214,118)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(54,377)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(40,975)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(44,497)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10"/>
        </w:trPr>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(2,841)</w:t>
            </w:r>
          </w:p>
        </w:tc>
        <w:tc>
          <w:tcPr>
            <w:tcW w:w="16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(333,928)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(265,964)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(65,767)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(93,056)</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63,032</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63,306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63,229</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63,430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(289,811)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(214,118)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(54,377)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10"/>
        </w:trPr>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(289,782)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(214,131)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(54,405)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980" w:type="dxa"/>
            <w:vAlign w:val="bottom"/>
            <w:gridSpan w:val="3"/>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right"/>
              <w:ind w:right="413"/>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(289,811)</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(214,118)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w w:val="97"/>
              </w:rPr>
              <w:t>(54,377)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4,700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marketable equity securities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(9,807)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(6,246)</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30,029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33,049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9,189</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1,938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4,700</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6,427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7,359</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2,182</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(9,678)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(13,552)</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(5,729)</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(4,236)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(7,915)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(23,363)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(12,057)</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67,626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(26,412)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(15,974)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(6,746)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(2,750)</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22,803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38,577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payable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16,395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15,836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3,643</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(7,439)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(8,761)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(2,339)</w:t>
            </w:r>
          </w:p>
        </w:tc>
      </w:tr>
      <w:tr>
        <w:trPr>
          <w:trHeight w:val="26"/>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(168,204)</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(214,339)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7"/>
              </w:rPr>
              <w:t>(66,262)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(101,378)</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(18,377)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(34,608)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(6,108)</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23,098</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(39,562)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(57,939</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G-3 Preferred Stock, net of offering costs</w:t>
            </w:r>
          </w:p>
        </w:tc>
        <w:tc>
          <w:tcPr>
            <w:tcW w:w="2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92,199</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G-4 Preferred Stock, net of offering costs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44,885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(2,883)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(5,625)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(5,625)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170,625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82,875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r>
      <w:tr>
        <w:trPr>
          <w:trHeight w:val="26"/>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117,547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r>
      <w:tr>
        <w:trPr>
          <w:trHeight w:val="36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F-6</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5"/>
          </w:tcPr>
          <w:p>
            <w:pPr>
              <w:ind w:left="420"/>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25,265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(137,124)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(79,173)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(85,815)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278,466</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303,731</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2"/>
              </w:rPr>
              <w:t>303,731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166,607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303,731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166,607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2"/>
              </w:rPr>
              <w:t>224,558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80,792</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302,938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165,767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2"/>
              </w:rPr>
              <w:t>223,756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303,731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166,607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2"/>
              </w:rPr>
              <w:t>224,558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80,792</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161</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Marketable equity securities received on accounts receivable</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2,408</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6,137</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2,340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w w:val="88"/>
              </w:rPr>
              <w:t>1,379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3,504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2,624</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17,142</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27,970</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5,060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w w:val="88"/>
              </w:rPr>
              <w:t>6,391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4,947</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9,209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4,305</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Non-voting common stock issued in connection with contingent consideration</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1,097</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892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Finance lease liabilities arising from obtaining right-of-use assets</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Issuance of Series G-3 Preferred Stock</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2,738</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2,738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w w:val="88"/>
              </w:rPr>
              <w:t>3,809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Issuance of warrant</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Issuance of Series G-4 Preferred Stock</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20"/>
              <w:spacing w:after="0" w:line="202" w:lineRule="exact"/>
              <w:rPr>
                <w:sz w:val="20"/>
                <w:szCs w:val="20"/>
                <w:color w:val="auto"/>
              </w:rPr>
            </w:pPr>
            <w:r>
              <w:rPr>
                <w:rFonts w:ascii="Times New Roman" w:cs="Times New Roman" w:eastAsia="Times New Roman" w:hAnsi="Times New Roman"/>
                <w:sz w:val="18"/>
                <w:szCs w:val="18"/>
                <w:color w:val="auto"/>
                <w:w w:val="81"/>
              </w:rPr>
              <w:t>611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7"/>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9"/>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Voting Common</w:t>
            </w:r>
          </w:p>
        </w:tc>
        <w:tc>
          <w:tcPr>
            <w:tcW w:w="100" w:type="dxa"/>
            <w:vAlign w:val="bottom"/>
          </w:tcPr>
          <w:p>
            <w:pPr>
              <w:spacing w:after="0"/>
              <w:rPr>
                <w:sz w:val="13"/>
                <w:szCs w:val="13"/>
                <w:color w:val="auto"/>
              </w:rPr>
            </w:pPr>
          </w:p>
        </w:tc>
        <w:tc>
          <w:tcPr>
            <w:tcW w:w="980" w:type="dxa"/>
            <w:vAlign w:val="bottom"/>
            <w:gridSpan w:val="8"/>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3"/>
                <w:szCs w:val="13"/>
                <w:color w:val="auto"/>
              </w:rPr>
            </w:pPr>
          </w:p>
        </w:tc>
        <w:tc>
          <w:tcPr>
            <w:tcW w:w="8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7"/>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9"/>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8"/>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6"/>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10"/>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gridSpan w:val="4"/>
          </w:tcPr>
          <w:p>
            <w:pPr>
              <w:jc w:val="right"/>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jc w:val="right"/>
              <w:ind w:right="50"/>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4"/>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gridSpan w:val="5"/>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940" w:type="dxa"/>
            <w:vAlign w:val="bottom"/>
            <w:tcBorders>
              <w:top w:val="single" w:sz="8" w:color="auto"/>
            </w:tcBorders>
            <w:gridSpan w:val="7"/>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Units  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8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7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3"/>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right w:val="single" w:sz="8" w:color="CCEEFF"/>
            </w:tcBorders>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898,291</w:t>
            </w:r>
          </w:p>
        </w:tc>
        <w:tc>
          <w:tcPr>
            <w:tcW w:w="16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4"/>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ind w:right="3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79"/>
              </w:rPr>
              <w:t>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4,612,450</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center"/>
              <w:ind w:right="30"/>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center"/>
              <w:ind w:right="90"/>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(807,486)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Issuance of Series G-3 Preferred</w:t>
            </w:r>
          </w:p>
        </w:tc>
        <w:tc>
          <w:tcPr>
            <w:tcW w:w="754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net of stock issuance costs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92,199</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$301</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1,614,114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w w:val="98"/>
              </w:rPr>
              <w:t>Impact of adoption of Topic 842</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5" w:lineRule="exact"/>
              <w:rPr>
                <w:sz w:val="20"/>
                <w:szCs w:val="20"/>
                <w:color w:val="auto"/>
              </w:rPr>
            </w:pPr>
            <w:r>
              <w:rPr>
                <w:rFonts w:ascii="Times New Roman" w:cs="Times New Roman" w:eastAsia="Times New Roman" w:hAnsi="Times New Roman"/>
                <w:sz w:val="14"/>
                <w:szCs w:val="14"/>
                <w:color w:val="auto"/>
                <w:w w:val="85"/>
              </w:rPr>
              <w:t>271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w:t>
            </w:r>
          </w:p>
        </w:tc>
        <w:tc>
          <w:tcPr>
            <w:tcW w:w="100" w:type="dxa"/>
            <w:vAlign w:val="bottom"/>
          </w:tcPr>
          <w:p>
            <w:pPr>
              <w:spacing w:after="0"/>
              <w:rPr>
                <w:sz w:val="10"/>
                <w:szCs w:val="10"/>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to redemption value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35,352</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301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(41,276)</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(40,975)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contingent</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6"/>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145,466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4,304</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consideration</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6"/>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contingent</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174,499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4,947</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consideration</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0" w:type="dxa"/>
            <w:vAlign w:val="bottom"/>
          </w:tcPr>
          <w:p>
            <w:pPr>
              <w:spacing w:after="0"/>
              <w:rPr>
                <w:sz w:val="1"/>
                <w:szCs w:val="1"/>
                <w:color w:val="auto"/>
              </w:rPr>
            </w:pPr>
          </w:p>
        </w:tc>
      </w:tr>
      <w:tr>
        <w:trPr>
          <w:trHeight w:val="151"/>
        </w:trPr>
        <w:tc>
          <w:tcPr>
            <w:tcW w:w="18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340" w:type="dxa"/>
            <w:vAlign w:val="bottom"/>
          </w:tcPr>
          <w:p>
            <w:pPr>
              <w:spacing w:after="0"/>
              <w:rPr>
                <w:sz w:val="13"/>
                <w:szCs w:val="13"/>
                <w:color w:val="auto"/>
              </w:rPr>
            </w:pPr>
          </w:p>
        </w:tc>
        <w:tc>
          <w:tcPr>
            <w:tcW w:w="660" w:type="dxa"/>
            <w:vAlign w:val="bottom"/>
            <w:tcBorders>
              <w:top w:val="single" w:sz="8" w:color="auto"/>
              <w:bottom w:val="single" w:sz="8" w:color="auto"/>
            </w:tcBorders>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62,692,927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20" w:type="dxa"/>
            <w:vAlign w:val="bottom"/>
            <w:tcBorders>
              <w:top w:val="single" w:sz="8" w:color="auto"/>
              <w:bottom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w w:val="96"/>
              </w:rPr>
              <w:t>1,026,143</w:t>
            </w: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3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w w:val="79"/>
              </w:rPr>
              <w:t>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rPr>
              <w:t>4,932,415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center"/>
              <w:ind w:right="3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center"/>
              <w:ind w:right="9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9,251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(1,138,302</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(1,129,027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6"/>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6"/>
          </w:tcPr>
          <w:p>
            <w:pPr>
              <w:jc w:val="center"/>
              <w:ind w:right="3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4"/>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9"/>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20" w:type="dxa"/>
            <w:vAlign w:val="bottom"/>
            <w:gridSpan w:val="11"/>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5"/>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11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gridSpan w:val="5"/>
          </w:tcPr>
          <w:p>
            <w:pPr>
              <w:jc w:val="right"/>
              <w:ind w:right="1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right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gridSpan w:val="3"/>
          </w:tcPr>
          <w:p>
            <w:pPr>
              <w:jc w:val="center"/>
              <w:ind w:right="5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4"/>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gridSpan w:val="4"/>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gridSpan w:val="3"/>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85"/>
              </w:rPr>
              <w:t>Amount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7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8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62,692,927</w:t>
            </w:r>
          </w:p>
        </w:tc>
        <w:tc>
          <w:tcPr>
            <w:tcW w:w="800" w:type="dxa"/>
            <w:vAlign w:val="bottom"/>
            <w:gridSpan w:val="7"/>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$1,026,143</w:t>
            </w:r>
          </w:p>
        </w:tc>
        <w:tc>
          <w:tcPr>
            <w:tcW w:w="140" w:type="dxa"/>
            <w:vAlign w:val="bottom"/>
            <w:tcBorders>
              <w:right w:val="single" w:sz="8" w:color="auto"/>
            </w:tcBorders>
            <w:shd w:val="clear" w:color="auto" w:fill="CCEEFF"/>
          </w:tcPr>
          <w:p>
            <w:pPr>
              <w:spacing w:after="0"/>
              <w:rPr>
                <w:sz w:val="8"/>
                <w:szCs w:val="8"/>
                <w:color w:val="auto"/>
              </w:rPr>
            </w:pPr>
          </w:p>
        </w:tc>
        <w:tc>
          <w:tcPr>
            <w:tcW w:w="78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58,367,961</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4,932,415</w:t>
            </w:r>
          </w:p>
        </w:tc>
        <w:tc>
          <w:tcPr>
            <w:tcW w:w="60" w:type="dxa"/>
            <w:vAlign w:val="bottom"/>
            <w:shd w:val="clear" w:color="auto" w:fill="CCEEFF"/>
          </w:tcPr>
          <w:p>
            <w:pPr>
              <w:spacing w:after="0"/>
              <w:rPr>
                <w:sz w:val="8"/>
                <w:szCs w:val="8"/>
                <w:color w:val="auto"/>
              </w:rPr>
            </w:pP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9,251</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(1,138,302)</w:t>
            </w:r>
          </w:p>
        </w:tc>
        <w:tc>
          <w:tcPr>
            <w:tcW w:w="16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(1,129,027)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7"/>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80" w:type="dxa"/>
            <w:vAlign w:val="bottom"/>
            <w:gridSpan w:val="5"/>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0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47,781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2,738</w:t>
            </w:r>
          </w:p>
        </w:tc>
        <w:tc>
          <w:tcPr>
            <w:tcW w:w="1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Issuance of Series G-4</w:t>
            </w: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180" w:type="dxa"/>
            <w:vAlign w:val="bottom"/>
            <w:tcBorders>
              <w:right w:val="single" w:sz="8" w:color="CCEEFF"/>
            </w:tcBorders>
            <w:gridSpan w:val="25"/>
            <w:shd w:val="clear" w:color="auto" w:fill="CCEEFF"/>
          </w:tcPr>
          <w:p>
            <w:pPr>
              <w:spacing w:after="0"/>
              <w:rPr>
                <w:sz w:val="10"/>
                <w:szCs w:val="10"/>
                <w:color w:val="auto"/>
              </w:rPr>
            </w:pPr>
          </w:p>
        </w:tc>
        <w:tc>
          <w:tcPr>
            <w:tcW w:w="4360" w:type="dxa"/>
            <w:vAlign w:val="bottom"/>
            <w:gridSpan w:val="1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Preferred Stock, net of stock</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785,245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40,662</w:t>
            </w: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costs of $4,338</w:t>
            </w: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4"/>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Accretion of convertible</w:t>
            </w:r>
          </w:p>
        </w:tc>
        <w:tc>
          <w:tcPr>
            <w:tcW w:w="788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preferred stock to</w:t>
            </w:r>
          </w:p>
        </w:tc>
        <w:tc>
          <w:tcPr>
            <w:tcW w:w="3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4,338</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(4,338)</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3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4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98"/>
              </w:rPr>
              <w:t>31,662</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(44,497)</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(44,497)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Repurchase of Non-voting</w:t>
            </w:r>
          </w:p>
        </w:tc>
        <w:tc>
          <w:tcPr>
            <w:tcW w:w="3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62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(145,466)</w:t>
            </w:r>
          </w:p>
        </w:tc>
        <w:tc>
          <w:tcPr>
            <w:tcW w:w="64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Common stock issued in</w:t>
            </w:r>
          </w:p>
        </w:tc>
        <w:tc>
          <w:tcPr>
            <w:tcW w:w="788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3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273,387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9,209</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9,209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combination</w:t>
            </w:r>
          </w:p>
        </w:tc>
        <w:tc>
          <w:tcPr>
            <w:tcW w:w="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warrant</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4,223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4,223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(214,118)</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(214,118)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40" w:type="dxa"/>
            <w:vAlign w:val="bottom"/>
            <w:tcBorders>
              <w:right w:val="single" w:sz="8" w:color="auto"/>
            </w:tcBorders>
            <w:gridSpan w:val="11"/>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180" w:type="dxa"/>
            <w:vAlign w:val="bottom"/>
            <w:tcBorders>
              <w:right w:val="single" w:sz="8" w:color="auto"/>
            </w:tcBorders>
            <w:gridSpan w:val="25"/>
            <w:shd w:val="clear" w:color="auto" w:fill="000000"/>
          </w:tcPr>
          <w:p>
            <w:pPr>
              <w:spacing w:after="0"/>
              <w:rPr>
                <w:sz w:val="2"/>
                <w:szCs w:val="2"/>
                <w:color w:val="auto"/>
              </w:rPr>
            </w:pPr>
          </w:p>
        </w:tc>
        <w:tc>
          <w:tcPr>
            <w:tcW w:w="4360" w:type="dxa"/>
            <w:vAlign w:val="bottom"/>
            <w:gridSpan w:val="17"/>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8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63,525,953</w:t>
            </w:r>
          </w:p>
        </w:tc>
        <w:tc>
          <w:tcPr>
            <w:tcW w:w="800" w:type="dxa"/>
            <w:vAlign w:val="bottom"/>
            <w:gridSpan w:val="7"/>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1,105,543</w:t>
            </w:r>
          </w:p>
        </w:tc>
        <w:tc>
          <w:tcPr>
            <w:tcW w:w="140" w:type="dxa"/>
            <w:vAlign w:val="bottom"/>
            <w:tcBorders>
              <w:right w:val="single" w:sz="8" w:color="auto"/>
            </w:tcBorders>
            <w:shd w:val="clear" w:color="auto" w:fill="CCEEFF"/>
          </w:tcPr>
          <w:p>
            <w:pPr>
              <w:spacing w:after="0"/>
              <w:rPr>
                <w:sz w:val="10"/>
                <w:szCs w:val="10"/>
                <w:color w:val="auto"/>
              </w:rPr>
            </w:pPr>
          </w:p>
        </w:tc>
        <w:tc>
          <w:tcPr>
            <w:tcW w:w="78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58,367,961</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5,205,802</w:t>
            </w:r>
          </w:p>
        </w:tc>
        <w:tc>
          <w:tcPr>
            <w:tcW w:w="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(145,466)</w:t>
            </w:r>
          </w:p>
        </w:tc>
        <w:tc>
          <w:tcPr>
            <w:tcW w:w="64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(3,602)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18,345</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(1,396,917)</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(1,382,163)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7"/>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80" w:type="dxa"/>
            <w:vAlign w:val="bottom"/>
            <w:gridSpan w:val="5"/>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0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-233045</wp:posOffset>
            </wp:positionV>
            <wp:extent cx="247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-33020</wp:posOffset>
            </wp:positionV>
            <wp:extent cx="247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-15875</wp:posOffset>
            </wp:positionV>
            <wp:extent cx="247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1900" w:type="dxa"/>
            <w:vAlign w:val="bottom"/>
          </w:tcPr>
          <w:p>
            <w:pPr>
              <w:spacing w:after="0"/>
              <w:rPr>
                <w:sz w:val="3"/>
                <w:szCs w:val="3"/>
                <w:color w:val="auto"/>
              </w:rPr>
            </w:pPr>
          </w:p>
        </w:tc>
        <w:tc>
          <w:tcPr>
            <w:tcW w:w="16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600" w:type="dxa"/>
            <w:vAlign w:val="bottom"/>
            <w:gridSpan w:val="4"/>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10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1600" w:type="dxa"/>
            <w:vAlign w:val="bottom"/>
            <w:gridSpan w:val="4"/>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1600" w:type="dxa"/>
            <w:vAlign w:val="bottom"/>
            <w:gridSpan w:val="4"/>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1320" w:type="dxa"/>
            <w:vAlign w:val="bottom"/>
            <w:gridSpan w:val="4"/>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0" w:type="dxa"/>
            <w:vAlign w:val="bottom"/>
            <w:gridSpan w:val="4"/>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tcBorders>
              <w:top w:val="single" w:sz="8" w:color="auto"/>
            </w:tcBorders>
          </w:tcPr>
          <w:p>
            <w:pPr>
              <w:jc w:val="right"/>
              <w:ind w:right="1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40" w:type="dxa"/>
            <w:vAlign w:val="bottom"/>
            <w:tcBorders>
              <w:top w:val="single" w:sz="8" w:color="auto"/>
            </w:tcBorders>
            <w:gridSpan w:val="2"/>
          </w:tcPr>
          <w:p>
            <w:pPr>
              <w:jc w:val="center"/>
              <w:ind w:right="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60" w:type="dxa"/>
            <w:vAlign w:val="bottom"/>
            <w:tcBorders>
              <w:top w:val="single" w:sz="8" w:color="auto"/>
            </w:tcBorders>
            <w:gridSpan w:val="2"/>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8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190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62,692,927</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$1,026,143</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tcBorders>
            <w:shd w:val="clear" w:color="auto" w:fill="CCEEFF"/>
          </w:tcPr>
          <w:p>
            <w:pPr>
              <w:jc w:val="center"/>
              <w:ind w:left="30"/>
              <w:spacing w:after="0" w:line="138"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4,932,415</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40"/>
              <w:spacing w:after="0" w:line="138"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   — </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9,251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w w:val="97"/>
              </w:rPr>
              <w:t>(1,138,302)</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(1,129,027)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47,781</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2,738</w:t>
            </w:r>
          </w:p>
        </w:tc>
        <w:tc>
          <w:tcPr>
            <w:tcW w:w="20" w:type="dxa"/>
            <w:vAlign w:val="bottom"/>
            <w:shd w:val="clear" w:color="auto" w:fill="000000"/>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0"/>
                <w:szCs w:val="10"/>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840" w:type="dxa"/>
            <w:vAlign w:val="bottom"/>
            <w:tcBorders>
              <w:left w:val="single" w:sz="8" w:color="CCEEFF"/>
            </w:tcBorders>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5,440</w:t>
            </w:r>
          </w:p>
        </w:tc>
        <w:tc>
          <w:tcPr>
            <w:tcW w:w="20" w:type="dxa"/>
            <w:vAlign w:val="bottom"/>
            <w:shd w:val="clear" w:color="auto" w:fill="000000"/>
          </w:tcPr>
          <w:p>
            <w:pPr>
              <w:spacing w:after="0"/>
              <w:rPr>
                <w:sz w:val="12"/>
                <w:szCs w:val="12"/>
                <w:color w:val="auto"/>
              </w:rPr>
            </w:pPr>
          </w:p>
        </w:tc>
        <w:tc>
          <w:tcPr>
            <w:tcW w:w="840" w:type="dxa"/>
            <w:vAlign w:val="bottom"/>
            <w:gridSpan w:val="2"/>
          </w:tcPr>
          <w:p>
            <w:pPr>
              <w:ind w:left="5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700" w:type="dxa"/>
            <w:vAlign w:val="bottom"/>
            <w:gridSpan w:val="2"/>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2"/>
                <w:szCs w:val="12"/>
                <w:color w:val="auto"/>
              </w:rPr>
            </w:pPr>
          </w:p>
        </w:tc>
        <w:tc>
          <w:tcPr>
            <w:tcW w:w="24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0" w:type="dxa"/>
            <w:vAlign w:val="bottom"/>
            <w:gridSpan w:val="2"/>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color w:val="auto"/>
              </w:rPr>
              <w:t>(10,669)</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(10,669)</w:t>
            </w: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Repurchase of Non-voting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840" w:type="dxa"/>
            <w:vAlign w:val="bottom"/>
            <w:tcBorders>
              <w:left w:val="single" w:sz="8" w:color="CCEEFF"/>
            </w:tcBorders>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76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(145,466)</w:t>
            </w:r>
          </w:p>
        </w:tc>
        <w:tc>
          <w:tcPr>
            <w:tcW w:w="66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(3,602)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130,874</w:t>
            </w:r>
          </w:p>
        </w:tc>
        <w:tc>
          <w:tcPr>
            <w:tcW w:w="260" w:type="dxa"/>
            <w:vAlign w:val="bottom"/>
          </w:tcPr>
          <w:p>
            <w:pPr>
              <w:spacing w:after="0"/>
              <w:rPr>
                <w:sz w:val="12"/>
                <w:szCs w:val="12"/>
                <w:color w:val="auto"/>
              </w:rPr>
            </w:pP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2"/>
                <w:szCs w:val="12"/>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4,305</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4,305</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840" w:type="dxa"/>
            <w:vAlign w:val="bottom"/>
            <w:tcBorders>
              <w:left w:val="single" w:sz="8" w:color="CCEEFF"/>
            </w:tcBorders>
            <w:gridSpan w:val="2"/>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(54,377)</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(54,377)</w:t>
            </w:r>
          </w:p>
        </w:tc>
        <w:tc>
          <w:tcPr>
            <w:tcW w:w="0" w:type="dxa"/>
            <w:vAlign w:val="bottom"/>
          </w:tcPr>
          <w:p>
            <w:pPr>
              <w:spacing w:after="0"/>
              <w:rPr>
                <w:sz w:val="1"/>
                <w:szCs w:val="1"/>
                <w:color w:val="auto"/>
              </w:rPr>
            </w:pPr>
          </w:p>
        </w:tc>
      </w:tr>
      <w:tr>
        <w:trPr>
          <w:trHeight w:val="151"/>
        </w:trPr>
        <w:tc>
          <w:tcPr>
            <w:tcW w:w="19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62,740,708</w:t>
            </w:r>
          </w:p>
        </w:tc>
        <w:tc>
          <w:tcPr>
            <w:tcW w:w="1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1,034,321</w:t>
            </w:r>
          </w:p>
        </w:tc>
        <w:tc>
          <w:tcPr>
            <w:tcW w:w="1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720" w:type="dxa"/>
            <w:vAlign w:val="bottom"/>
            <w:tcBorders>
              <w:top w:val="single" w:sz="8" w:color="auto"/>
              <w:bottom w:val="single" w:sz="8" w:color="auto"/>
            </w:tcBorders>
          </w:tcPr>
          <w:p>
            <w:pPr>
              <w:jc w:val="center"/>
              <w:ind w:left="30"/>
              <w:spacing w:after="0" w:line="151"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5,063,289</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color w:val="auto"/>
                <w:w w:val="95"/>
              </w:rPr>
              <w:t>(145,466</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(3,602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13,556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w w:val="97"/>
              </w:rPr>
              <w:t>(1,203,348)</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(1,193,398)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9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16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600" w:type="dxa"/>
            <w:vAlign w:val="bottom"/>
            <w:gridSpan w:val="4"/>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10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1600" w:type="dxa"/>
            <w:vAlign w:val="bottom"/>
            <w:gridSpan w:val="4"/>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1600" w:type="dxa"/>
            <w:vAlign w:val="bottom"/>
            <w:gridSpan w:val="4"/>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1320" w:type="dxa"/>
            <w:vAlign w:val="bottom"/>
            <w:gridSpan w:val="4"/>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0" w:type="dxa"/>
            <w:vAlign w:val="bottom"/>
            <w:gridSpan w:val="4"/>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tcBorders>
              <w:top w:val="single" w:sz="8" w:color="auto"/>
            </w:tcBorders>
          </w:tcPr>
          <w:p>
            <w:pPr>
              <w:jc w:val="right"/>
              <w:ind w:right="1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40" w:type="dxa"/>
            <w:vAlign w:val="bottom"/>
            <w:tcBorders>
              <w:top w:val="single" w:sz="8" w:color="auto"/>
            </w:tcBorders>
            <w:gridSpan w:val="2"/>
          </w:tcPr>
          <w:p>
            <w:pPr>
              <w:jc w:val="center"/>
              <w:ind w:right="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60" w:type="dxa"/>
            <w:vAlign w:val="bottom"/>
            <w:tcBorders>
              <w:top w:val="single" w:sz="8" w:color="auto"/>
            </w:tcBorders>
            <w:gridSpan w:val="2"/>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8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190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63,525,953</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$1,105,543</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tcBorders>
            <w:shd w:val="clear" w:color="auto" w:fill="CCEEFF"/>
          </w:tcPr>
          <w:p>
            <w:pPr>
              <w:jc w:val="center"/>
              <w:ind w:left="30"/>
              <w:spacing w:after="0" w:line="138"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5,205,802</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60"/>
              <w:spacing w:after="0" w:line="138" w:lineRule="exact"/>
              <w:rPr>
                <w:sz w:val="20"/>
                <w:szCs w:val="20"/>
                <w:color w:val="auto"/>
              </w:rPr>
            </w:pPr>
            <w:r>
              <w:rPr>
                <w:rFonts w:ascii="Times New Roman" w:cs="Times New Roman" w:eastAsia="Times New Roman" w:hAnsi="Times New Roman"/>
                <w:sz w:val="14"/>
                <w:szCs w:val="14"/>
                <w:color w:val="auto"/>
                <w:w w:val="87"/>
              </w:rPr>
              <w:t>(145,466)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3"/>
              </w:rPr>
              <w:t>$ (3,602)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18,345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w w:val="97"/>
              </w:rPr>
              <w:t>(1,396,917)</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(1,382,163)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66,465</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3,809</w:t>
            </w:r>
          </w:p>
        </w:tc>
        <w:tc>
          <w:tcPr>
            <w:tcW w:w="20" w:type="dxa"/>
            <w:vAlign w:val="bottom"/>
            <w:shd w:val="clear" w:color="auto" w:fill="000000"/>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0"/>
                <w:szCs w:val="10"/>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G-4 Preferred</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10,666</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shd w:val="clear" w:color="auto" w:fill="000000"/>
          </w:tcPr>
          <w:p>
            <w:pPr>
              <w:spacing w:after="0"/>
              <w:rPr>
                <w:sz w:val="10"/>
                <w:szCs w:val="10"/>
                <w:color w:val="auto"/>
              </w:rPr>
            </w:pPr>
          </w:p>
        </w:tc>
        <w:tc>
          <w:tcPr>
            <w:tcW w:w="840" w:type="dxa"/>
            <w:vAlign w:val="bottom"/>
            <w:tcBorders>
              <w:left w:val="single" w:sz="8" w:color="CCEEFF"/>
            </w:tcBorders>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0"/>
                <w:szCs w:val="10"/>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24,839</w:t>
            </w:r>
          </w:p>
        </w:tc>
        <w:tc>
          <w:tcPr>
            <w:tcW w:w="20" w:type="dxa"/>
            <w:vAlign w:val="bottom"/>
            <w:shd w:val="clear" w:color="auto" w:fill="000000"/>
          </w:tcPr>
          <w:p>
            <w:pPr>
              <w:spacing w:after="0"/>
              <w:rPr>
                <w:sz w:val="12"/>
                <w:szCs w:val="12"/>
                <w:color w:val="auto"/>
              </w:rPr>
            </w:pPr>
          </w:p>
        </w:tc>
        <w:tc>
          <w:tcPr>
            <w:tcW w:w="840" w:type="dxa"/>
            <w:vAlign w:val="bottom"/>
            <w:tcBorders>
              <w:left w:val="single" w:sz="8" w:color="CCEEFF"/>
            </w:tcBorders>
            <w:gridSpan w:val="2"/>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(27,807)</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(27,807)</w:t>
            </w: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9,141</w:t>
            </w:r>
          </w:p>
        </w:tc>
        <w:tc>
          <w:tcPr>
            <w:tcW w:w="260" w:type="dxa"/>
            <w:vAlign w:val="bottom"/>
          </w:tcPr>
          <w:p>
            <w:pPr>
              <w:spacing w:after="0"/>
              <w:rPr>
                <w:sz w:val="12"/>
                <w:szCs w:val="12"/>
                <w:color w:val="auto"/>
              </w:rPr>
            </w:pP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2"/>
                <w:szCs w:val="12"/>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combinations</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840" w:type="dxa"/>
            <w:vAlign w:val="bottom"/>
            <w:tcBorders>
              <w:left w:val="single" w:sz="8" w:color="CCEEFF"/>
            </w:tcBorders>
            <w:gridSpan w:val="2"/>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(64,743)</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(64,743)</w:t>
            </w:r>
          </w:p>
        </w:tc>
        <w:tc>
          <w:tcPr>
            <w:tcW w:w="0" w:type="dxa"/>
            <w:vAlign w:val="bottom"/>
          </w:tcPr>
          <w:p>
            <w:pPr>
              <w:spacing w:after="0"/>
              <w:rPr>
                <w:sz w:val="1"/>
                <w:szCs w:val="1"/>
                <w:color w:val="auto"/>
              </w:rPr>
            </w:pPr>
          </w:p>
        </w:tc>
      </w:tr>
      <w:tr>
        <w:trPr>
          <w:trHeight w:val="151"/>
        </w:trPr>
        <w:tc>
          <w:tcPr>
            <w:tcW w:w="19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63,603,084</w:t>
            </w:r>
          </w:p>
        </w:tc>
        <w:tc>
          <w:tcPr>
            <w:tcW w:w="1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1,134,802</w:t>
            </w:r>
          </w:p>
        </w:tc>
        <w:tc>
          <w:tcPr>
            <w:tcW w:w="1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720" w:type="dxa"/>
            <w:vAlign w:val="bottom"/>
            <w:tcBorders>
              <w:top w:val="single" w:sz="8" w:color="auto"/>
              <w:bottom w:val="single" w:sz="8" w:color="auto"/>
            </w:tcBorders>
          </w:tcPr>
          <w:p>
            <w:pPr>
              <w:jc w:val="center"/>
              <w:ind w:left="30"/>
              <w:spacing w:after="0" w:line="151"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5,214,943</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color w:val="auto"/>
                <w:w w:val="95"/>
              </w:rPr>
              <w:t>(145,466</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(3,602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18,689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w w:val="97"/>
              </w:rPr>
              <w:t>(1,489,467)</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(1,474,425)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209" w:lineRule="exact"/>
        <w:rPr>
          <w:sz w:val="20"/>
          <w:szCs w:val="20"/>
          <w:color w:val="auto"/>
        </w:rPr>
      </w:pPr>
    </w:p>
    <w:p>
      <w:pPr>
        <w:ind w:left="460" w:right="6320" w:hanging="455"/>
        <w:spacing w:after="0" w:line="412" w:lineRule="auto"/>
        <w:tabs>
          <w:tab w:leader="none" w:pos="453"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AI,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March 31, 2024, we had an accumulated deficit of $1.5 billion. The Company believes that its existing cash and cash equivalents and marketable equity securities at March 31, 2024, inclusive of the proceeds from the Series G-5 Financing, will be sufficient to allow the Company to fund its current operating plan through at least a period of one year from the date of issuance. To the extent the Company incurs additional losses beyond its current operating plan, it may be required to seek future capital requirements, in the form of third-party funding, or to reduce costs.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Consolidated Financial Information</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accompanying interim consolidated balance sheet as of March 31, 2024, the consolidated statements of operations and comprehensive income (loss), redeemable convertible preferred stock, common stock and stockholders’ deficit, and cash flows for the three months ended March 31, 2023 and 2024, and the related footnote disclosures are unaudited. In management’s opinion, the unaudited interim consolidated financial statements include all adjustments necessary to state fairly the Company’s financial position as of March 31, 2024 and its results of operations and cash flows for the three months ended March 31, 2023 and 2024. The results of operations for the three months ended March 31, 2024 are not necessarily indicative of the results expected for the year ending December 31, 2024 or any other future period.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Revenue generated from COVID-19 testing was $22.2 million, or 6.9% of our total revenue, for the year ended December 31, 2022. Revenue generated from COVID-19 testing was $2.6 million, or 2.3%, of our total revenue for the three months ended March 31, 2023. Revenue generated from COVID-19 testing was $2.7 million, or 0.5% of total revenue, for the year ended December 31, 2023 and $0 for the three months ended March 31, 2024, as we stopped offering COVID-19 PCR diagnostic tests in the first quarter of 2023, at which time we shifted resources from COVID-19 testing to other aspects of the business.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from the date of purchase to be cash equivalents. Restricted cash primarily represents amounts that the Company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unable to access for operational purposes pursuant to a letter of credit with a financial institution in connection with an equipment lease. The Company had $0.8 million, $0.8 million, and $0.9 million of restricted cash as of December 31, 2022 and 2023, and March 31, 2024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 The Company had an allowance for doubtful accounts of $2.9 million, $1.1 million, and $1.0 million as of December 31, 2022 and 2023 and March 31, 2024,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Revenue from one customer accounted for 8.3%, 8.3%, 6.3%, and 6.6% of the Company’s revenues for the years ended December 31, 2022 and 2023, and the three months ended March 31, 2023 and 2024, respectively. The amount due from this customer was approximately $6.9 million or 7.8%, $11.2 million or 11.9%, $12.5 million or 12.8%, and $13.2 million or 12.3% of accounts receivable as of December 31, 2022 and 2023, and March 31, 2023 and 2024, respectively. One additional customer accounted for 5.1%, 6.0%, and 5.7% of the Company’s revenues for the year ended December 31, 2023 and the three months ended March 31, 2023 and 2024, respectively, but did not represent a significant portion of total revenues for the year ended December 31, 2022. The amount due from this additional customer was not material as of December 31, 2022 or 2023 or March 31, 2023 or 2024.</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Two additional customers did not represent a significant portion of total revenues for the years ended December 31, 2022 and 2023 or for the three months ended March 31, 2023 and 2024, but accounted for $6.3 million or 7.1%, and $6.1 million or 6.8%, respectively, of accounts receivable as of December 31, 2022. These two customers represented less than 5% of accounts receivable as of December 31, 2023, and March 31, 2023 and 2024. An additional customer did not represent a significant portion of total revenues for the years ended December 31, 2022 and 2023, or for the three months ended March 31, 2023 and 2024, but accounted for $10.1 million or 11.4%, and $4.9 million or 5.0%, respectively, of accounts receivable as of December 31, 2022 and March 31, 2023. This additional customer represented less than 5% of accounts receivable as of December 31, 2023 and March 31, 2024.</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inventory for excess or obsolescence and writes-down obsolete or otherwise un-usable inventory to its estimated net realizable value. Amounts written-down due to obsolete inventory are charged to cost of revenues. For the year ended December 31, 2022, the Company increased its inventory reserve by $1.9 million related to the expiration of COVID-19 testing kits. As of December 31, 2022, the Company had approximately $21.1 million of inventory and $1.2 million of inventory in process in the labs. As of December 31, 2023, the Company had approximately $27.3 million of inventory and $1.5 million of inventory in process in the labs. As of March 31, 2024, the Company had approximately $28.4 million of inventory and $1.7 million of inventory in process in the labs.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35%, 33%, 37%, and 41%, of total vendor payments for the year ended December 31, 2022 and 2023, and for the three months ended March 31, 2023 and 2024, respectively. Amounts due to this vendor approximated $8.2 million, $11.8 million, and $8.6 million at December 31, 2022 and 2023, and March 31, 2024,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$19.5 million, $17.3 million, and $23.0 million at December 31, 2022 and 2023, and March 31, 2024,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investments in marketable equity securities received as payment of accounts receivable. The Company’s investment in marketable equity securities does not give the Company the ability to control or exercise significant influence over the investee. Marketable equity securities are recorded at fair value. The Company’s marketable equity securities totaled $31.8 million and $15.0 million as of December 31, 2023 and March 31, 2024, respectively, all of which were shares of Recursion Pharmaceuticals, Inc. Class A common stock. During the three months ended March 31, 2024, the Company sold 1,725,902 shares of Recursion Class A common stock at a weighted average price of $13.38 for $23.1 million. Changes in fair value are recorded in earnings within other (expense) income, net on the consolidated statements of operations and comprehensive loss.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summarizes the portion of unrealized gains recorded during the three months ended March 31, 2024 that relate to marketable equity securities held as of March 31, 2024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3"/>
        </w:trPr>
        <w:tc>
          <w:tcPr>
            <w:tcW w:w="9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gain during the period on marketable equity securities</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Less: Net gain recognized during the period on marketable equity securities sold during the period</w:t>
            </w: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(6,081)</w:t>
            </w:r>
          </w:p>
        </w:tc>
      </w:tr>
      <w:tr>
        <w:trPr>
          <w:trHeight w:val="26"/>
        </w:trPr>
        <w:tc>
          <w:tcPr>
            <w:tcW w:w="9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recognized during the period on marketable equity securities still held at the reporting date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9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 Company recognized an impairment charge related to long-lived assets during the three months ended March 31, 2023, and the year ended December 31, 2023. See Note 5, “Goodwill and Intangibles” for additional information. There were no impairment charges recognized related to long-lived assets during the year ended December 31, 2022, or during the three months ended March 31, 2024.</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2022 and 2023 or the three months ended March 31, 2023 and 2024.</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term loan (see Note 11)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promissory note (see Note 11) is accounted for in accordance with ASC 470. The Company determined the embedded conversion options, redemption features, and acceleration of repayment upon default are not required to be separately accounted for as derivatives under ASC 815 because they were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either determined to be clearly and closely related to the host instrument or the Company has concluded that no value would be associated with the related feature based on the circumstances associated with the note’s issuance.</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 Finance leases are included in finance lease right-of-use, or ROU, assets, finance lease liabilities, and finance lease liabilities, less current portion on the consolidated balance sheets.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and finance lease 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March 31, 2024, the Company’s lease liabilities did not include any options to extend or terminate any of its leases.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accounts for revenue in accordance with ASC Topic 606, Revenue From Contracts With Customers.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9"/>
        <w:spacing w:after="0" w:line="255" w:lineRule="auto"/>
        <w:tabs>
          <w:tab w:leader="none" w:pos="67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services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$198.0 million and $363.0 million for the years ended December 31, 2022 and 2023, respectively. The Company recognized Genomics revenue of $82.1 million and $102.6 million for the three months ended March 31, 2023 and 2024, respectively.</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During the year ended December 31, 2023, the Company recognized $12.2 million from cash collections in excess of revenue recognized in prior years, primarily as a result of achieving a higher success rate on appeals than estimated.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$157.2 million and $328.4 million for the years ended December 31, 2022 and 2023, respectively. The Company recognized revenue for clinical orders of $72.5 million and $93.4 million for the three months ended March 31, 2023 and 2024, respectively.</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$40.8 million and $34.6 million for the years ended December 31, 2022 and 2023, respectively. The Company recognized Genomics revenue for direct bill orders of $9.6 million and $9.2 million for the three months ended March 31, 2023 and 2024,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A description of the Company’s two product offerings are as follows: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our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A description of the primary Insights contract types are as follows:</w:t>
      </w:r>
    </w:p>
    <w:p>
      <w:pPr>
        <w:spacing w:after="0" w:line="76" w:lineRule="exact"/>
        <w:rPr>
          <w:sz w:val="20"/>
          <w:szCs w:val="20"/>
          <w:color w:val="auto"/>
        </w:rPr>
      </w:pPr>
    </w:p>
    <w:p>
      <w:pPr>
        <w:jc w:val="both"/>
        <w:ind w:left="1000" w:hanging="549"/>
        <w:spacing w:after="0" w:line="25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w:t>
      </w:r>
      <w:r>
        <w:rPr>
          <w:rFonts w:ascii="Times New Roman" w:cs="Times New Roman" w:eastAsia="Times New Roman" w:hAnsi="Times New Roman"/>
          <w:sz w:val="18"/>
          <w:szCs w:val="18"/>
          <w:color w:val="auto"/>
        </w:rPr>
        <w:t>– Customer licenses a specific dataset of records, and the Company accounts for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89"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w:t>
      </w:r>
      <w:r>
        <w:rPr>
          <w:rFonts w:ascii="Times New Roman" w:cs="Times New Roman" w:eastAsia="Times New Roman" w:hAnsi="Times New Roman"/>
          <w:sz w:val="18"/>
          <w:szCs w:val="18"/>
          <w:color w:val="auto"/>
        </w:rPr>
        <w:t>– Customer licenses an interchangeable maximum number of de-identified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 as a right to access license and one performance obligation. Revenue is recognized as access to the dataset is provided, ratably over-time, with the measure of progress time-based.</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w:t>
      </w:r>
      <w:r>
        <w:rPr>
          <w:rFonts w:ascii="Times New Roman" w:cs="Times New Roman" w:eastAsia="Times New Roman" w:hAnsi="Times New Roman"/>
          <w:sz w:val="18"/>
          <w:szCs w:val="18"/>
          <w:color w:val="auto"/>
        </w:rPr>
        <w:t>– 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w:t>
      </w:r>
      <w:r>
        <w:rPr>
          <w:rFonts w:ascii="Times New Roman" w:cs="Times New Roman" w:eastAsia="Times New Roman" w:hAnsi="Times New Roman"/>
          <w:sz w:val="18"/>
          <w:szCs w:val="18"/>
          <w:color w:val="auto"/>
        </w:rPr>
        <w:t>– Customer licenses access to the Company’s enhanced Lens application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8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revenue from Insights products of $88.4 million and $117.6 million for the years ended December 31, 2022 and 2023, respectively. The Company recognized revenue from Insights products of $22.8 million and $31.3 million for the three months ended March 31, 2023 and 2024, respectively.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In January 2022, the Company expanded these services through acquisition of Highline Consulting, LLC (now Tempus Compass),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recognized revenue from Trials products of $31.2 million and $45.6 million for the years ended December 31, 2022 and 2023,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recognized revenue from Trials products of $10.3 million and $11.3 million for the three months ended March 31, 2023 and 2024, respectively.</w:t>
      </w:r>
    </w:p>
    <w:p>
      <w:pPr>
        <w:spacing w:after="0" w:line="21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$122.7 million and $168.8 million for the years ended December 31, 2022 and 2023, respectively. The Company recognized Data and other revenue from pharmaceutical companies, non-for-profits, and researchers of $33.6 million and $43.3 million for the three months ended March 31, 2023 and 2024,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$197.7 million as of December 31, 2023, of which the Company expects to recognize approximately 47% as revenue over the next year, and the remaining 34%, and 19%, of its remaining performance obligations as revenue in years two and three, and respectively. The Company’s remaining performance obligations related to multi-year contracts was $177.4 million as of March 31, 2024, of which the Company expects to recognize approximately 51% as revenue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year, and the remaining 34%, and 15%, of its remaining performance obligations as revenue in years two and three, respectively.</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May 2024, the Company amended its agreement with GlaxoSmithKline (“GSK”) which increased the length of the total commitment period, but did not change the total commitment or the timing of the remaining performance obligations disclosed above.</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2022 and 2023 and March 31, 2024, included contract assets of $7.6 million, $2.4 million, and $3.1 million, respectively.</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As revenue is recognized over the period of the contractual commitment of the MSA, the associated contract asset amortization is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At each reporting period, the short-term portion of the warrant asset is adjusted based on the financial commitment and reclassified to Prepaid expenses and other current assets.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2022 and 2023 and March 31, 2024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55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4"/>
                <w:szCs w:val="14"/>
                <w:color w:val="auto"/>
              </w:rPr>
            </w:pPr>
          </w:p>
        </w:tc>
      </w:tr>
      <w:tr>
        <w:trPr>
          <w:trHeight w:val="203"/>
        </w:trPr>
        <w:tc>
          <w:tcPr>
            <w:tcW w:w="5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w:t>
            </w:r>
          </w:p>
        </w:tc>
        <w:tc>
          <w:tcPr>
            <w:tcW w:w="40" w:type="dxa"/>
            <w:vAlign w:val="bottom"/>
            <w:shd w:val="clear" w:color="auto" w:fill="CCEEFF"/>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20,288</w:t>
            </w:r>
          </w:p>
        </w:tc>
        <w:tc>
          <w:tcPr>
            <w:tcW w:w="40" w:type="dxa"/>
            <w:vAlign w:val="bottom"/>
          </w:tcPr>
          <w:p>
            <w:pPr>
              <w:spacing w:after="0"/>
              <w:rPr>
                <w:sz w:val="18"/>
                <w:szCs w:val="18"/>
                <w:color w:val="auto"/>
              </w:rPr>
            </w:pPr>
          </w:p>
        </w:tc>
      </w:tr>
      <w:tr>
        <w:trPr>
          <w:trHeight w:val="21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272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31,563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26,342</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25,131</w:t>
            </w:r>
          </w:p>
        </w:tc>
      </w:tr>
      <w:tr>
        <w:trPr>
          <w:trHeight w:val="20"/>
        </w:trPr>
        <w:tc>
          <w:tcPr>
            <w:tcW w:w="5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November 2023, the Company entered into a Commercialization and Reference Laboratory Agreement with Personalis, Inc. (“Personalis”). The Company will pay up to $12.0 million to Personalis over three years as certain milestones are met, $6.0 million of which has been paid as of March 31, 2024. These payments will be treated as contract assets and amortized into revenue over the life of the contract. Contract asset balances will be offset by deferred revenue generated from issuance of the Personalis warrant asset. As of December 31, 2023 and March 31, 2024, there are $0.1 million of net contract assets related to this agreement recorded in Prepaid expenses and other current assets.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and Services product offerings and timing of delivery of our de-identified licensed data and clinical test results. The portion of deferred revenue that is anticipated to be recognized as revenue during the succeeding twelve-month period is recorded as deferred</w:t>
      </w:r>
    </w:p>
    <w:p>
      <w:pPr>
        <w:spacing w:after="0" w:line="1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revenue, current and any remaining portion is recorded as deferred revenue, non-current. The Company recognized $13.8 million and $43.5 million during the years ended December 31, 2022 and 2023, respectively, that was included in the corresponding deferred revenue balance at the beginning of the periods. For the three months ended March 31, 2023 and 2024, the Company recognized revenue of $10.7 million and $11.1 million, respectively, that was included in the corresponding deferred revenue balance at the beginning of the periods.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Genomics consists of personnel lab expenses, including salaries, bonuses, employee benefits, amortization of intangible assets, cost of laboratory supplies and consumables, laboratory rent expense,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services includes data acquisition and royalty fees, and personnel costs related to our delivery of our data services and platform, cloud costs,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2022 and 2023 and the three months ended March 31, 2023 and 2024, the Company did not match any employee contributions.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2023, the Company had tax effected federal and state net operating loss (“NOL”) carry forwards of approximately $161.7 million and $33.7 million, respectively, which may be available to offset future taxable income. The NOLs will begin to expire in 2037.</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2022 and 2023 and March 31, 2024, there are no uncertain positions taken or expected to be taken that would require recognition of a liability in the financial statements.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2023 and March 31, 2024, the Company was not under audit in any jurisdiction.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 Company had $5.3 million, $7.1 million, and $8.2 million of deferred offering costs as of December 31, 2022 and 2023 and March 31, 2024,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10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14.</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income, net within the consolidated statements of operations.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Asset</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consideration for the Company’s obligations to Personalis under a Commercialization and Reference Laboratory Agreement signed in November 2023, Personalis issued certain warrants to the Company to purchase up to an aggregate of 9,218,800 shares of Personalis’ common stock, up to 4,609,400 shares of which are exercisable for cash at any time prior to December 31, 2024 at an exercise price of $1.50 per share, and up to 4,609,400 shares of which are exercisable for cash at any time prior to December 31, 2025 at an exercise price of $2.50 per share. The fair value of the warrant asset is measured each reporting period, and any change in fair value is recorded in Other (expense) income,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Series A, B, B-1, B-2, C, D, E, F, G, G-2, G-3, and G-4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FASB issued ASU 2016-02, Leases, (Topic 842) (ASU 2016-02), in February 2016. ASU 2016-02 requires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The Company adopted Topic 842 under the private company transition guidance as of January 1, 2022 using a modified retrospective approach. The Company elected a practical expedient which does not require the Company to reassess the lease classification for any expired or existing leases. Upon adoption, the Company recorded an operating lease right-of-use asset of $27.0 million and a corresponding operating lease liability of $41.8 million. The adoption resulted in a decrease to deferred rent of $14.8 million. The Company’s accounting for finance leases (formerly referred to as capital leases prior to the adoption of Topic 842) remains substantially unchanged. The impact on opening retained earnings was not material.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which clarifies that an acquirer of a business should recognize and measure contract assets and contract liabilities in a business combination accordance with Topic 606 as if it had originated the contracts. The amendments should be applied prospectively to business combinations occurring on or after the effective date of the amendments, with early adoption permitted. The Company adopted the guidance as of January 1, 2022. The adoption did not have a material impact on the Company’s financial statements.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Company adopted the guidance as of January 1, 2022. The adoption did not have a material impact on the Company’s financial statements.</w:t>
      </w:r>
    </w:p>
    <w:p>
      <w:pPr>
        <w:spacing w:after="0" w:line="18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June 2016, the FASB issued ASU No. 2016-13, Financial Instruments-Credit Losses (Topic 326): Measurement of Credit Losses on Financial Instruments (“ASU No. 2016-13”). ASU No. 2016-13 requires the measurement and recognition of expected credit losses for financial assets that are held at amortized cost, including trade receivables. ASU No. 2016-13 replaces the previous incurred loss impairment model with an expected loss model which requires the use of forward-looking information to calculate credit loss estimates. The Company adopted the guidance as of January 1, 2023. The adoption of the standard did not have a material impact the Company’s financial statements. As part of our adoption of Topic 326, we assess our accounts receivables for expected credit losses at each reporting period by disaggregating by customers with similar characteristics, such as customer type and industry. The Company reviews for expected credit losses based on the age of an invoice, historical payment trends, as well as forward looking data and current economic trends. If a credit loss is determined, we record a reduction to our accounts receivable balance with a corresponding selling, general, and administrative expense.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effect that this guidance will have on the consolidated financial statements and related disclosures.</w:t>
      </w:r>
    </w:p>
    <w:p>
      <w:pPr>
        <w:spacing w:after="0" w:line="327" w:lineRule="exact"/>
        <w:rPr>
          <w:sz w:val="20"/>
          <w:szCs w:val="20"/>
          <w:color w:val="auto"/>
        </w:rPr>
      </w:pPr>
    </w:p>
    <w:p>
      <w:pPr>
        <w:ind w:left="460" w:hanging="455"/>
        <w:spacing w:after="0"/>
        <w:tabs>
          <w:tab w:leader="none" w:pos="4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SEngine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Combining these advancements with the Company’s existing business will allow the Company to accelerate our shared missions of getting the right patient on the right drug at the right time, while also advancing innovation in drug development.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8" w:right="2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acquisition resulted in goodwill of $9.6 million. The aggregate acquisition date fair value of consideration for the SEngine acquisition totaled $9.9 million. Consideration was made up of $2.8 million of cash and $6.3 million of non-voting common stock. The transaction also includes contingent consideration of up to 35,000 additional shares of non-voting common stock, to be determined based on the per share price of the Company’s non-voting common stock in a liquidity event completed prior to December 31, 2027. The contingent consideration has an acquisition fair value date of $0.8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See Note 14 for more information. In accordance with the terms of the agreement, $1.4 million in equity was held back and is payable on October 3, 2024, which is net of a net working capital adjustment that is less than $0.1 million. The Company issued 429 shares of non-voting common stock to the selling corporation in February 2024 in relation to the net working capital adjustment.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Mpirik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Cash consideration of $4.7 million is net of a $0.3 million net working capital adjustment. In accordance with the terms of the agreement, the securityholders of the acquired business will be entitled to receive contingent consideration from the Company payable in an aggregate value of $1.0 million in cash, contingent upon the acquired business reaching a revenue target of $1.5 million for the twelve-month period ending December 31, 2023. The contingent consideration has an acquisition fair value date of $0.4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Mpirik did not achieve the revenue target for the twelve-month period ending December 31, 2023. As such, the contingent consideration liability was written down to $0. See Note 14 for more information. In addition, the Company issued 17,450 performance stock units to certain retained Mpirik employees on the closing date of the acquisition.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Arterys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cash. Cash consideration of $3.0 million is net of a $1.0 million working capital adjustment paid back to Tempus in March 2023.</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40"/>
          </w:cols>
          <w:pgMar w:left="320" w:top="448" w:right="2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services revenue in the Company’s consolidated financial statements.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 of operations.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net working capital deficiency of $0.5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(3,129)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intangible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Acquisition Price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38,650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a stock purchase, the related goodwill created as a result of the acquisition is not deductible for tax purposes. The trade names and customer relationships intangible assets were established with seven year and three year remaining useful lives,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320" w:top="448" w:right="2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AI, Inc. purchased 100% of the issued and outstanding shares of capital stock of AKESOgen for $30.3 million, with an adjustment for working capital. The transaction included a contingent consideration arrangement to transfer shares of non-voting common stock to the former owners with an acquisition date fair value of $3.4 million, which the company recognized under long-term liabilities. The consideration was to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to be paid out on the third anniversary of the Closing date. The shares of non-voting common stock were issued on December 9, 2022 and subsequently repurchased by the Company in January 2023.</w:t>
      </w:r>
    </w:p>
    <w:p>
      <w:pPr>
        <w:spacing w:after="0" w:line="332" w:lineRule="exact"/>
        <w:rPr>
          <w:sz w:val="20"/>
          <w:szCs w:val="20"/>
          <w:color w:val="auto"/>
        </w:rPr>
      </w:pPr>
    </w:p>
    <w:p>
      <w:pPr>
        <w:ind w:right="8100" w:firstLine="5"/>
        <w:spacing w:after="0" w:line="412" w:lineRule="auto"/>
        <w:tabs>
          <w:tab w:leader="none" w:pos="446"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 and Equipment, net</w:t>
      </w: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2022 and 2023 and March 31, 2024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7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203"/>
        </w:trPr>
        <w:tc>
          <w:tcPr>
            <w:tcW w:w="79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65,327</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91,656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94,211</w:t>
            </w:r>
          </w:p>
        </w:tc>
        <w:tc>
          <w:tcPr>
            <w:tcW w:w="100" w:type="dxa"/>
            <w:vAlign w:val="bottom"/>
            <w:shd w:val="clear" w:color="auto" w:fill="CCEEFF"/>
          </w:tcPr>
          <w:p>
            <w:pPr>
              <w:spacing w:after="0"/>
              <w:rPr>
                <w:sz w:val="17"/>
                <w:szCs w:val="17"/>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30,390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42,433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43,683</w:t>
            </w: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6,633</w:t>
            </w: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144,527</w:t>
            </w:r>
          </w:p>
        </w:tc>
        <w:tc>
          <w:tcPr>
            <w:tcW w:w="100" w:type="dxa"/>
            <w:vAlign w:val="bottom"/>
          </w:tcPr>
          <w:p>
            <w:pPr>
              <w:spacing w:after="0"/>
              <w:rPr>
                <w:sz w:val="18"/>
                <w:szCs w:val="18"/>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(58,245)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(79,041)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(85,310)</w:t>
            </w: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2023 and the three months ended March 31, 2023 and 2024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3"/>
        </w:trPr>
        <w:tc>
          <w:tcPr>
            <w:tcW w:w="41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Pr>
          <w:p>
            <w:pPr>
              <w:spacing w:after="0"/>
              <w:rPr>
                <w:sz w:val="9"/>
                <w:szCs w:val="9"/>
                <w:color w:val="auto"/>
              </w:rPr>
            </w:pPr>
          </w:p>
        </w:tc>
        <w:tc>
          <w:tcPr>
            <w:tcW w:w="1200" w:type="dxa"/>
            <w:vAlign w:val="bottom"/>
            <w:tcBorders>
              <w:top w:val="single" w:sz="8" w:color="auto"/>
            </w:tcBorders>
            <w:gridSpan w:val="3"/>
          </w:tcPr>
          <w:p>
            <w:pPr>
              <w:jc w:val="right"/>
              <w:ind w:right="580"/>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2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9"/>
                <w:szCs w:val="9"/>
                <w:color w:val="auto"/>
              </w:rPr>
            </w:pPr>
          </w:p>
        </w:tc>
      </w:tr>
      <w:tr>
        <w:trPr>
          <w:trHeight w:val="169"/>
        </w:trPr>
        <w:tc>
          <w:tcPr>
            <w:tcW w:w="418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4"/>
                <w:szCs w:val="14"/>
                <w:color w:val="auto"/>
              </w:rPr>
            </w:pPr>
          </w:p>
        </w:tc>
      </w:tr>
      <w:tr>
        <w:trPr>
          <w:trHeight w:val="203"/>
        </w:trPr>
        <w:tc>
          <w:tcPr>
            <w:tcW w:w="4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2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12,961</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3,381</w:t>
            </w:r>
          </w:p>
        </w:tc>
        <w:tc>
          <w:tcPr>
            <w:tcW w:w="40" w:type="dxa"/>
            <w:vAlign w:val="bottom"/>
            <w:shd w:val="clear" w:color="auto" w:fill="CCEEFF"/>
          </w:tcPr>
          <w:p>
            <w:pPr>
              <w:spacing w:after="0"/>
              <w:rPr>
                <w:sz w:val="17"/>
                <w:szCs w:val="17"/>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7,133</w:t>
            </w: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8,318</w:t>
            </w: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2,888</w:t>
            </w: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2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4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4180" w:type="dxa"/>
            <w:vAlign w:val="bottom"/>
          </w:tcPr>
          <w:p>
            <w:pPr>
              <w:spacing w:after="0"/>
              <w:rPr>
                <w:sz w:val="24"/>
                <w:szCs w:val="24"/>
                <w:color w:val="auto"/>
              </w:rPr>
            </w:pPr>
          </w:p>
        </w:tc>
        <w:tc>
          <w:tcPr>
            <w:tcW w:w="2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F-27</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as of December 31, 2022 and 2023 and March 31, 2024,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5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r>
      <w:tr>
        <w:trPr>
          <w:trHeight w:val="203"/>
        </w:trPr>
        <w:tc>
          <w:tcPr>
            <w:tcW w:w="5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22,374</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21,950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$ 16,193</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25,321</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37,783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36,122</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cloud storage costs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7,118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13,921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21,113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40" w:type="dxa"/>
            <w:vAlign w:val="bottom"/>
          </w:tcPr>
          <w:p>
            <w:pPr>
              <w:spacing w:after="0"/>
              <w:rPr>
                <w:sz w:val="18"/>
                <w:szCs w:val="18"/>
                <w:color w:val="auto"/>
              </w:rPr>
            </w:pP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55,272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82,517</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$ 82,250</w:t>
            </w:r>
          </w:p>
        </w:tc>
      </w:tr>
      <w:tr>
        <w:trPr>
          <w:trHeight w:val="20"/>
        </w:trPr>
        <w:tc>
          <w:tcPr>
            <w:tcW w:w="5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hanging="455"/>
        <w:spacing w:after="0"/>
        <w:tabs>
          <w:tab w:leader="none" w:pos="4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18"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The changes in the carrying amount of goodwill for the years ended December 31, 2022 and 2023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$ 15,985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Goodwill related to business combinations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$ 53,100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Goodwill related to business combinations</w:t>
            </w:r>
          </w:p>
        </w:tc>
        <w:tc>
          <w:tcPr>
            <w:tcW w:w="68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w w:val="95"/>
              </w:rPr>
              <w:t>$ 20,249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$ 73,354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three months ended March 31, 2023, goodwill of $10.6 million was recorded in connection with the acquisition of Mpirik. There were no goodwill additions for the three months ended March 31, 2024.</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2022 and 2023 or for the three months ended March 31, 2023 and 2024.</w:t>
      </w:r>
    </w:p>
    <w:p>
      <w:pPr>
        <w:spacing w:after="0" w:line="213"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an additional $2.1 million in licensed data related to de-identified data obtained through additional research collaboration agreements, and $8.0 million and $2.8 million of trade names and customer relationships, respectively, related to the Highline Acquisition. During the year ended December 31, 2023, the Company recorded an additional $3.8 million in licensed data related to de-identified data obtained through an additional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year ended December 31, 2023. A $7.9 million gain resulting from the related reduction of future data license payments was also recorded in Research and development during the year ended December 31, 2023. The impairment resulted in a reduction of $40.1 million and $32.7 million to gross intangible assets and accumulated amortization, respectively.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2022 and 2023 and March 31, 2024 (in thousands):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2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7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9"/>
                <w:szCs w:val="9"/>
                <w:color w:val="auto"/>
              </w:rPr>
            </w:pPr>
          </w:p>
        </w:tc>
        <w:tc>
          <w:tcPr>
            <w:tcW w:w="9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vMerge w:val="continue"/>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8,581</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$11,969</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12,219</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8,331</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13,066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7,484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55,612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37,179</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18,433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7,852</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5,714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84,181</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46,903</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37,278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47,890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21,916</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47,890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18,996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$13.3 million and $11.9 million for the years ended December 31, 2022 and December 31, 2023, respectively, and $2.9 million for both the three months ended March 31, 2023 and 2024, respectively, and is recorded in cost of revenues, research and development, or selling, general and administrative expense, depending on use of the asset. The weighted average life of our intangibles is approximately six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2023, the estimated future amortization expense related to intangible assets is as follows (in thousands):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$ 10,751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$ 21,897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right="7540" w:hanging="455"/>
        <w:spacing w:after="0" w:line="366" w:lineRule="auto"/>
        <w:tabs>
          <w:tab w:leader="none" w:pos="453"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spacing w:after="0" w:line="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40"/>
          </w:cols>
          <w:pgMar w:left="320" w:top="448" w:right="2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ended December 31, 2022 and 2023, the Company recognized data licensing and cloud computing expenses of $31.1 million and $33.7 million, respectively, related to non-cancelable arrangements.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2023, future payments under these contractual obligations were as follows (in thousands):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2"/>
              </w:rPr>
              <w:t>113,497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2"/>
              </w:rPr>
              <w:t>113,420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There were no material such matters as of and for the year ended December 31, 2023 or the three months ended March 31, 2024.</w:t>
      </w:r>
    </w:p>
    <w:p>
      <w:pPr>
        <w:spacing w:after="0" w:line="312" w:lineRule="exact"/>
        <w:rPr>
          <w:sz w:val="20"/>
          <w:szCs w:val="20"/>
          <w:color w:val="auto"/>
        </w:rPr>
      </w:pPr>
    </w:p>
    <w:p>
      <w:pPr>
        <w:ind w:left="460" w:hanging="455"/>
        <w:spacing w:after="0"/>
        <w:tabs>
          <w:tab w:leader="none" w:pos="4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various non-cancelable operating lease agreements, primarily for the rent of office and lab space, with expirations at various dates through 2029.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total lease costs for the years ended December 31, 2022 and 2023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3"/>
        </w:trPr>
        <w:tc>
          <w:tcPr>
            <w:tcW w:w="416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4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9"/>
                <w:szCs w:val="9"/>
                <w:color w:val="auto"/>
              </w:rPr>
            </w:pPr>
          </w:p>
        </w:tc>
      </w:tr>
      <w:tr>
        <w:trPr>
          <w:trHeight w:val="169"/>
        </w:trPr>
        <w:tc>
          <w:tcPr>
            <w:tcW w:w="416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3"/>
        </w:trPr>
        <w:tc>
          <w:tcPr>
            <w:tcW w:w="4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cost</w:t>
            </w: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6,426</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6,760</w:t>
            </w:r>
          </w:p>
        </w:tc>
        <w:tc>
          <w:tcPr>
            <w:tcW w:w="100" w:type="dxa"/>
            <w:vAlign w:val="bottom"/>
            <w:shd w:val="clear" w:color="auto" w:fill="CCEEFF"/>
          </w:tcPr>
          <w:p>
            <w:pPr>
              <w:spacing w:after="0"/>
              <w:rPr>
                <w:sz w:val="17"/>
                <w:szCs w:val="17"/>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4,732</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4,641</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4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6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160" w:type="dxa"/>
            <w:vAlign w:val="bottom"/>
          </w:tcPr>
          <w:p>
            <w:pPr>
              <w:spacing w:after="0"/>
              <w:rPr>
                <w:sz w:val="24"/>
                <w:szCs w:val="24"/>
                <w:color w:val="auto"/>
              </w:rPr>
            </w:pPr>
          </w:p>
        </w:tc>
        <w:tc>
          <w:tcPr>
            <w:tcW w:w="49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F-30</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 term and discount rate as of December 31, 2022 and 2023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8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r>
      <w:tr>
        <w:trPr>
          <w:trHeight w:val="190"/>
        </w:trPr>
        <w:tc>
          <w:tcPr>
            <w:tcW w:w="84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6.9%</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2023, the future payments under operating leases for each of the next five years and thereafter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47,981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38,477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there were no material changes to the Company’s total lease costs, lease term and discount rate, or lease obligations.</w:t>
      </w:r>
    </w:p>
    <w:p>
      <w:pPr>
        <w:spacing w:after="0" w:line="356" w:lineRule="exact"/>
        <w:rPr>
          <w:sz w:val="20"/>
          <w:szCs w:val="20"/>
          <w:color w:val="auto"/>
        </w:rPr>
      </w:pPr>
    </w:p>
    <w:p>
      <w:pPr>
        <w:ind w:left="460" w:right="8640" w:hanging="455"/>
        <w:spacing w:after="0" w:line="366" w:lineRule="auto"/>
        <w:tabs>
          <w:tab w:leader="none" w:pos="453"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had authorized 181,700,285 shares of Class A common stock, 5,374,899 shares of Class B common stock, and 63,946,627 shares of non-voting common stock. In January 2022, the Company increased the number of authorized shares of non-voting common stock to 66,946,627. In April 2022, the Company increased the number of authorized shares of Class A common stock to 195,865,548 in conjunction with the Series G-3 Preferred stock financing (see Note 9, Redeemable Convertible Preferred Stock). In October 2023, the Company increased the number of authorized shares of Class A common stock to 200,228,024 in conjunction with the Series G-4 Preferred stock financing (see Note 9, Redeemable Convertible Preferred Stock).</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share of Class B common stock is entitled to fifteen votes per share. Non-voting shares of common stock do not have voting rights.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the twenty-year anniversary of the filing of the Company’s twelfth amended and restated certificate of incorporation, which is       , 2044;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G-5 Preferred Stock (see Note 17, Unaudited Subsequent Events), Series G-4 Preferred Stock,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as amended in October 2022, February 2023 and December 2023,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As no such transaction has occurred, in accordance with the agreement, the exercise price will be the latest equity financing price.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$220 million to $320 million through December 2028.</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December 8, 2023, the Company issued Allen &amp; Company LLC (“Allen”) a warrant to purchase 150,000 shares of the Company’s Class A common stock at a price per share of $10.00. The exercise period of the warrant is from the date of issuance to November 30, 2026. The warrant may be exercised at any time at Allen’s option. However, upon a change in control or an IPO, the warrant will be automatically exercised.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December 2019 acquisition AKESOgen. These shares were accounted for as treasury stock. The Company records treasury stock at cost.</w:t>
      </w:r>
    </w:p>
    <w:p>
      <w:pPr>
        <w:spacing w:after="0" w:line="312" w:lineRule="exact"/>
        <w:rPr>
          <w:sz w:val="20"/>
          <w:szCs w:val="20"/>
          <w:color w:val="auto"/>
        </w:rPr>
      </w:pPr>
    </w:p>
    <w:p>
      <w:pPr>
        <w:ind w:left="460" w:hanging="455"/>
        <w:spacing w:after="0"/>
        <w:tabs>
          <w:tab w:leader="none" w:pos="4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$0.0001. The Company used the proceeds from such issuances for working capital and general corporate purposes.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Preferred stock (“Series G-3 Preferred”) for aggregate proceeds of $92.5 million. Each share has a par value of $0.0001. The Company will use the proceeds for working capital and general corporate purposes.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2023, the Company issued 47,781 shares of Series G-3 convertible preferred stock as payment of paid-in-kind dividends.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has a par value of $0.0001. The Company will use the proceeds for working capital and general corporate purposes.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2024, the Company issued 66,465 shares of Series G-3 convertible preferred stock and 10,666 shares of Series G-4 convertible preferred stock as payment of paid-in-kind dividends.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April 2024, the Company issued 3,489,981 shares of Series G-5 convertible preferred stock (“Series G-5 Preferred”) for aggregate proceeds of $200.0 million. Each share has a par value of $0.0001. The Company will use the proceeds for working capital and general corporate purposes. Terms of Series G-5 Preferred are consistent with previous terms of redeemable convertible preferred stock.</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Redeemable convertible preferred stock outstanding as of December 31, 2022 and 2023 and March 31, 2024, consisted of the following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40" w:type="dxa"/>
            <w:vAlign w:val="bottom"/>
            <w:gridSpan w:val="4"/>
          </w:tcPr>
          <w:p>
            <w:pPr>
              <w:ind w:left="92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40" w:type="dxa"/>
            <w:vAlign w:val="bottom"/>
          </w:tcPr>
          <w:p>
            <w:pPr>
              <w:spacing w:after="0"/>
              <w:rPr>
                <w:sz w:val="9"/>
                <w:szCs w:val="9"/>
                <w:color w:val="auto"/>
              </w:rPr>
            </w:pPr>
          </w:p>
        </w:tc>
        <w:tc>
          <w:tcPr>
            <w:tcW w:w="840" w:type="dxa"/>
            <w:vAlign w:val="bottom"/>
          </w:tcPr>
          <w:p>
            <w:pPr>
              <w:jc w:val="right"/>
              <w:ind w:right="1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4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100,347</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99,479</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143,036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246,911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246,911</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113,554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6480" w:firstLine="5"/>
        <w:spacing w:after="0" w:line="267" w:lineRule="auto"/>
        <w:tabs>
          <w:tab w:leader="none" w:pos="4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780" w:type="dxa"/>
            <w:vAlign w:val="bottom"/>
            <w:gridSpan w:val="3"/>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40" w:type="dxa"/>
            <w:vAlign w:val="bottom"/>
            <w:gridSpan w:val="2"/>
          </w:tcPr>
          <w:p>
            <w:pPr>
              <w:ind w:left="84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140" w:type="dxa"/>
            <w:vAlign w:val="bottom"/>
            <w:gridSpan w:val="3"/>
          </w:tcPr>
          <w:p>
            <w:pPr>
              <w:jc w:val="right"/>
              <w:ind w:right="36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60" w:type="dxa"/>
            <w:vAlign w:val="bottom"/>
          </w:tcPr>
          <w:p>
            <w:pPr>
              <w:jc w:val="right"/>
              <w:ind w:right="7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78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4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8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34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10,000,000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86,757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105,107</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151,621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261,722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119,928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197,889</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2022/2023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98,891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785,245</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45,514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69,803,765</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63,525,953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1,130,429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Excludes amounts related to the conversion of convertible note</w:t>
      </w:r>
    </w:p>
    <w:p>
      <w:pPr>
        <w:spacing w:after="0" w:line="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Excludes amounts related to embedded conversion features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20" w:type="dxa"/>
            <w:vAlign w:val="bottom"/>
            <w:gridSpan w:val="3"/>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260" w:type="dxa"/>
            <w:vAlign w:val="bottom"/>
            <w:tcBorders>
              <w:bottom w:val="single" w:sz="8" w:color="auto"/>
            </w:tcBorders>
            <w:gridSpan w:val="2"/>
          </w:tcPr>
          <w:p>
            <w:pPr>
              <w:ind w:left="860"/>
              <w:spacing w:after="0" w:line="125" w:lineRule="exact"/>
              <w:rPr>
                <w:sz w:val="20"/>
                <w:szCs w:val="20"/>
                <w:color w:val="auto"/>
              </w:rPr>
            </w:pPr>
            <w:r>
              <w:rPr>
                <w:rFonts w:ascii="Times New Roman" w:cs="Times New Roman" w:eastAsia="Times New Roman" w:hAnsi="Times New Roman"/>
                <w:sz w:val="14"/>
                <w:szCs w:val="14"/>
                <w:b w:val="1"/>
                <w:bCs w:val="1"/>
                <w:color w:val="auto"/>
                <w:w w:val="88"/>
              </w:rPr>
              <w:t>Shares</w:t>
            </w: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Liquidation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5"/>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Issued</w:t>
            </w:r>
          </w:p>
        </w:tc>
        <w:tc>
          <w:tcPr>
            <w:tcW w:w="12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860" w:type="dxa"/>
            <w:vAlign w:val="bottom"/>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13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2015</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3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5,374,899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4,191,173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9,779,403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87,940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8,534,330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6,630,905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153,840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8,077,674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121,576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2020/2021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3,453,139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2022/2023/2024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1,728,360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99,870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G-4**</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2023/2024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69,803,765</w:t>
            </w:r>
          </w:p>
        </w:tc>
        <w:tc>
          <w:tcPr>
            <w:tcW w:w="3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63,603,084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2022 and 2023 and March 31, 2024,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Series G-3 Preferred, Series G-4 Preferred, and Series G-5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Except for the holders of Series G-2 Preferred, Series G-3 Preferred, Series G-4 Preferred, and Series G-5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 The holders of Series G-4 Preferred are entitled to dividends at a rate of 5.25% of the original issue price, paid in non-assessable shares of Series G-4 Preferred Stock (“Series G-4 PIK Dividends”). The holders of Series G-5 Preferred are entitled to dividends at a rate of 5.25% of the original issue price, paid in non-assessable shares of Series G-5 Preferred Stock (“Series G-5 PIK Dividends”).</w:t>
      </w:r>
    </w:p>
    <w:p>
      <w:pPr>
        <w:spacing w:after="0" w:line="5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 The Company declared all historical Series C dividends in February 2024.</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With the exception of the Series B Preferred stockholders, Preferred stockholders are entitled to the number of votes equal to the product obtained by multiplying the number of shares of voting common stock into which their shares could be converted.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G-5, Series G-4, Series G-3, Series G-2, Series G, Series F, Series E, Series D, Series C, Series B-2, Series B-1, Series B, Series A.</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outstanding share of Series G-5 Preferred, Series G-4 Preferred,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G-5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2022 and 2023. In the event of an initial public offering (“IPO”), the Series G-3 Preferred and Series G-4 Preferred conversion price is subject to the greater of (i) 15% discount off of the public offering price and (ii) 10% discount off of the original issue price of the Series G-3 Preferred and Series G-4 Preferred (“Special IPO Adjustment”). In addition, holders of Series G-4 Preferred will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In the event of an initial public offering (“IPO”), the Series G-5 Preferred conversion price is subject to the greater of (i) 10% discount off of the public offering price and (ii) 10% discount off of the original issue price of the Series G-5 Preferred (“Special Series G-5 IPO Adjustment”).</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conjunction with the issuance of the Series G-3 Preferred, the Company signed a separate agreement with one of the investors (“Investor Letter Agreement”) in which the Company will, in connection with an IPO, pay the investor an amount equal to (a) the product of 287,923 and a 15% discount off of the public offering price, less (b) the product of 287,923 and the price per share of Class A Common Stock sold in the IPO. The agreement was signed with only one investor as an incentive to invest in Series G-3 Preferred.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320" w:top="447" w:right="2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evaluated the conversion features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323" w:lineRule="exact"/>
        <w:rPr>
          <w:sz w:val="20"/>
          <w:szCs w:val="20"/>
          <w:color w:val="auto"/>
        </w:rPr>
      </w:pPr>
    </w:p>
    <w:p>
      <w:pPr>
        <w:ind w:left="460" w:right="8160" w:hanging="455"/>
        <w:spacing w:after="0" w:line="366" w:lineRule="auto"/>
        <w:tabs>
          <w:tab w:leader="none" w:pos="453"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2015, the Company adopted the Tempus AI, Inc. 2015 Stock Plan (the Plan), which has been amended and restated numerous times to increase the aggregate shares authorized to be issued to employees, consultants, and directors of the Company. As of December 31, 2022, there were 25,115,750 shares authorized under the Plan. In April 2023, the Plan was amended to increase the aggregate shares authorized to be issued, and as of December 31, 2023, there were 28,115,750 authorized under the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2022 and 2023, 2,476,611 shares and 2,522,250 shares, respectively, were available for future issuance under the Plan. As of March 31, 2024, 2,517,445 shares were available for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for active employees whose RSUs expire either in 2023 or 2024. The Company accounted for the extension as a stock compensation modification, which resulted in an increase in unrecognized compensation cost of $40.4 million for the year ended December 31, 2023 and $41.3 million for the three months ended March 31, 2024.</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0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2022</w:t>
            </w:r>
          </w:p>
        </w:tc>
        <w:tc>
          <w:tcPr>
            <w:tcW w:w="48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12,411,421</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3,050,625</w:t>
            </w:r>
          </w:p>
        </w:tc>
        <w:tc>
          <w:tcPr>
            <w:tcW w:w="36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33.89</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6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(508,673)</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6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(63,469)</w:t>
            </w: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48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20,788,500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80" w:type="dxa"/>
            <w:vAlign w:val="bottom"/>
          </w:tcPr>
          <w:p>
            <w:pPr>
              <w:spacing w:after="0"/>
              <w:rPr>
                <w:sz w:val="24"/>
                <w:szCs w:val="24"/>
                <w:color w:val="auto"/>
              </w:rPr>
            </w:pPr>
          </w:p>
        </w:tc>
        <w:tc>
          <w:tcPr>
            <w:tcW w:w="6020" w:type="dxa"/>
            <w:vAlign w:val="bottom"/>
            <w:gridSpan w:val="3"/>
          </w:tcPr>
          <w:p>
            <w:pPr>
              <w:jc w:val="right"/>
              <w:ind w:right="4060"/>
              <w:spacing w:after="0"/>
              <w:rPr>
                <w:sz w:val="20"/>
                <w:szCs w:val="20"/>
                <w:color w:val="auto"/>
              </w:rPr>
            </w:pPr>
            <w:r>
              <w:rPr>
                <w:rFonts w:ascii="Times New Roman" w:cs="Times New Roman" w:eastAsia="Times New Roman" w:hAnsi="Times New Roman"/>
                <w:sz w:val="18"/>
                <w:szCs w:val="18"/>
                <w:color w:val="auto"/>
              </w:rPr>
              <w:t>F-37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7" w:right="2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restricted stock units that vested during the years ended December 31, 2022 and 2023. As of December 31, 2022 and December 31, 2023, there was $200.4 million and $550.2 million of unrecognized stock compensation expense relating to RSUs, respectively. Because of the liquidity event requirement, the Company cannot estimate the weighted-average period over which this expense will be recognized.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there was $555.0 million of unrecognized stock compensation expense related to RSUs.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performance stock units (“PSUs”) granted under the Plan are subject to two vesting conditions. For PSUs granted prior to 2022, the first condition is the achievement of a valuation target. The second vesting condition is the occurrence of a liquidity event, as defined in the grant agreement. For PSUs granted in 2022, the first condition is the achievement of the acquired business reaching a revenue target for the twelve-month period ending December 31, 2023. This target was not met as of December 31, 2023, which resulted in the forfeiture of 17,450 PSUs. The fair value of each PSU is estimated on the date of grant using the 409a value of a non-voting share of common stock on such date. The table below summarizes performance stock unit activity under the Plan for the year ended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2022</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5,898,596</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41.09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17,450</w:t>
            </w: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(17,450)</w:t>
            </w: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(5,898,596)</w:t>
            </w: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and 2023 and March 31, 2024, there was $242.4 million, $0 million, and $0 million of unrecognized compensation expense related to Performance Stock Units,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740" w:type="dxa"/>
            <w:vAlign w:val="bottom"/>
          </w:tcPr>
          <w:p>
            <w:pPr>
              <w:spacing w:after="0"/>
              <w:rPr>
                <w:sz w:val="13"/>
                <w:szCs w:val="13"/>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38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center"/>
              <w:ind w:left="315"/>
              <w:spacing w:after="0" w:line="203" w:lineRule="exact"/>
              <w:rPr>
                <w:sz w:val="20"/>
                <w:szCs w:val="20"/>
                <w:color w:val="auto"/>
              </w:rPr>
            </w:pPr>
            <w:r>
              <w:rPr>
                <w:rFonts w:ascii="Times New Roman" w:cs="Times New Roman" w:eastAsia="Times New Roman" w:hAnsi="Times New Roman"/>
                <w:sz w:val="18"/>
                <w:szCs w:val="18"/>
                <w:color w:val="auto"/>
                <w:w w:val="95"/>
              </w:rPr>
              <w:t>0.85</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center"/>
              <w:ind w:left="61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0.85</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gridSpan w:val="2"/>
            <w:vMerge w:val="continue"/>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center"/>
              <w:ind w:left="315"/>
              <w:spacing w:after="0" w:line="202" w:lineRule="exact"/>
              <w:rPr>
                <w:sz w:val="20"/>
                <w:szCs w:val="20"/>
                <w:color w:val="auto"/>
              </w:rPr>
            </w:pPr>
            <w:r>
              <w:rPr>
                <w:rFonts w:ascii="Times New Roman" w:cs="Times New Roman" w:eastAsia="Times New Roman" w:hAnsi="Times New Roman"/>
                <w:sz w:val="18"/>
                <w:szCs w:val="18"/>
                <w:color w:val="auto"/>
                <w:w w:val="95"/>
              </w:rPr>
              <w:t>0.85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61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2022 and 2023, and there is no unrecognized expense relating to stock options.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320" w:top="447" w:right="2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8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8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compensation cost was recognized for the years ended December 31, 2022 and 2023, respectively, and as of December 31, 2022 and 2023, there was no unrecognized compensation cost related to non-vested restricted stock awards, respectively.</w:t>
      </w:r>
    </w:p>
    <w:p>
      <w:pPr>
        <w:spacing w:after="0" w:line="312" w:lineRule="exact"/>
        <w:rPr>
          <w:sz w:val="20"/>
          <w:szCs w:val="20"/>
          <w:color w:val="auto"/>
        </w:rPr>
      </w:pPr>
    </w:p>
    <w:p>
      <w:pPr>
        <w:ind w:left="460" w:hanging="455"/>
        <w:spacing w:after="0"/>
        <w:tabs>
          <w:tab w:leader="none" w:pos="4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On April 25, 2023, the Company entered into an amendment to the Credit Agreement, which was accounted for as a debt modification. The amendment to the Credit Agreement increased the Term Loan Facility by an aggregate principal amount of $50 million, less original issue discount of $1.3 million and increased the interest rate on the Term Loan Facility by 25 basis points. On October 11, 2023, the Company signed a second amendment to its Credit Agreement with Ares which provided an additional $35.0 million in term debt. The Company received $34.1 million in cash, which is the aggregate principal amount of $35.0 million less original issue discount of $0.9 million. Terms of the second amendment are consistent with existing terms of the Credit Agreement.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December 31, 2022, the interest rate on the Term Loan Facility was 10.5%. As of December 31, 2023, the interest rate on the $175 million originally borrowed under the Term Loan Facility was 10.40%, 10.39% on the $50 million borrowed under the amended Credit Agreement, and 10.41% on the $35 million borrowed under the second amended Credit Agreement. As of March 31, 2024, the interest rate on the Term Loan Facility was 10.33%.</w:t>
      </w:r>
    </w:p>
    <w:p>
      <w:pPr>
        <w:spacing w:after="0" w:line="19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65" w:lineRule="exact"/>
        <w:rPr>
          <w:sz w:val="20"/>
          <w:szCs w:val="20"/>
          <w:color w:val="auto"/>
        </w:rPr>
      </w:pPr>
    </w:p>
    <w:p>
      <w:pPr>
        <w:ind w:left="1020" w:hanging="569"/>
        <w:spacing w:after="0" w:line="267" w:lineRule="auto"/>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6.25% per annum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7" w:right="2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1020" w:hanging="569"/>
        <w:spacing w:after="0" w:line="267" w:lineRule="auto"/>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7.25% per annum</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the Company is required to generate consolidated revenues of $459.1 million and $594.1 million, respectively. The Company was in compliance with all covenants of the Credit Agreement as of March 31, 2024.</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original issue discount of $6.5 million and deferred financing fees of $2.6 million are amortized over the term of the underlying debt and unamortized amounts have been offset against long-term debt in the consolidated balance sheets. As of December 31, 2022 and 2023 and March 31, 2024, the unamortized original issue discount was $4.2 million, $5.1 million, and $4.8 million, respectively, and the unamortized deferred financing fees were $2.4 million, $1.9 million, and $1.8 million, respectively. Amortization of the original issue discount and deferred financing fees are reflected in interest expense on the consolidated statements of operations. Amortization of the original issue discount and deferred financing fees totaled $0.2 million and $0.2 million, respectively, for the year ended December 31, 2022. Amortization of the original issue discount and deferred financing fees totaled $0.3 million and $0.1 million, respectively, for the three months ended March 31, 2023. Amortization of the original issue discount and deferred financing fees totaled $0.3 million and $0.1 million, respectively, for the three months ended March 31, 2024.</w:t>
      </w:r>
    </w:p>
    <w:p>
      <w:pPr>
        <w:spacing w:after="0" w:line="186"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Through March 31, 2024, the Company has not made any principal repayments on the Term Loan Facility. Through March 31, 2024, the Company made $7.0 million in interest payments. As of December 31, 2022, the interest rate on the Term Loan Facility was 10.5%. As of December 31, 2023, the interest rate on the $175 million originally borrowed under the Term Loan Facility was 10.40%, 10.39% on the $50 million borrowed under the amended Credit Agreement, and 10.41% on the $35 million borrowed under the second amended Credit Agreement. As of March 31, 2024, the interest rate on the Term Loan Facility was</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10.33%. The Company recognized interest expense of $5.1 million and $28.9 million related to the Term Loan Facility during the years ended December 31, 2022 and 2023, respectively. The Company recognized interest expense of $5.1 million and $9.1 million related to the Term Loan Facility during the three months ended March 31, 2023 and 2024,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the Series G-2 preferred stock, at a 10% discount to the purchase price per share in such financing, in partial satisfaction of the outstanding principal amount under the Note, and the Company amended and restated the terms of the Note.</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340"/>
          </w:cols>
          <w:pgMar w:left="320" w:top="448" w:right="2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$16.4 million and $15.8 million during the year ended December 31, 2022 and 2023, respectively. The Company recognized interest expense of $3.8 million and $3.6 million during the three months ended March 31, 2023 and 2024, respectively.</w:t>
      </w:r>
    </w:p>
    <w:p>
      <w:pPr>
        <w:spacing w:after="0" w:line="329" w:lineRule="exact"/>
        <w:rPr>
          <w:sz w:val="20"/>
          <w:szCs w:val="20"/>
          <w:color w:val="auto"/>
        </w:rPr>
      </w:pPr>
    </w:p>
    <w:p>
      <w:pPr>
        <w:ind w:left="460" w:hanging="455"/>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years ended December 31, 2022 and 2023, and the three months ended March 31, 2023 and 2024, respectively, all potentially dilutive common stock equivalents have been excluded from the calculation of diluted net loss per share attributable to common stockholders as their effect is anti-dilutive.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40"/>
          </w:cols>
          <w:pgMar w:left="320" w:top="447" w:right="2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69"/>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320" w:type="dxa"/>
            <w:vAlign w:val="bottom"/>
            <w:gridSpan w:val="3"/>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8"/>
        </w:trPr>
        <w:tc>
          <w:tcPr>
            <w:tcW w:w="50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0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5"/>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1"/>
                <w:szCs w:val="11"/>
                <w:color w:val="auto"/>
              </w:rPr>
            </w:pPr>
          </w:p>
        </w:tc>
      </w:tr>
      <w:tr>
        <w:trPr>
          <w:trHeight w:val="190"/>
        </w:trPr>
        <w:tc>
          <w:tcPr>
            <w:tcW w:w="50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9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w w:val="93"/>
              </w:rPr>
              <w:t>(289,811)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w w:val="93"/>
              </w:rPr>
              <w:t>(214,118)</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(54,377)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(64,743)</w:t>
            </w:r>
          </w:p>
        </w:tc>
      </w:tr>
      <w:tr>
        <w:trPr>
          <w:trHeight w:val="192"/>
        </w:trPr>
        <w:tc>
          <w:tcPr>
            <w:tcW w:w="502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Accretion of convertible preferred stock to redemption</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(4,338)</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2"/>
        </w:trPr>
        <w:tc>
          <w:tcPr>
            <w:tcW w:w="502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Dividends on Series A, B, B-1, B-2, C, D, E, F, G, G-3, and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G-4 preferred shares</w:t>
            </w:r>
          </w:p>
        </w:tc>
        <w:tc>
          <w:tcPr>
            <w:tcW w:w="100" w:type="dxa"/>
            <w:vAlign w:val="bottom"/>
          </w:tcPr>
          <w:p>
            <w:pPr>
              <w:spacing w:after="0"/>
              <w:rPr>
                <w:sz w:val="19"/>
                <w:szCs w:val="19"/>
                <w:color w:val="auto"/>
              </w:rPr>
            </w:pPr>
          </w:p>
        </w:tc>
        <w:tc>
          <w:tcPr>
            <w:tcW w:w="9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(40,975)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(44,497)</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(27,807)</w:t>
            </w:r>
          </w:p>
        </w:tc>
      </w:tr>
      <w:tr>
        <w:trPr>
          <w:trHeight w:val="192"/>
        </w:trPr>
        <w:tc>
          <w:tcPr>
            <w:tcW w:w="502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(2,841)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(3,011)</w:t>
            </w: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5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(333,928</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(265,964</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(93,056)</w:t>
            </w:r>
          </w:p>
        </w:tc>
        <w:tc>
          <w:tcPr>
            <w:tcW w:w="120" w:type="dxa"/>
            <w:vAlign w:val="bottom"/>
          </w:tcPr>
          <w:p>
            <w:pPr>
              <w:spacing w:after="0"/>
              <w:rPr>
                <w:sz w:val="19"/>
                <w:szCs w:val="19"/>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502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Weighted-average common shared outstanding, basic and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63,032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63,306</w:t>
            </w: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63,229</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63,430</w:t>
            </w:r>
          </w:p>
        </w:tc>
      </w:tr>
      <w:tr>
        <w:trPr>
          <w:trHeight w:val="190"/>
        </w:trPr>
        <w:tc>
          <w:tcPr>
            <w:tcW w:w="5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5.30</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4.20</w:t>
            </w: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the warrant, potentially dilutive shares are based on the latest equity financing price.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from calculation of diluted net loss per share</w:t>
      </w:r>
    </w:p>
    <w:p>
      <w:pPr>
        <w:spacing w:after="0" w:line="260"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4800" w:type="dxa"/>
            <w:vAlign w:val="bottom"/>
            <w:shd w:val="clear" w:color="auto" w:fill="CCEEFF"/>
          </w:tcPr>
          <w:p>
            <w:pPr>
              <w:spacing w:after="0"/>
              <w:rPr>
                <w:sz w:val="18"/>
                <w:szCs w:val="18"/>
                <w:color w:val="auto"/>
              </w:rPr>
            </w:pPr>
          </w:p>
        </w:tc>
        <w:tc>
          <w:tcPr>
            <w:tcW w:w="248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360" w:type="dxa"/>
            <w:vAlign w:val="bottom"/>
            <w:gridSpan w:val="4"/>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38"/>
        </w:trPr>
        <w:tc>
          <w:tcPr>
            <w:tcW w:w="480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1"/>
                <w:szCs w:val="11"/>
                <w:color w:val="auto"/>
              </w:rPr>
            </w:pPr>
          </w:p>
        </w:tc>
      </w:tr>
      <w:tr>
        <w:trPr>
          <w:trHeight w:val="203"/>
        </w:trPr>
        <w:tc>
          <w:tcPr>
            <w:tcW w:w="48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options outstanding</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80" w:type="dxa"/>
            <w:vAlign w:val="bottom"/>
            <w:shd w:val="clear" w:color="auto" w:fill="CCEEFF"/>
          </w:tcPr>
          <w:p>
            <w:pPr>
              <w:spacing w:after="0"/>
              <w:rPr>
                <w:sz w:val="17"/>
                <w:szCs w:val="17"/>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62,692,927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63,525,953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62,740,708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63,603,084</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Astrazeneca warrant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1,744,991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shd w:val="clear" w:color="auto" w:fill="CCEEFF"/>
          </w:tcPr>
          <w:p>
            <w:pPr>
              <w:spacing w:after="0"/>
              <w:rPr>
                <w:sz w:val="18"/>
                <w:szCs w:val="18"/>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Mpirik holdback liability</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SEngine holdback liability</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41,436</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41,007</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Allen &amp; Company warrant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64,647,918</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65,681,104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64,704,423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65,749,082</w:t>
            </w:r>
          </w:p>
        </w:tc>
      </w:tr>
      <w:tr>
        <w:trPr>
          <w:trHeight w:val="20"/>
        </w:trPr>
        <w:tc>
          <w:tcPr>
            <w:tcW w:w="4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10, the Company’s RSUs include a triggering liquidation performance condition prior to vesting. As disclosed in Note 11,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40"/>
          </w:cols>
          <w:pgMar w:left="320" w:top="448" w:right="2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9, the Company’s Series G-3 Preferred and Series G-4 Preferred contain embedded conversion features which will result in additional shares of Class A Common Stock to be distributed upon completion of an IPO. The number of shares which will be paid out related to these features is dependent upon the IPO price. As such, these are treated as contingently issuable shares and will be excluded from potential dilutive impact until the successful completion of an IPO.</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3, as part of the SEngine acquisition, the transaction includes a contingent consideration of up to 35,000 additional shares of non-voting common stock, to be determined based on the per share price of the Company’s non-voting common stock in a liquidity event completed prior to December 31, 2027. The number of shares which will be paid out is dependent upon the IPO price. As such, these are treated as contingently issuable shares and will be excluded from potential dilutive impact until the successful completion of an IPO.</w:t>
      </w:r>
    </w:p>
    <w:p>
      <w:pPr>
        <w:spacing w:after="0" w:line="3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2022 and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196,643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10,784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37,590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Reserve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260,487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313,527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(244,064)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(297,294)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Marketable Equity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Contract Asset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(8,169)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23"/>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(2,125)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total income tax expense (benefit) consists of the following as of December 31, 2022 and 2023 (in thousands):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6"/>
              <w:spacing w:after="0" w:line="138"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Tax Expense (Benefit)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(52,755)</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F-43</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7" w:right="2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9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2022 and 2023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8"/>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(59,141)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(45,738)</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(66,827)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(52,755)</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tcPr>
          <w:p>
            <w:pPr>
              <w:jc w:val="right"/>
              <w:ind w:right="194"/>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(289,556)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(213,522)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2022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gridSpan w:val="2"/>
          </w:tcPr>
          <w:p>
            <w:pPr>
              <w:jc w:val="right"/>
              <w:ind w:right="32"/>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1060" w:type="dxa"/>
            <w:vAlign w:val="bottom"/>
            <w:gridSpan w:val="3"/>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(24.74%)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161,749</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66,827</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244,064</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297,294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2022 or 2023.</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40"/>
          </w:cols>
          <w:pgMar w:left="320" w:top="448" w:right="2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(“NOL”) carry forwards of $161.7 million (tax effected) and state NOL carry forwards of approximately $33.7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2022 and 2023,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and 2023.</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2022 and 2023,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2022 and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 and 2024</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expense (benefit) for the three months ended March 31, 2023 and 2024 is less than $0.1 million.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312" w:lineRule="exact"/>
        <w:rPr>
          <w:sz w:val="20"/>
          <w:szCs w:val="20"/>
          <w:color w:val="auto"/>
        </w:rPr>
      </w:pPr>
    </w:p>
    <w:p>
      <w:pPr>
        <w:ind w:left="460" w:hanging="455"/>
        <w:spacing w:after="0"/>
        <w:tabs>
          <w:tab w:leader="none" w:pos="4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340"/>
          </w:cols>
          <w:pgMar w:left="320" w:top="447" w:right="2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Marketable equity securities</w:t>
      </w:r>
      <w:r>
        <w:rPr>
          <w:rFonts w:ascii="Times New Roman" w:cs="Times New Roman" w:eastAsia="Times New Roman" w:hAnsi="Times New Roman"/>
          <w:sz w:val="18"/>
          <w:szCs w:val="18"/>
          <w:color w:val="auto"/>
        </w:rPr>
        <w:t>— The Company holds marketable equity securities, that are all publicly traded securities with quoted prices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short-term. The securities are measured at fair value each reporting period. We classify the marketable equity securities as Level 1 as they are valued using quoted market prices at each reporting period.</w:t>
      </w:r>
    </w:p>
    <w:p>
      <w:pPr>
        <w:spacing w:after="0" w:line="73"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 The Company is subject to a contingent consideration arrangement to make a cash payment in an aggregate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million, contingent upon Mpirik reaching a revenue target of $1.5 million for the twelve-month period ending December 31, 2023. See Note 3, Business Combinations, for further discussion of that acquisition.</w:t>
      </w:r>
    </w:p>
    <w:p>
      <w:pPr>
        <w:spacing w:after="0" w:line="180" w:lineRule="exact"/>
        <w:rPr>
          <w:sz w:val="20"/>
          <w:szCs w:val="20"/>
          <w:color w:val="auto"/>
        </w:rPr>
      </w:pPr>
    </w:p>
    <w:p>
      <w:pPr>
        <w:jc w:val="both"/>
        <w:ind w:left="460"/>
        <w:spacing w:after="0" w:line="302" w:lineRule="auto"/>
        <w:rPr>
          <w:sz w:val="20"/>
          <w:szCs w:val="20"/>
          <w:color w:val="auto"/>
        </w:rPr>
      </w:pPr>
      <w:r>
        <w:rPr>
          <w:rFonts w:ascii="Times New Roman" w:cs="Times New Roman" w:eastAsia="Times New Roman" w:hAnsi="Times New Roman"/>
          <w:sz w:val="16"/>
          <w:szCs w:val="16"/>
          <w:color w:val="auto"/>
        </w:rPr>
        <w:t>The Company is also subject to a contingent consideration arrangement of up to 35,000 additional shares of non-voting common stock, to be determined based on the per share price of the Company’s non-voting common stock in a liquidity event completed prior to December 31, 2027. The contingent consideration has an acquisition fair value date of $0.8 million. See Note 3, Business Combinations for further discussion of that acquisition.</w:t>
      </w:r>
    </w:p>
    <w:p>
      <w:pPr>
        <w:spacing w:after="0" w:line="4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8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asset</w:t>
      </w:r>
      <w:r>
        <w:rPr>
          <w:rFonts w:ascii="Times New Roman" w:cs="Times New Roman" w:eastAsia="Times New Roman" w:hAnsi="Times New Roman"/>
          <w:sz w:val="18"/>
          <w:szCs w:val="18"/>
          <w:color w:val="auto"/>
        </w:rPr>
        <w:t>—As discussed in Note 2, the Company received warrants from Personalis. The warrant assets are measured at fair value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using a Black-Scholes option pricing model, which takes into consideration the price and volatility of Personalis Class A common stock. We classify the warrant asset as Level 2 as they are valued using observable market prices of Personalis Class A common stock.</w:t>
      </w:r>
    </w:p>
    <w:p>
      <w:pPr>
        <w:spacing w:after="0" w:line="7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8,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 as of December 31, 2023 and March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liability assumptions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180" w:type="dxa"/>
            <w:vAlign w:val="bottom"/>
          </w:tcPr>
          <w:p>
            <w:pPr>
              <w:spacing w:after="0"/>
              <w:rPr>
                <w:sz w:val="9"/>
                <w:szCs w:val="9"/>
                <w:color w:val="auto"/>
              </w:rPr>
            </w:pPr>
          </w:p>
        </w:tc>
        <w:tc>
          <w:tcPr>
            <w:tcW w:w="1520" w:type="dxa"/>
            <w:vAlign w:val="bottom"/>
            <w:gridSpan w:val="2"/>
          </w:tcPr>
          <w:p>
            <w:pPr>
              <w:jc w:val="right"/>
              <w:ind w:right="72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14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1520" w:type="dxa"/>
            <w:vAlign w:val="bottom"/>
            <w:gridSpan w:val="2"/>
          </w:tcPr>
          <w:p>
            <w:pPr>
              <w:jc w:val="right"/>
              <w:ind w:right="74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80" w:type="dxa"/>
            <w:vAlign w:val="bottom"/>
            <w:gridSpan w:val="2"/>
            <w:vMerge w:val="continue"/>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7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3.69%</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3.56%</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4.26%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340"/>
          </w:cols>
          <w:pgMar w:left="320" w:top="447" w:right="2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Term Loan Facility and the Note were not recorded at fair value. The fair values of the Term Loan Facility and the Note approximated their carrying values as of December 31, 2022 and 2023 and March 31, 2024. Estimates of the fair values of the Term Loan Facility and the Note are classified as Level 3 due to the lack of relevant observable market data over fair value inputs.</w:t>
      </w:r>
    </w:p>
    <w:p>
      <w:pPr>
        <w:spacing w:after="0" w:line="18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assets and liabilities that are measured at fair value on a recurring basis as of December 31, 2022 and 2023 and March 31, 2024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4"/>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6"/>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5"/>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420" w:type="dxa"/>
            <w:vAlign w:val="bottom"/>
            <w:gridSpan w:val="6"/>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0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8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42,500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363"/>
        </w:trPr>
        <w:tc>
          <w:tcPr>
            <w:tcW w:w="4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1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top w:val="single" w:sz="8" w:color="auto"/>
            </w:tcBorders>
            <w:gridSpan w:val="5"/>
          </w:tcPr>
          <w:p>
            <w:pPr>
              <w:jc w:val="right"/>
              <w:ind w:right="46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8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440" w:type="dxa"/>
            <w:vAlign w:val="bottom"/>
            <w:gridSpan w:val="7"/>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0" w:type="dxa"/>
            <w:vAlign w:val="bottom"/>
          </w:tcPr>
          <w:p>
            <w:pPr>
              <w:spacing w:after="0"/>
              <w:rPr>
                <w:sz w:val="12"/>
                <w:szCs w:val="12"/>
                <w:color w:val="auto"/>
              </w:rPr>
            </w:pPr>
          </w:p>
        </w:tc>
        <w:tc>
          <w:tcPr>
            <w:tcW w:w="9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8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40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Assets</w:t>
            </w:r>
          </w:p>
        </w:tc>
        <w:tc>
          <w:tcPr>
            <w:tcW w:w="1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96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31,807</w:t>
            </w:r>
          </w:p>
        </w:tc>
        <w:tc>
          <w:tcPr>
            <w:tcW w:w="140" w:type="dxa"/>
            <w:vAlign w:val="bottom"/>
          </w:tcPr>
          <w:p>
            <w:pPr>
              <w:spacing w:after="0"/>
              <w:rPr>
                <w:sz w:val="18"/>
                <w:szCs w:val="18"/>
                <w:color w:val="auto"/>
              </w:rPr>
            </w:pPr>
          </w:p>
        </w:tc>
        <w:tc>
          <w:tcPr>
            <w:tcW w:w="4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31,807</w:t>
            </w:r>
          </w:p>
        </w:tc>
        <w:tc>
          <w:tcPr>
            <w:tcW w:w="2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196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10,000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96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34,500</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28"/>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6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88"/>
              </w:rPr>
              <w:t>775</w:t>
            </w:r>
          </w:p>
        </w:tc>
        <w:tc>
          <w:tcPr>
            <w:tcW w:w="140" w:type="dxa"/>
            <w:vAlign w:val="bottom"/>
          </w:tcPr>
          <w:p>
            <w:pPr>
              <w:spacing w:after="0"/>
              <w:rPr>
                <w:sz w:val="19"/>
                <w:szCs w:val="19"/>
                <w:color w:val="auto"/>
              </w:rPr>
            </w:pPr>
          </w:p>
        </w:tc>
        <w:tc>
          <w:tcPr>
            <w:tcW w:w="4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363"/>
        </w:trPr>
        <w:tc>
          <w:tcPr>
            <w:tcW w:w="4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15"/>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top w:val="single" w:sz="8" w:color="auto"/>
            </w:tcBorders>
            <w:gridSpan w:val="4"/>
          </w:tcPr>
          <w:p>
            <w:pPr>
              <w:jc w:val="center"/>
              <w:ind w:right="24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5"/>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Market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6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0" w:type="dxa"/>
            <w:vAlign w:val="bottom"/>
          </w:tcPr>
          <w:p>
            <w:pPr>
              <w:spacing w:after="0"/>
              <w:rPr>
                <w:sz w:val="12"/>
                <w:szCs w:val="12"/>
                <w:color w:val="auto"/>
              </w:rPr>
            </w:pPr>
          </w:p>
        </w:tc>
        <w:tc>
          <w:tcPr>
            <w:tcW w:w="9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40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Assets</w:t>
            </w:r>
          </w:p>
        </w:tc>
        <w:tc>
          <w:tcPr>
            <w:tcW w:w="1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14,956</w:t>
            </w:r>
          </w:p>
        </w:tc>
        <w:tc>
          <w:tcPr>
            <w:tcW w:w="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14,956</w:t>
            </w:r>
          </w:p>
        </w:tc>
        <w:tc>
          <w:tcPr>
            <w:tcW w:w="42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w:t>
            </w:r>
          </w:p>
        </w:tc>
        <w:tc>
          <w:tcPr>
            <w:tcW w:w="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35,300</w:t>
            </w:r>
          </w:p>
        </w:tc>
        <w:tc>
          <w:tcPr>
            <w:tcW w:w="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35,300</w:t>
            </w:r>
          </w:p>
        </w:tc>
        <w:tc>
          <w:tcPr>
            <w:tcW w:w="0" w:type="dxa"/>
            <w:vAlign w:val="bottom"/>
          </w:tcPr>
          <w:p>
            <w:pPr>
              <w:spacing w:after="0"/>
              <w:rPr>
                <w:sz w:val="1"/>
                <w:szCs w:val="1"/>
                <w:color w:val="auto"/>
              </w:rPr>
            </w:pPr>
          </w:p>
        </w:tc>
      </w:tr>
      <w:tr>
        <w:trPr>
          <w:trHeight w:val="228"/>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969</w:t>
            </w:r>
          </w:p>
        </w:tc>
        <w:tc>
          <w:tcPr>
            <w:tcW w:w="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assets and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3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8,005</w:t>
            </w:r>
          </w:p>
        </w:tc>
        <w:tc>
          <w:tcPr>
            <w:tcW w:w="8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37,800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(3,701)</w:t>
            </w:r>
          </w:p>
        </w:tc>
        <w:tc>
          <w:tcPr>
            <w:tcW w:w="34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non-voting common shares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(4,304)</w:t>
            </w:r>
          </w:p>
        </w:tc>
        <w:tc>
          <w:tcPr>
            <w:tcW w:w="34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F-47</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7" w:right="2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80" w:type="dxa"/>
            <w:vAlign w:val="bottom"/>
          </w:tcPr>
          <w:p>
            <w:pPr>
              <w:spacing w:after="0"/>
              <w:rPr>
                <w:sz w:val="13"/>
                <w:szCs w:val="13"/>
                <w:color w:val="auto"/>
              </w:rPr>
            </w:pP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$42,500</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34,500</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6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60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2023</w:t>
            </w: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34,500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of $3.7 million in selling, general and administrative expense due to the change in fair value of contingent consideration and $4.7 million in other expense, net due to the change in the fair value of warrant liability determined by Level 3 valuation techniques.</w:t>
      </w:r>
    </w:p>
    <w:p>
      <w:pPr>
        <w:spacing w:after="0" w:line="75"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a gain of $0.4 million in selling, general and administrative expense due to the change in fair value of contingent consideration and gains of $8.0 million due to changes in fair value of the warrant liability determined by Level 3 valuation techniques.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a loss of $0.8 million in other income, net due to the change in fair value of the warrant liability and a loss of $0.2 million in selling, general and administrative expense due to the change in fair value of contingent consideration determined by Level 3 valuation techniques.</w:t>
      </w:r>
    </w:p>
    <w:p>
      <w:pPr>
        <w:spacing w:after="0" w:line="323" w:lineRule="exact"/>
        <w:rPr>
          <w:sz w:val="20"/>
          <w:szCs w:val="20"/>
          <w:color w:val="auto"/>
        </w:rPr>
      </w:pPr>
    </w:p>
    <w:p>
      <w:pPr>
        <w:ind w:left="460" w:hanging="455"/>
        <w:spacing w:after="0"/>
        <w:tabs>
          <w:tab w:leader="none" w:pos="4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$0.9 million, $0.7 million, $0.7 million, as of December 31, 2022 and 2023 and March 31, 2024, respectively. Upon the adoption of ASC 842, the liability is amortized through the right-of-use asset as a reduction of rent expense over the lease term. The Company subleases a portion of office space to this related party on a month-to-month basis. Sublease income received from the related party was insignificant for the years ended December 31, 2022 and 2023 and the three months ended March 31, 2024.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entered into a related party arrangement in August 2021, as amended and restated in February 2024, with Pathos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340"/>
          </w:cols>
          <w:pgMar w:left="320" w:top="448" w:right="2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during the term of the master agreement. Pathos also agreed to pay the Company a subscription fee equal to $0.4 million per year for access to our Lens product. The Company recognized $0.4 million, $0.4 million, and $0.1 million in revenue for this access fee in the years ended December 31, 2022 and 2023, and the three months ended March 31, 2024, respectively. The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2022, the Company entered into two additional related party arrangements with Pathos for both sequencing and other data services. The Company recognized less than $0.3 million in revenue for both arrangements for the years ended December 31, 2022 and 2023, and the three months ended March 31, 2023 and 2024. In 2023, the Company entered into an additional related party arrangement with Pathos for other data services. The Company recognized less than $0.1 million in revenue for the year ended December 31, 2023 and the three months ended March 31, 2023 and 2024.</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and 2023 and March 31, 2024, there was no amount due to related parties. As of December 31, 2022 and 2023 and March 31, 2024, the amount due from related parties was $0.4 million, less than $0.1 million, and $0.5 million, respectively.</w:t>
      </w:r>
    </w:p>
    <w:p>
      <w:pPr>
        <w:spacing w:after="0" w:line="312" w:lineRule="exact"/>
        <w:rPr>
          <w:sz w:val="20"/>
          <w:szCs w:val="20"/>
          <w:color w:val="auto"/>
        </w:rPr>
      </w:pPr>
    </w:p>
    <w:p>
      <w:pPr>
        <w:ind w:left="460" w:hanging="455"/>
        <w:spacing w:after="0"/>
        <w:tabs>
          <w:tab w:leader="none" w:pos="4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2023, the Company evaluated subsequent events through February 28, 2024, the date on which those financial statements were available to be issued. </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sold 1,725,902 shares of Recursion Class A common stock during the month of February 2024 at a weighted average price of $13.35 for $23.0 million of cash. The Company has 1,500,000 of Recursion Class A common stock remaining in marketable equity securities.</w:t>
      </w:r>
    </w:p>
    <w:p>
      <w:pPr>
        <w:spacing w:after="0" w:line="312" w:lineRule="exact"/>
        <w:rPr>
          <w:sz w:val="20"/>
          <w:szCs w:val="20"/>
          <w:color w:val="auto"/>
        </w:rPr>
      </w:pPr>
    </w:p>
    <w:p>
      <w:pPr>
        <w:ind w:left="460" w:hanging="455"/>
        <w:spacing w:after="0"/>
        <w:tabs>
          <w:tab w:leader="none" w:pos="4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SUBSEQUENT EVENTS</w:t>
      </w:r>
    </w:p>
    <w:p>
      <w:pPr>
        <w:spacing w:after="0" w:line="11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through June 13, 2024, the date on which these financial statements were available to be issued.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G-5 Financing</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April 30, 2024, the Company authorized 4,362,476 and issued 3,489,981 shares of Series G-5 convertible preferred stock (“Series G-5 Preferred”) for aggregate proceeds of $200.0 million (See Note 9, Redeemable Convertible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 Joint Venture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May 18, 2024, the Company entered into a Joint Venture Agreement (the “Joint Venture Agreement”), by and among SoftBank Group Corporation (“SoftBank”), SoftBank Group Japan Corporation, the Company and Pegasos Corp. (the “Joint Venture”), pursuant to which the Joint Venture will engage in certain business activities in Japan similar to those conducted by the Company in the United States, including performing clinical sequencing, organizing patient data, and building a real world data business in Japan. The Company and SoftBank initially will capitalize the Joint Venture with ¥30,000,000,000 (approximately $190,779,000 based on foreign exchange rates as of May 31, 2024, split evenly between the two parties) and will each receive 50% of the Joint Venture’s outstanding capital stock and board seats. The initial capitalization of the Joint Venture is subject to a number of closing conditions, including that the parties must agree to a business plan and operating budget for the Joint Venture, receive an independent valuation of certain licensed technology of the Company and obtain any required regulatory clearances in the United States and Japan.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340"/>
          </w:cols>
          <w:pgMar w:left="320" w:top="447" w:right="2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connection with entering into the Joint Venture Agreement, the Company entered into the following agreements with the Joint Venture: a Data License Agreement (the “Data License Agreement”), which became effective immediately upon signing the Joint Venture Agreement; an Intellectual Property License Agreement (the “IP License Agreement”), and a Services Agreement, each of which will become effective upon closing. Under the Data License Agreement, Tempus will grant the Joint Venture a limited, non-exclusive, transferable license with a limited right to sublicense certain de-identified data for certain specified uses solely in Japan (which we refer to as the Unrestricted Data License). The Unrestricted Data License will be initially granted with respect to a certain specified number of de-identified data records (which we refer to as the Initial Records Batch) and the Joint Venture may elect to license additional de-identified data records under the Unrestricted Data License. Under the Data License Agreement, the Joint Venture will pay the Company ¥7,500,000,000 (approximately $47,694,750 based on foreign exchange rates as of May 31, 2024) in exchange for the license to the Initial Records Batch. For a certain specified number of additional de-identified data records beyond the Initial Records Batch, the license fees will be the same as the Initial Records Batch or the then-current lowest price that Tempus provides to its other customers for similar data and license terms, whichever is lower. For any additional de-identified data records licensed under the Unrestricted Data License, the license fees will be the then-current lowest price that Tempus provides to its other customers for similar data and license terms. Pursuant to the IP License Agreement, the Company will provide the Joint Venture with a non-exclusive license with respect to certain of the Company’s technologies for certain specified uses solely in Japan in exchange for ¥7,500,000,000 (approximately $47,694,750 based on foreign exchange rates as of May 31, 2024). Under the Services Agreement, the Company will provide the Joint Venture with certain services. The Company will account for the Joint Venture as a true 50/50 joint venture, which will be accounted for as an equity method investment. The accounting for the Data License Agreement and IP License Agreement is still being evaluated by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340"/>
          </w:cols>
          <w:pgMar w:left="320" w:top="448" w:right="2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i w:val="1"/>
          <w:iCs w:val="1"/>
          <w:color w:val="auto"/>
        </w:rPr>
        <w:t>11,100,000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923925</wp:posOffset>
            </wp:positionV>
            <wp:extent cx="2617470" cy="408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17470" cy="408305"/>
                    </a:xfrm>
                    <a:prstGeom prst="rect">
                      <a:avLst/>
                    </a:prstGeom>
                    <a:noFill/>
                  </pic:spPr>
                </pic:pic>
              </a:graphicData>
            </a:graphic>
          </wp:anchor>
        </w:drawing>
      </w:r>
    </w:p>
    <w:p>
      <w:pPr>
        <w:sectPr>
          <w:pgSz w:w="11900" w:h="16838" w:orient="portrait"/>
          <w:cols w:equalWidth="0" w:num="1">
            <w:col w:w="11340"/>
          </w:cols>
          <w:pgMar w:left="320" w:top="4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7"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TD COWEN</w:t>
      </w:r>
    </w:p>
    <w:p>
      <w:pPr>
        <w:spacing w:after="0" w:line="100" w:lineRule="exact"/>
        <w:rPr>
          <w:sz w:val="20"/>
          <w:szCs w:val="20"/>
          <w:color w:val="auto"/>
        </w:rPr>
      </w:pPr>
    </w:p>
    <w:p>
      <w:pPr>
        <w:sectPr>
          <w:pgSz w:w="11900" w:h="16838" w:orient="portrait"/>
          <w:cols w:equalWidth="0" w:num="2">
            <w:col w:w="8000" w:space="720"/>
            <w:col w:w="2620"/>
          </w:cols>
          <w:pgMar w:left="320" w:top="447"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7"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2024.</w:t>
      </w:r>
    </w:p>
    <w:p>
      <w:pPr>
        <w:sectPr>
          <w:pgSz w:w="11900" w:h="16838" w:orient="portrait"/>
          <w:cols w:equalWidth="0" w:num="1">
            <w:col w:w="11340"/>
          </w:cols>
          <w:pgMar w:left="320" w:top="447" w:right="239" w:bottom="1440" w:gutter="0" w:footer="0" w:header="0"/>
          <w:type w:val="continuous"/>
        </w:sectPr>
      </w:pPr>
    </w:p>
    <w:bookmarkStart w:id="325" w:name="page326"/>
    <w:bookmarkEnd w:id="3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Unless otherwise indicated, all references to “Tempus,” the “company,” “we,” “our,” “us” or similar terms refer to Tempus AI, Inc. and its subsidiaries.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Nasdaq listing fee.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1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1,430,130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2,375,790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998,021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AI, Inc., provided that such director or executive officer acted in good faith and in a manner that the director or executive officer reasonably believed to be in, or not opposed to, the best interest of Tempus AI, Inc. At present, there is no pending litigation or proceeding involving a director or executive officer of Tempus AI,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8" w:right="2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2021:</w:t>
      </w:r>
    </w:p>
    <w:p>
      <w:pPr>
        <w:spacing w:after="0" w:line="121" w:lineRule="exact"/>
        <w:rPr>
          <w:sz w:val="20"/>
          <w:szCs w:val="20"/>
          <w:color w:val="auto"/>
        </w:rPr>
      </w:pPr>
    </w:p>
    <w:p>
      <w:pPr>
        <w:ind w:left="1460" w:hanging="444"/>
        <w:spacing w:after="0" w:line="267"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15,938,986 shares of our Class A common stock to our employees, consultants, and directors, having a fair market value ranging from $28.35 to $54.97 per share.</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17,450 shares of our Class A common stock to our employees, consultants, and directors, having a fair market value of $32.89 per share. In July 2023, our board of directors approved the removal of the performance-vesting condition, following which the PSUs are treated as RSUs as the terms of such PSUs are consistent with those of our outstanding RSUs.</w:t>
      </w:r>
    </w:p>
    <w:p>
      <w:pPr>
        <w:spacing w:after="0" w:line="92"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5"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 exercise price equal to the price per share at which our common stock is valued in connection with the consummation of this offering.</w:t>
      </w:r>
    </w:p>
    <w:p>
      <w:pPr>
        <w:spacing w:after="0" w:line="88" w:lineRule="exact"/>
        <w:rPr>
          <w:rFonts w:ascii="Times New Roman" w:cs="Times New Roman" w:eastAsia="Times New Roman" w:hAnsi="Times New Roman"/>
          <w:sz w:val="18"/>
          <w:szCs w:val="18"/>
          <w:color w:val="auto"/>
        </w:rPr>
      </w:pPr>
    </w:p>
    <w:p>
      <w:pPr>
        <w:jc w:val="both"/>
        <w:ind w:left="1460" w:hanging="444"/>
        <w:spacing w:after="0" w:line="288" w:lineRule="auto"/>
        <w:tabs>
          <w:tab w:leader="none" w:pos="14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1,614,114 shares of our Series G-3 convertible preferred stock at a price per share of $57.3069, for an aggregate purchase price of approximately $92.5 million, in private placements to five accredited investors.</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5"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in December 2019, we issued 145,466 shares of Class A common stock to former stockholders of AKESOgen, Inc. in December 2022 with a fair value of approximately $3.4 million, all of which shares were subsequently repurchased by us in January 2023.</w:t>
      </w:r>
    </w:p>
    <w:p>
      <w:pPr>
        <w:spacing w:after="0" w:line="88"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in connection with our acquisition of Arterys, Inc., we issued 174,499 shares of Class A common stock to former stockholders of Arterys, Inc.</w:t>
      </w:r>
    </w:p>
    <w:p>
      <w:pPr>
        <w:spacing w:after="0" w:line="77" w:lineRule="exact"/>
        <w:rPr>
          <w:rFonts w:ascii="Times New Roman" w:cs="Times New Roman" w:eastAsia="Times New Roman" w:hAnsi="Times New Roman"/>
          <w:sz w:val="18"/>
          <w:szCs w:val="18"/>
          <w:color w:val="auto"/>
        </w:rPr>
      </w:pPr>
    </w:p>
    <w:p>
      <w:pPr>
        <w:ind w:left="1460" w:hanging="444"/>
        <w:spacing w:after="0"/>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issued 47,781 shares of Series G-3 convertible preferred stock as payment of paid-in-kind dividends.</w:t>
      </w:r>
    </w:p>
    <w:p>
      <w:pPr>
        <w:spacing w:after="0" w:line="121"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in connection with an agreement and plan of merger to acquire Mpirik, we issued 130,862 shares of Class A common stock to former stockholders of Mpirik.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8" w:right="2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in connection with our acquisition of SEngine, we issued 142,513 shares of Class A common stock to former stockholders of SEngine.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issued and sold an aggregate of 785,245 shares of our Series G-4 convertible preferred stock at a price per share of $57.3069, for an aggregate purchase price of approximately $45.0 million, in private placements to three accredited investors.</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we issued a warrant to Allen &amp; Company LLC, an underwriter for this offering, to purchase up to 150,000 shares of our Class A common stock with an exercise price of $10 per share.</w:t>
      </w:r>
    </w:p>
    <w:p>
      <w:pPr>
        <w:spacing w:after="0" w:line="77" w:lineRule="exact"/>
        <w:rPr>
          <w:rFonts w:ascii="Times New Roman" w:cs="Times New Roman" w:eastAsia="Times New Roman" w:hAnsi="Times New Roman"/>
          <w:sz w:val="18"/>
          <w:szCs w:val="18"/>
          <w:color w:val="auto"/>
        </w:rPr>
      </w:pPr>
    </w:p>
    <w:p>
      <w:pPr>
        <w:ind w:left="1460" w:hanging="444"/>
        <w:spacing w:after="0"/>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issued 66,465 shares of G-3 convertible preferred stock as payment of paid-in-kind dividends.</w:t>
      </w:r>
    </w:p>
    <w:p>
      <w:pPr>
        <w:spacing w:after="0" w:line="121" w:lineRule="exact"/>
        <w:rPr>
          <w:rFonts w:ascii="Times New Roman" w:cs="Times New Roman" w:eastAsia="Times New Roman" w:hAnsi="Times New Roman"/>
          <w:sz w:val="18"/>
          <w:szCs w:val="18"/>
          <w:color w:val="auto"/>
        </w:rPr>
      </w:pPr>
    </w:p>
    <w:p>
      <w:pPr>
        <w:ind w:left="1460" w:hanging="444"/>
        <w:spacing w:after="0"/>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issued 10,666 shares of G-4 convertible preferred stock as payment of paid-in-kind dividends.</w:t>
      </w:r>
    </w:p>
    <w:p>
      <w:pPr>
        <w:spacing w:after="0" w:line="121"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in connection with our purchase of certain assets of SEngine, we issued 429 shares of Class A common stock to former stockholders of SEngine.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in connection with our purchase of certain assets of Mpirik, we issued 8,724 shares of Class A common stock to former stockholders of Mpirik.</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issued and sold an aggregate of 6,172,839 shares of our Series G-5 convertible preferred stock at a price per share of $57.3069 for an aggregate purchase price of approximately $200.0 miillion, in a private placement to an accredited investor.</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8" w:right="2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jc w:val="both"/>
        <w:ind w:left="1240" w:hanging="670"/>
        <w:spacing w:after="0" w:line="255"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240" w:hanging="670"/>
        <w:spacing w:after="0" w:line="255"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40"/>
          </w:cols>
          <w:pgMar w:left="320" w:top="447" w:right="2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60" w:type="dxa"/>
            <w:vAlign w:val="bottom"/>
            <w:gridSpan w:val="21"/>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3860" w:type="dxa"/>
            <w:vAlign w:val="bottom"/>
            <w:gridSpan w:val="1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386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540" w:type="dxa"/>
            <w:vAlign w:val="bottom"/>
          </w:tcPr>
          <w:p>
            <w:pPr>
              <w:spacing w:after="0"/>
              <w:rPr>
                <w:sz w:val="23"/>
                <w:szCs w:val="23"/>
                <w:color w:val="auto"/>
              </w:rPr>
            </w:pPr>
          </w:p>
        </w:tc>
        <w:tc>
          <w:tcPr>
            <w:tcW w:w="9320" w:type="dxa"/>
            <w:vAlign w:val="bottom"/>
            <w:gridSpan w:val="25"/>
          </w:tcPr>
          <w:p>
            <w:pPr>
              <w:spacing w:after="0"/>
              <w:rPr>
                <w:rFonts w:ascii="Times New Roman" w:cs="Times New Roman" w:eastAsia="Times New Roman" w:hAnsi="Times New Roman"/>
                <w:sz w:val="18"/>
                <w:szCs w:val="18"/>
                <w:color w:val="0000EE"/>
              </w:rPr>
            </w:pPr>
            <w:hyperlink r:id="rId440">
              <w:r>
                <w:rPr>
                  <w:rFonts w:ascii="Times New Roman" w:cs="Times New Roman" w:eastAsia="Times New Roman" w:hAnsi="Times New Roman"/>
                  <w:sz w:val="18"/>
                  <w:szCs w:val="18"/>
                  <w:color w:val="0000EE"/>
                </w:rPr>
                <w:t>Form of Underwriting Agreement.</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540" w:type="dxa"/>
            <w:vAlign w:val="bottom"/>
          </w:tcPr>
          <w:p>
            <w:pPr>
              <w:spacing w:after="0"/>
              <w:rPr>
                <w:sz w:val="24"/>
                <w:szCs w:val="24"/>
                <w:color w:val="auto"/>
              </w:rPr>
            </w:pPr>
          </w:p>
        </w:tc>
        <w:tc>
          <w:tcPr>
            <w:tcW w:w="9320" w:type="dxa"/>
            <w:vAlign w:val="bottom"/>
            <w:gridSpan w:val="25"/>
          </w:tcPr>
          <w:p>
            <w:pPr>
              <w:spacing w:after="0"/>
              <w:rPr>
                <w:rFonts w:ascii="Times New Roman" w:cs="Times New Roman" w:eastAsia="Times New Roman" w:hAnsi="Times New Roman"/>
                <w:sz w:val="18"/>
                <w:szCs w:val="18"/>
                <w:color w:val="0000EE"/>
              </w:rPr>
            </w:pPr>
            <w:hyperlink r:id="rId441">
              <w:r>
                <w:rPr>
                  <w:rFonts w:ascii="Times New Roman" w:cs="Times New Roman" w:eastAsia="Times New Roman" w:hAnsi="Times New Roman"/>
                  <w:sz w:val="18"/>
                  <w:szCs w:val="18"/>
                  <w:color w:val="0000EE"/>
                </w:rPr>
                <w:t>Twelfth 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540" w:type="dxa"/>
            <w:vAlign w:val="bottom"/>
          </w:tcPr>
          <w:p>
            <w:pPr>
              <w:spacing w:after="0"/>
              <w:rPr>
                <w:sz w:val="24"/>
                <w:szCs w:val="24"/>
                <w:color w:val="auto"/>
              </w:rPr>
            </w:pPr>
          </w:p>
        </w:tc>
        <w:tc>
          <w:tcPr>
            <w:tcW w:w="86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r:id="rId442">
              <w:r>
                <w:rPr>
                  <w:rFonts w:ascii="Times New Roman" w:cs="Times New Roman" w:eastAsia="Times New Roman" w:hAnsi="Times New Roman"/>
                  <w:sz w:val="18"/>
                  <w:szCs w:val="18"/>
                  <w:color w:val="0000EE"/>
                  <w:w w:val="97"/>
                </w:rPr>
                <w:t>Form of Amended and Restated Certificate of Incorporation of the Registrant, to be in effect on the closing of the offering.</w:t>
              </w:r>
            </w:hyperlink>
          </w:p>
        </w:tc>
        <w:tc>
          <w:tcPr>
            <w:tcW w:w="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540" w:type="dxa"/>
            <w:vAlign w:val="bottom"/>
          </w:tcPr>
          <w:p>
            <w:pPr>
              <w:spacing w:after="0"/>
              <w:rPr>
                <w:sz w:val="24"/>
                <w:szCs w:val="24"/>
                <w:color w:val="auto"/>
              </w:rPr>
            </w:pPr>
          </w:p>
        </w:tc>
        <w:tc>
          <w:tcPr>
            <w:tcW w:w="49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r:id="rId443">
              <w:r>
                <w:rPr>
                  <w:rFonts w:ascii="Times New Roman" w:cs="Times New Roman" w:eastAsia="Times New Roman" w:hAnsi="Times New Roman"/>
                  <w:sz w:val="18"/>
                  <w:szCs w:val="18"/>
                  <w:color w:val="0000EE"/>
                  <w:w w:val="96"/>
                </w:rPr>
                <w:t>Amended and Restated Bylaws of the Registrant, as currently in effect.</w:t>
              </w:r>
            </w:hyperlink>
          </w:p>
        </w:tc>
        <w:tc>
          <w:tcPr>
            <w:tcW w:w="43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540" w:type="dxa"/>
            <w:vAlign w:val="bottom"/>
          </w:tcPr>
          <w:p>
            <w:pPr>
              <w:spacing w:after="0"/>
              <w:rPr>
                <w:sz w:val="24"/>
                <w:szCs w:val="24"/>
                <w:color w:val="auto"/>
              </w:rPr>
            </w:pPr>
          </w:p>
        </w:tc>
        <w:tc>
          <w:tcPr>
            <w:tcW w:w="7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r:id="rId444">
              <w:r>
                <w:rPr>
                  <w:rFonts w:ascii="Times New Roman" w:cs="Times New Roman" w:eastAsia="Times New Roman" w:hAnsi="Times New Roman"/>
                  <w:sz w:val="18"/>
                  <w:szCs w:val="18"/>
                  <w:color w:val="0000EE"/>
                  <w:w w:val="97"/>
                </w:rPr>
                <w:t>Form of Amended and Restated Bylaws of the Registrant, to be in effect on the closing of the offering.</w:t>
              </w:r>
            </w:hyperlink>
          </w:p>
        </w:tc>
        <w:tc>
          <w:tcPr>
            <w:tcW w:w="21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4"/>
                <w:szCs w:val="24"/>
                <w:color w:val="auto"/>
              </w:rPr>
            </w:pPr>
          </w:p>
        </w:tc>
        <w:tc>
          <w:tcPr>
            <w:tcW w:w="9320" w:type="dxa"/>
            <w:vAlign w:val="bottom"/>
            <w:gridSpan w:val="25"/>
          </w:tcPr>
          <w:p>
            <w:pPr>
              <w:spacing w:after="0"/>
              <w:rPr>
                <w:rFonts w:ascii="Times New Roman" w:cs="Times New Roman" w:eastAsia="Times New Roman" w:hAnsi="Times New Roman"/>
                <w:sz w:val="18"/>
                <w:szCs w:val="18"/>
                <w:color w:val="0000EE"/>
              </w:rPr>
            </w:pPr>
            <w:hyperlink r:id="rId445">
              <w:r>
                <w:rPr>
                  <w:rFonts w:ascii="Times New Roman" w:cs="Times New Roman" w:eastAsia="Times New Roman" w:hAnsi="Times New Roman"/>
                  <w:sz w:val="18"/>
                  <w:szCs w:val="18"/>
                  <w:color w:val="0000EE"/>
                </w:rPr>
                <w:t>Form of Class A Common Stock Certificate.</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540" w:type="dxa"/>
            <w:vAlign w:val="bottom"/>
          </w:tcPr>
          <w:p>
            <w:pPr>
              <w:spacing w:after="0"/>
              <w:rPr>
                <w:sz w:val="24"/>
                <w:szCs w:val="24"/>
                <w:color w:val="auto"/>
              </w:rPr>
            </w:pPr>
          </w:p>
        </w:tc>
        <w:tc>
          <w:tcPr>
            <w:tcW w:w="9320" w:type="dxa"/>
            <w:vAlign w:val="bottom"/>
            <w:gridSpan w:val="25"/>
          </w:tcPr>
          <w:p>
            <w:pPr>
              <w:spacing w:after="0"/>
              <w:rPr>
                <w:rFonts w:ascii="Times New Roman" w:cs="Times New Roman" w:eastAsia="Times New Roman" w:hAnsi="Times New Roman"/>
                <w:sz w:val="18"/>
                <w:szCs w:val="18"/>
                <w:color w:val="0000EE"/>
              </w:rPr>
            </w:pPr>
            <w:hyperlink r:id="rId446">
              <w:r>
                <w:rPr>
                  <w:rFonts w:ascii="Times New Roman" w:cs="Times New Roman" w:eastAsia="Times New Roman" w:hAnsi="Times New Roman"/>
                  <w:sz w:val="18"/>
                  <w:szCs w:val="18"/>
                  <w:color w:val="0000EE"/>
                </w:rPr>
                <w:t>Warrant to Purchase Class A Common Stock of the Registrant dated November 17, 2021 (included in Exhibit 10.16).</w:t>
              </w:r>
            </w:hyperlink>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540" w:type="dxa"/>
            <w:vAlign w:val="bottom"/>
          </w:tcPr>
          <w:p>
            <w:pPr>
              <w:spacing w:after="0"/>
              <w:rPr>
                <w:sz w:val="24"/>
                <w:szCs w:val="24"/>
                <w:color w:val="auto"/>
              </w:rPr>
            </w:pPr>
          </w:p>
        </w:tc>
        <w:tc>
          <w:tcPr>
            <w:tcW w:w="812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6"/>
              </w:rPr>
            </w:pPr>
            <w:hyperlink r:id="rId447">
              <w:r>
                <w:rPr>
                  <w:rFonts w:ascii="Times New Roman" w:cs="Times New Roman" w:eastAsia="Times New Roman" w:hAnsi="Times New Roman"/>
                  <w:sz w:val="18"/>
                  <w:szCs w:val="18"/>
                  <w:color w:val="0000EE"/>
                  <w:w w:val="96"/>
                </w:rPr>
                <w:t>Warrant to Purchase Class A Common Stock of the Registrant dated December 8, 2023 for Allen &amp; Company LLC.</w:t>
              </w:r>
            </w:hyperlink>
          </w:p>
        </w:tc>
        <w:tc>
          <w:tcPr>
            <w:tcW w:w="80" w:type="dxa"/>
            <w:vAlign w:val="bottom"/>
            <w:tcBorders>
              <w:top w:val="single" w:sz="8" w:color="0000EE"/>
            </w:tcBorders>
          </w:tcPr>
          <w:p>
            <w:pPr>
              <w:spacing w:after="0"/>
              <w:rPr>
                <w:sz w:val="24"/>
                <w:szCs w:val="24"/>
                <w:color w:val="auto"/>
              </w:rPr>
            </w:pPr>
          </w:p>
        </w:tc>
        <w:tc>
          <w:tcPr>
            <w:tcW w:w="11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540" w:type="dxa"/>
            <w:vAlign w:val="bottom"/>
          </w:tcPr>
          <w:p>
            <w:pPr>
              <w:spacing w:after="0"/>
              <w:rPr>
                <w:sz w:val="24"/>
                <w:szCs w:val="24"/>
                <w:color w:val="auto"/>
              </w:rPr>
            </w:pPr>
          </w:p>
        </w:tc>
        <w:tc>
          <w:tcPr>
            <w:tcW w:w="170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448">
              <w:r>
                <w:rPr>
                  <w:rFonts w:ascii="Times New Roman" w:cs="Times New Roman" w:eastAsia="Times New Roman" w:hAnsi="Times New Roman"/>
                  <w:sz w:val="18"/>
                  <w:szCs w:val="18"/>
                  <w:color w:val="0000EE"/>
                  <w:w w:val="95"/>
                </w:rPr>
                <w:t>Opinion of Cooley LLP.</w:t>
              </w:r>
            </w:hyperlink>
          </w:p>
        </w:tc>
        <w:tc>
          <w:tcPr>
            <w:tcW w:w="762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5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6"/>
              </w:rPr>
            </w:pPr>
            <w:hyperlink r:id="rId449">
              <w:r>
                <w:rPr>
                  <w:rFonts w:ascii="Times New Roman" w:cs="Times New Roman" w:eastAsia="Times New Roman" w:hAnsi="Times New Roman"/>
                  <w:sz w:val="18"/>
                  <w:szCs w:val="18"/>
                  <w:color w:val="0000EE"/>
                  <w:w w:val="96"/>
                </w:rPr>
                <w:t>Twelfth Amended and Restated Investor Rights Agreement, dated April 30, 2024.</w:t>
              </w:r>
            </w:hyperlink>
          </w:p>
        </w:tc>
        <w:tc>
          <w:tcPr>
            <w:tcW w:w="35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9320" w:type="dxa"/>
            <w:vAlign w:val="bottom"/>
            <w:gridSpan w:val="25"/>
          </w:tcPr>
          <w:p>
            <w:pPr>
              <w:spacing w:after="0"/>
              <w:rPr>
                <w:rFonts w:ascii="Times New Roman" w:cs="Times New Roman" w:eastAsia="Times New Roman" w:hAnsi="Times New Roman"/>
                <w:sz w:val="18"/>
                <w:szCs w:val="18"/>
                <w:color w:val="0000EE"/>
              </w:rPr>
            </w:pPr>
            <w:hyperlink r:id="rId450">
              <w:r>
                <w:rPr>
                  <w:rFonts w:ascii="Times New Roman" w:cs="Times New Roman" w:eastAsia="Times New Roman" w:hAnsi="Times New Roman"/>
                  <w:sz w:val="18"/>
                  <w:szCs w:val="18"/>
                  <w:color w:val="0000EE"/>
                </w:rPr>
                <w:t>The Registrant’s Third Amended and Restated 2015 Stock Plan, as amended.</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91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6"/>
              </w:rPr>
            </w:pPr>
            <w:hyperlink r:id="rId451">
              <w:r>
                <w:rPr>
                  <w:rFonts w:ascii="Times New Roman" w:cs="Times New Roman" w:eastAsia="Times New Roman" w:hAnsi="Times New Roman"/>
                  <w:sz w:val="18"/>
                  <w:szCs w:val="18"/>
                  <w:color w:val="0000EE"/>
                  <w:w w:val="96"/>
                </w:rPr>
                <w:t>Forms of Grant Notices and Award Agreements under the Registrant’s Third Amended and Restated 2015 Stock Plan, as amended.</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r:id="rId452">
              <w:r>
                <w:rPr>
                  <w:rFonts w:ascii="Times New Roman" w:cs="Times New Roman" w:eastAsia="Times New Roman" w:hAnsi="Times New Roman"/>
                  <w:sz w:val="18"/>
                  <w:szCs w:val="18"/>
                  <w:color w:val="0000EE"/>
                  <w:w w:val="96"/>
                </w:rPr>
                <w:t>The Registrant’s 2024 Equity Incentive Plan.</w:t>
              </w:r>
            </w:hyperlink>
          </w:p>
        </w:tc>
        <w:tc>
          <w:tcPr>
            <w:tcW w:w="61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spacing w:after="0"/>
              <w:rPr>
                <w:sz w:val="24"/>
                <w:szCs w:val="24"/>
                <w:color w:val="auto"/>
              </w:rPr>
            </w:pPr>
          </w:p>
        </w:tc>
        <w:tc>
          <w:tcPr>
            <w:tcW w:w="86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7"/>
              </w:rPr>
            </w:pPr>
            <w:hyperlink r:id="rId453">
              <w:r>
                <w:rPr>
                  <w:rFonts w:ascii="Times New Roman" w:cs="Times New Roman" w:eastAsia="Times New Roman" w:hAnsi="Times New Roman"/>
                  <w:sz w:val="18"/>
                  <w:szCs w:val="18"/>
                  <w:color w:val="0000EE"/>
                  <w:w w:val="97"/>
                </w:rPr>
                <w:t>Forms of Grant Notice, Stock Option Agreement and Notice of Exercise under the Registrant’s 2024 Equity Incentive Plan.</w:t>
              </w:r>
            </w:hyperlink>
          </w:p>
        </w:tc>
        <w:tc>
          <w:tcPr>
            <w:tcW w:w="6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4"/>
                <w:szCs w:val="24"/>
                <w:color w:val="auto"/>
              </w:rPr>
            </w:pPr>
          </w:p>
        </w:tc>
        <w:tc>
          <w:tcPr>
            <w:tcW w:w="9320" w:type="dxa"/>
            <w:vAlign w:val="bottom"/>
            <w:gridSpan w:val="25"/>
          </w:tcPr>
          <w:p>
            <w:pPr>
              <w:spacing w:after="0"/>
              <w:rPr>
                <w:rFonts w:ascii="Times New Roman" w:cs="Times New Roman" w:eastAsia="Times New Roman" w:hAnsi="Times New Roman"/>
                <w:sz w:val="18"/>
                <w:szCs w:val="18"/>
                <w:color w:val="0000EE"/>
              </w:rPr>
            </w:pPr>
            <w:hyperlink r:id="rId454">
              <w:r>
                <w:rPr>
                  <w:rFonts w:ascii="Times New Roman" w:cs="Times New Roman" w:eastAsia="Times New Roman" w:hAnsi="Times New Roman"/>
                  <w:sz w:val="18"/>
                  <w:szCs w:val="18"/>
                  <w:color w:val="0000EE"/>
                </w:rPr>
                <w:t>Forms of Restricted Stock Unit Grant Notice and Award Agreement under the Registrant’s 2024 Equity Incentive Plan.</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40" w:type="dxa"/>
            <w:vAlign w:val="bottom"/>
            <w:gridSpan w:val="10"/>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84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6"/>
              </w:rPr>
            </w:pPr>
            <w:hyperlink r:id="rId455">
              <w:r>
                <w:rPr>
                  <w:rFonts w:ascii="Times New Roman" w:cs="Times New Roman" w:eastAsia="Times New Roman" w:hAnsi="Times New Roman"/>
                  <w:sz w:val="18"/>
                  <w:szCs w:val="18"/>
                  <w:color w:val="0000EE"/>
                  <w:w w:val="96"/>
                </w:rPr>
                <w:t>Form of Indemnification Agreement entered into by and between the Registrant and each director and executive officer.</w:t>
              </w:r>
            </w:hyperlink>
          </w:p>
        </w:tc>
        <w:tc>
          <w:tcPr>
            <w:tcW w:w="9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spacing w:after="0"/>
              <w:rPr>
                <w:sz w:val="24"/>
                <w:szCs w:val="24"/>
                <w:color w:val="auto"/>
              </w:rPr>
            </w:pPr>
          </w:p>
        </w:tc>
        <w:tc>
          <w:tcPr>
            <w:tcW w:w="7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6"/>
              </w:rPr>
            </w:pPr>
            <w:hyperlink r:id="rId456">
              <w:r>
                <w:rPr>
                  <w:rFonts w:ascii="Times New Roman" w:cs="Times New Roman" w:eastAsia="Times New Roman" w:hAnsi="Times New Roman"/>
                  <w:sz w:val="18"/>
                  <w:szCs w:val="18"/>
                  <w:color w:val="0000EE"/>
                  <w:w w:val="96"/>
                </w:rPr>
                <w:t>Employment Agreement, by and between the Registrant and Eric Lefkofsky, dated February 1, 2024.</w:t>
              </w:r>
            </w:hyperlink>
          </w:p>
        </w:tc>
        <w:tc>
          <w:tcPr>
            <w:tcW w:w="22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Pr>
          <w:p>
            <w:pPr>
              <w:spacing w:after="0"/>
              <w:rPr>
                <w:sz w:val="24"/>
                <w:szCs w:val="24"/>
                <w:color w:val="auto"/>
              </w:rPr>
            </w:pPr>
          </w:p>
        </w:tc>
        <w:tc>
          <w:tcPr>
            <w:tcW w:w="67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457">
              <w:r>
                <w:rPr>
                  <w:rFonts w:ascii="Times New Roman" w:cs="Times New Roman" w:eastAsia="Times New Roman" w:hAnsi="Times New Roman"/>
                  <w:sz w:val="18"/>
                  <w:szCs w:val="18"/>
                  <w:color w:val="0000EE"/>
                  <w:w w:val="97"/>
                </w:rPr>
                <w:t>Employment Agreement, by and between the Registrant and Erik Phelps, dated January 1, 2023.</w:t>
              </w:r>
            </w:hyperlink>
          </w:p>
        </w:tc>
        <w:tc>
          <w:tcPr>
            <w:tcW w:w="25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10.10+*</w:t>
            </w:r>
          </w:p>
        </w:tc>
        <w:tc>
          <w:tcPr>
            <w:tcW w:w="540" w:type="dxa"/>
            <w:vAlign w:val="bottom"/>
          </w:tcPr>
          <w:p>
            <w:pPr>
              <w:spacing w:after="0"/>
              <w:rPr>
                <w:sz w:val="24"/>
                <w:szCs w:val="24"/>
                <w:color w:val="auto"/>
              </w:rPr>
            </w:pPr>
          </w:p>
        </w:tc>
        <w:tc>
          <w:tcPr>
            <w:tcW w:w="9320" w:type="dxa"/>
            <w:vAlign w:val="bottom"/>
            <w:gridSpan w:val="25"/>
          </w:tcPr>
          <w:p>
            <w:pPr>
              <w:spacing w:after="0"/>
              <w:rPr>
                <w:rFonts w:ascii="Times New Roman" w:cs="Times New Roman" w:eastAsia="Times New Roman" w:hAnsi="Times New Roman"/>
                <w:sz w:val="18"/>
                <w:szCs w:val="18"/>
                <w:color w:val="0000EE"/>
              </w:rPr>
            </w:pPr>
            <w:hyperlink r:id="rId458">
              <w:r>
                <w:rPr>
                  <w:rFonts w:ascii="Times New Roman" w:cs="Times New Roman" w:eastAsia="Times New Roman" w:hAnsi="Times New Roman"/>
                  <w:sz w:val="18"/>
                  <w:szCs w:val="18"/>
                  <w:color w:val="0000EE"/>
                </w:rPr>
                <w:t>Employment Agreement, by and between the Registrant and Ryan Fukushima, dated January 1, 2023.</w:t>
              </w:r>
            </w:hyperlink>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10.11+*</w:t>
            </w:r>
          </w:p>
        </w:tc>
        <w:tc>
          <w:tcPr>
            <w:tcW w:w="540" w:type="dxa"/>
            <w:vAlign w:val="bottom"/>
          </w:tcPr>
          <w:p>
            <w:pPr>
              <w:spacing w:after="0"/>
              <w:rPr>
                <w:sz w:val="24"/>
                <w:szCs w:val="24"/>
                <w:color w:val="auto"/>
              </w:rPr>
            </w:pPr>
          </w:p>
        </w:tc>
        <w:tc>
          <w:tcPr>
            <w:tcW w:w="696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7"/>
              </w:rPr>
            </w:pPr>
            <w:hyperlink r:id="rId459">
              <w:r>
                <w:rPr>
                  <w:rFonts w:ascii="Times New Roman" w:cs="Times New Roman" w:eastAsia="Times New Roman" w:hAnsi="Times New Roman"/>
                  <w:sz w:val="18"/>
                  <w:szCs w:val="18"/>
                  <w:color w:val="0000EE"/>
                  <w:w w:val="97"/>
                </w:rPr>
                <w:t>Employment Agreement, by and between the Registrant and James Rogers, dated January 1, 2023.</w:t>
              </w:r>
            </w:hyperlink>
          </w:p>
        </w:tc>
        <w:tc>
          <w:tcPr>
            <w:tcW w:w="160" w:type="dxa"/>
            <w:vAlign w:val="bottom"/>
            <w:tcBorders>
              <w:top w:val="single" w:sz="8" w:color="0000EE"/>
            </w:tcBorders>
            <w:gridSpan w:val="2"/>
          </w:tcPr>
          <w:p>
            <w:pPr>
              <w:spacing w:after="0"/>
              <w:rPr>
                <w:sz w:val="24"/>
                <w:szCs w:val="24"/>
                <w:color w:val="auto"/>
              </w:rPr>
            </w:pPr>
          </w:p>
        </w:tc>
        <w:tc>
          <w:tcPr>
            <w:tcW w:w="22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10.12#*</w:t>
            </w:r>
          </w:p>
        </w:tc>
        <w:tc>
          <w:tcPr>
            <w:tcW w:w="540" w:type="dxa"/>
            <w:vAlign w:val="bottom"/>
          </w:tcPr>
          <w:p>
            <w:pPr>
              <w:spacing w:after="0"/>
              <w:rPr>
                <w:sz w:val="24"/>
                <w:szCs w:val="24"/>
                <w:color w:val="auto"/>
              </w:rPr>
            </w:pPr>
          </w:p>
        </w:tc>
        <w:tc>
          <w:tcPr>
            <w:tcW w:w="93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6"/>
              </w:rPr>
            </w:pPr>
            <w:hyperlink r:id="rId460">
              <w:r>
                <w:rPr>
                  <w:rFonts w:ascii="Times New Roman" w:cs="Times New Roman" w:eastAsia="Times New Roman" w:hAnsi="Times New Roman"/>
                  <w:sz w:val="18"/>
                  <w:szCs w:val="18"/>
                  <w:color w:val="0000EE"/>
                  <w:w w:val="96"/>
                </w:rPr>
                <w:t>Agreement of Lease, by and between the Registrant and EQC 600 West Chicago Property LLC, dated January 18, 2018, as amended.</w:t>
              </w:r>
            </w:hyperlink>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10.13†*</w:t>
            </w:r>
          </w:p>
        </w:tc>
        <w:tc>
          <w:tcPr>
            <w:tcW w:w="540" w:type="dxa"/>
            <w:vAlign w:val="bottom"/>
          </w:tcPr>
          <w:p>
            <w:pPr>
              <w:spacing w:after="0"/>
              <w:rPr>
                <w:sz w:val="24"/>
                <w:szCs w:val="24"/>
                <w:color w:val="auto"/>
              </w:rPr>
            </w:pPr>
          </w:p>
        </w:tc>
        <w:tc>
          <w:tcPr>
            <w:tcW w:w="9320" w:type="dxa"/>
            <w:vAlign w:val="bottom"/>
            <w:gridSpan w:val="25"/>
          </w:tcPr>
          <w:p>
            <w:pPr>
              <w:spacing w:after="0"/>
              <w:rPr>
                <w:rFonts w:ascii="Times New Roman" w:cs="Times New Roman" w:eastAsia="Times New Roman" w:hAnsi="Times New Roman"/>
                <w:sz w:val="18"/>
                <w:szCs w:val="18"/>
                <w:color w:val="0000EE"/>
              </w:rPr>
            </w:pPr>
            <w:hyperlink r:id="rId461">
              <w:r>
                <w:rPr>
                  <w:rFonts w:ascii="Times New Roman" w:cs="Times New Roman" w:eastAsia="Times New Roman" w:hAnsi="Times New Roman"/>
                  <w:sz w:val="18"/>
                  <w:szCs w:val="18"/>
                  <w:color w:val="0000EE"/>
                </w:rPr>
                <w:t>Supply Agreement, by and between the Registrant and Illumina, Inc., dated June 29, 2021.</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40" w:type="dxa"/>
            <w:vAlign w:val="bottom"/>
            <w:gridSpan w:val="10"/>
            <w:shd w:val="clear" w:color="auto" w:fill="0000EE"/>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10.14†*</w:t>
            </w:r>
          </w:p>
        </w:tc>
        <w:tc>
          <w:tcPr>
            <w:tcW w:w="540" w:type="dxa"/>
            <w:vAlign w:val="bottom"/>
          </w:tcPr>
          <w:p>
            <w:pPr>
              <w:spacing w:after="0"/>
              <w:rPr>
                <w:sz w:val="24"/>
                <w:szCs w:val="24"/>
                <w:color w:val="auto"/>
              </w:rPr>
            </w:pPr>
          </w:p>
        </w:tc>
        <w:tc>
          <w:tcPr>
            <w:tcW w:w="9320" w:type="dxa"/>
            <w:vAlign w:val="bottom"/>
            <w:gridSpan w:val="25"/>
          </w:tcPr>
          <w:p>
            <w:pPr>
              <w:spacing w:after="0"/>
              <w:rPr>
                <w:rFonts w:ascii="Times New Roman" w:cs="Times New Roman" w:eastAsia="Times New Roman" w:hAnsi="Times New Roman"/>
                <w:sz w:val="18"/>
                <w:szCs w:val="18"/>
                <w:color w:val="0000EE"/>
                <w:w w:val="99"/>
              </w:rPr>
            </w:pPr>
            <w:hyperlink r:id="rId462">
              <w:r>
                <w:rPr>
                  <w:rFonts w:ascii="Times New Roman" w:cs="Times New Roman" w:eastAsia="Times New Roman" w:hAnsi="Times New Roman"/>
                  <w:sz w:val="18"/>
                  <w:szCs w:val="18"/>
                  <w:color w:val="0000EE"/>
                  <w:w w:val="99"/>
                </w:rPr>
                <w:t>Amended and Restated Convertible Promissory Note, by and between the Registrant and Google LLC, dated November 19, 2020.</w:t>
              </w:r>
            </w:hyperlink>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10.15†*</w:t>
            </w:r>
          </w:p>
        </w:tc>
        <w:tc>
          <w:tcPr>
            <w:tcW w:w="540" w:type="dxa"/>
            <w:vAlign w:val="bottom"/>
          </w:tcPr>
          <w:p>
            <w:pPr>
              <w:spacing w:after="0"/>
              <w:rPr>
                <w:sz w:val="24"/>
                <w:szCs w:val="24"/>
                <w:color w:val="auto"/>
              </w:rPr>
            </w:pPr>
          </w:p>
        </w:tc>
        <w:tc>
          <w:tcPr>
            <w:tcW w:w="842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7"/>
              </w:rPr>
            </w:pPr>
            <w:hyperlink r:id="rId463">
              <w:r>
                <w:rPr>
                  <w:rFonts w:ascii="Times New Roman" w:cs="Times New Roman" w:eastAsia="Times New Roman" w:hAnsi="Times New Roman"/>
                  <w:sz w:val="18"/>
                  <w:szCs w:val="18"/>
                  <w:color w:val="0000EE"/>
                  <w:w w:val="97"/>
                </w:rPr>
                <w:t>Amended and Restated Master Agreement, by and between the Registrant and Pathos AI, Inc., dated February 12, 2024.</w:t>
              </w:r>
            </w:hyperlink>
          </w:p>
        </w:tc>
        <w:tc>
          <w:tcPr>
            <w:tcW w:w="680" w:type="dxa"/>
            <w:vAlign w:val="bottom"/>
            <w:tcBorders>
              <w:top w:val="single" w:sz="8" w:color="0000EE"/>
            </w:tcBorders>
            <w:gridSpan w:val="3"/>
          </w:tcPr>
          <w:p>
            <w:pPr>
              <w:spacing w:after="0"/>
              <w:rPr>
                <w:sz w:val="24"/>
                <w:szCs w:val="24"/>
                <w:color w:val="auto"/>
              </w:rPr>
            </w:pP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60" w:type="dxa"/>
            <w:vAlign w:val="bottom"/>
            <w:gridSpan w:val="21"/>
          </w:tcPr>
          <w:p>
            <w:pPr>
              <w:jc w:val="center"/>
              <w:ind w:right="3420"/>
              <w:spacing w:after="0"/>
              <w:rPr>
                <w:sz w:val="20"/>
                <w:szCs w:val="20"/>
                <w:color w:val="auto"/>
              </w:rPr>
            </w:pPr>
            <w:r>
              <w:rPr>
                <w:rFonts w:ascii="Times New Roman" w:cs="Times New Roman" w:eastAsia="Times New Roman" w:hAnsi="Times New Roman"/>
                <w:sz w:val="18"/>
                <w:szCs w:val="18"/>
                <w:color w:val="auto"/>
                <w:w w:val="96"/>
              </w:rPr>
              <w:t>II-5</w:t>
            </w:r>
          </w:p>
        </w:tc>
        <w:tc>
          <w:tcPr>
            <w:tcW w:w="0" w:type="dxa"/>
            <w:vAlign w:val="bottom"/>
          </w:tcPr>
          <w:p>
            <w:pPr>
              <w:spacing w:after="0"/>
              <w:rPr>
                <w:sz w:val="1"/>
                <w:szCs w:val="1"/>
                <w:color w:val="auto"/>
              </w:rPr>
            </w:pPr>
          </w:p>
        </w:tc>
      </w:tr>
    </w:tbl>
    <w:p>
      <w:pPr>
        <w:sectPr>
          <w:pgSz w:w="11900" w:h="16838" w:orient="portrait"/>
          <w:cols w:equalWidth="0" w:num="1">
            <w:col w:w="10460"/>
          </w:cols>
          <w:pgMar w:left="320" w:top="447" w:right="111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560" w:type="dxa"/>
            <w:vAlign w:val="bottom"/>
            <w:gridSpan w:val="1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456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10.16†*</w:t>
            </w:r>
          </w:p>
        </w:tc>
        <w:tc>
          <w:tcPr>
            <w:tcW w:w="540" w:type="dxa"/>
            <w:vAlign w:val="bottom"/>
          </w:tcPr>
          <w:p>
            <w:pPr>
              <w:spacing w:after="0"/>
              <w:rPr>
                <w:sz w:val="23"/>
                <w:szCs w:val="23"/>
                <w:color w:val="auto"/>
              </w:rPr>
            </w:pPr>
          </w:p>
        </w:tc>
        <w:tc>
          <w:tcPr>
            <w:tcW w:w="76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r:id="rId446">
              <w:r>
                <w:rPr>
                  <w:rFonts w:ascii="Times New Roman" w:cs="Times New Roman" w:eastAsia="Times New Roman" w:hAnsi="Times New Roman"/>
                  <w:sz w:val="18"/>
                  <w:szCs w:val="18"/>
                  <w:color w:val="0000EE"/>
                  <w:w w:val="97"/>
                </w:rPr>
                <w:t>Master Services Agreement, by and between the Registrant and AstraZeneca AB, dated November 17, 2021.</w:t>
              </w:r>
            </w:hyperlink>
          </w:p>
        </w:tc>
        <w:tc>
          <w:tcPr>
            <w:tcW w:w="24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10.17+*</w:t>
            </w:r>
          </w:p>
        </w:tc>
        <w:tc>
          <w:tcPr>
            <w:tcW w:w="540" w:type="dxa"/>
            <w:vAlign w:val="bottom"/>
          </w:tcPr>
          <w:p>
            <w:pPr>
              <w:spacing w:after="0"/>
              <w:rPr>
                <w:sz w:val="24"/>
                <w:szCs w:val="24"/>
                <w:color w:val="auto"/>
              </w:rPr>
            </w:pPr>
          </w:p>
        </w:tc>
        <w:tc>
          <w:tcPr>
            <w:tcW w:w="10020" w:type="dxa"/>
            <w:vAlign w:val="bottom"/>
            <w:gridSpan w:val="26"/>
          </w:tcPr>
          <w:p>
            <w:pPr>
              <w:spacing w:after="0"/>
              <w:rPr>
                <w:rFonts w:ascii="Times New Roman" w:cs="Times New Roman" w:eastAsia="Times New Roman" w:hAnsi="Times New Roman"/>
                <w:sz w:val="18"/>
                <w:szCs w:val="18"/>
                <w:color w:val="0000EE"/>
              </w:rPr>
            </w:pPr>
            <w:hyperlink r:id="rId465">
              <w:r>
                <w:rPr>
                  <w:rFonts w:ascii="Times New Roman" w:cs="Times New Roman" w:eastAsia="Times New Roman" w:hAnsi="Times New Roman"/>
                  <w:sz w:val="18"/>
                  <w:szCs w:val="18"/>
                  <w:color w:val="0000EE"/>
                </w:rPr>
                <w:t>The Registrant’s 2024 Employee Stock Purchase Plan.</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10.18†*</w:t>
            </w:r>
          </w:p>
        </w:tc>
        <w:tc>
          <w:tcPr>
            <w:tcW w:w="540" w:type="dxa"/>
            <w:vAlign w:val="bottom"/>
          </w:tcPr>
          <w:p>
            <w:pPr>
              <w:spacing w:after="0"/>
              <w:rPr>
                <w:sz w:val="24"/>
                <w:szCs w:val="24"/>
                <w:color w:val="auto"/>
              </w:rPr>
            </w:pPr>
          </w:p>
        </w:tc>
        <w:tc>
          <w:tcPr>
            <w:tcW w:w="81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466">
              <w:r>
                <w:rPr>
                  <w:rFonts w:ascii="Times New Roman" w:cs="Times New Roman" w:eastAsia="Times New Roman" w:hAnsi="Times New Roman"/>
                  <w:sz w:val="18"/>
                  <w:szCs w:val="18"/>
                  <w:color w:val="0000EE"/>
                  <w:w w:val="97"/>
                </w:rPr>
                <w:t>Strategic Collaboration Agreement, by and between the Registrant and Glaxosmithkline LLC, dated August 1, 2022.</w:t>
              </w:r>
            </w:hyperlink>
          </w:p>
        </w:tc>
        <w:tc>
          <w:tcPr>
            <w:tcW w:w="1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10.19#*</w:t>
            </w:r>
          </w:p>
        </w:tc>
        <w:tc>
          <w:tcPr>
            <w:tcW w:w="540" w:type="dxa"/>
            <w:vAlign w:val="bottom"/>
          </w:tcPr>
          <w:p>
            <w:pPr>
              <w:spacing w:after="0"/>
              <w:rPr>
                <w:sz w:val="24"/>
                <w:szCs w:val="24"/>
                <w:color w:val="auto"/>
              </w:rPr>
            </w:pPr>
          </w:p>
        </w:tc>
        <w:tc>
          <w:tcPr>
            <w:tcW w:w="100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7"/>
              </w:rPr>
            </w:pPr>
            <w:hyperlink r:id="rId467">
              <w:r>
                <w:rPr>
                  <w:rFonts w:ascii="Times New Roman" w:cs="Times New Roman" w:eastAsia="Times New Roman" w:hAnsi="Times New Roman"/>
                  <w:sz w:val="18"/>
                  <w:szCs w:val="18"/>
                  <w:color w:val="0000EE"/>
                  <w:w w:val="97"/>
                </w:rPr>
                <w:t>Credit Agreement, by and among the Registrant, the lenders party thereto, Ares Capital Corporation and Ares Capital Management LLC, dated</w:t>
              </w:r>
            </w:hyperlink>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Borders>
              <w:bottom w:val="single" w:sz="8" w:color="0000EE"/>
            </w:tcBorders>
            <w:gridSpan w:val="3"/>
          </w:tcPr>
          <w:p>
            <w:pPr>
              <w:spacing w:after="0" w:line="190" w:lineRule="exact"/>
              <w:rPr>
                <w:rFonts w:ascii="Times New Roman" w:cs="Times New Roman" w:eastAsia="Times New Roman" w:hAnsi="Times New Roman"/>
                <w:sz w:val="18"/>
                <w:szCs w:val="18"/>
                <w:color w:val="0000EE"/>
                <w:w w:val="97"/>
              </w:rPr>
            </w:pPr>
            <w:hyperlink r:id="rId467">
              <w:r>
                <w:rPr>
                  <w:rFonts w:ascii="Times New Roman" w:cs="Times New Roman" w:eastAsia="Times New Roman" w:hAnsi="Times New Roman"/>
                  <w:sz w:val="18"/>
                  <w:szCs w:val="18"/>
                  <w:color w:val="0000EE"/>
                  <w:w w:val="97"/>
                </w:rPr>
                <w:t>September 22, 2022.</w:t>
              </w:r>
            </w:hyperlink>
          </w:p>
        </w:tc>
        <w:tc>
          <w:tcPr>
            <w:tcW w:w="854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10.20#*</w:t>
            </w:r>
          </w:p>
        </w:tc>
        <w:tc>
          <w:tcPr>
            <w:tcW w:w="540" w:type="dxa"/>
            <w:vAlign w:val="bottom"/>
          </w:tcPr>
          <w:p>
            <w:pPr>
              <w:spacing w:after="0"/>
              <w:rPr>
                <w:sz w:val="24"/>
                <w:szCs w:val="24"/>
                <w:color w:val="auto"/>
              </w:rPr>
            </w:pPr>
          </w:p>
        </w:tc>
        <w:tc>
          <w:tcPr>
            <w:tcW w:w="99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7"/>
              </w:rPr>
            </w:pPr>
            <w:hyperlink r:id="rId468">
              <w:r>
                <w:rPr>
                  <w:rFonts w:ascii="Times New Roman" w:cs="Times New Roman" w:eastAsia="Times New Roman" w:hAnsi="Times New Roman"/>
                  <w:sz w:val="18"/>
                  <w:szCs w:val="18"/>
                  <w:color w:val="0000EE"/>
                  <w:w w:val="97"/>
                </w:rPr>
                <w:t>Limited Waiver and First Amendment to Credit Agreement, by and among the Registrant, the loan party signatories and lenders party thereto,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20" w:type="dxa"/>
            <w:vAlign w:val="bottom"/>
            <w:gridSpan w:val="26"/>
          </w:tcPr>
          <w:p>
            <w:pPr>
              <w:spacing w:after="0" w:line="190" w:lineRule="exact"/>
              <w:rPr>
                <w:rFonts w:ascii="Times New Roman" w:cs="Times New Roman" w:eastAsia="Times New Roman" w:hAnsi="Times New Roman"/>
                <w:sz w:val="18"/>
                <w:szCs w:val="18"/>
                <w:color w:val="0000EE"/>
              </w:rPr>
            </w:pPr>
            <w:hyperlink r:id="rId468">
              <w:r>
                <w:rPr>
                  <w:rFonts w:ascii="Times New Roman" w:cs="Times New Roman" w:eastAsia="Times New Roman" w:hAnsi="Times New Roman"/>
                  <w:sz w:val="18"/>
                  <w:szCs w:val="18"/>
                  <w:color w:val="0000EE"/>
                </w:rPr>
                <w:t>and Ares Capital Corporation as administrative agent, dated April 25, 2023.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10.21#*</w:t>
            </w:r>
          </w:p>
        </w:tc>
        <w:tc>
          <w:tcPr>
            <w:tcW w:w="540" w:type="dxa"/>
            <w:vAlign w:val="bottom"/>
          </w:tcPr>
          <w:p>
            <w:pPr>
              <w:spacing w:after="0"/>
              <w:rPr>
                <w:sz w:val="24"/>
                <w:szCs w:val="24"/>
                <w:color w:val="auto"/>
              </w:rPr>
            </w:pPr>
          </w:p>
        </w:tc>
        <w:tc>
          <w:tcPr>
            <w:tcW w:w="10020" w:type="dxa"/>
            <w:vAlign w:val="bottom"/>
            <w:gridSpan w:val="26"/>
          </w:tcPr>
          <w:p>
            <w:pPr>
              <w:spacing w:after="0"/>
              <w:rPr>
                <w:rFonts w:ascii="Times New Roman" w:cs="Times New Roman" w:eastAsia="Times New Roman" w:hAnsi="Times New Roman"/>
                <w:sz w:val="18"/>
                <w:szCs w:val="18"/>
                <w:color w:val="0000EE"/>
                <w:w w:val="98"/>
              </w:rPr>
            </w:pPr>
            <w:hyperlink r:id="rId469">
              <w:r>
                <w:rPr>
                  <w:rFonts w:ascii="Times New Roman" w:cs="Times New Roman" w:eastAsia="Times New Roman" w:hAnsi="Times New Roman"/>
                  <w:sz w:val="18"/>
                  <w:szCs w:val="18"/>
                  <w:color w:val="0000EE"/>
                  <w:w w:val="98"/>
                </w:rPr>
                <w:t>Second Amendment to Credit Agreement, by and among the Registrant, the loan party signatories and lenders party thereto, and Ares Capital</w:t>
              </w:r>
            </w:hyperlink>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80" w:type="dxa"/>
            <w:vAlign w:val="bottom"/>
            <w:tcBorders>
              <w:top w:val="single" w:sz="8" w:color="0000EE"/>
              <w:bottom w:val="single" w:sz="8" w:color="0000EE"/>
            </w:tcBorders>
            <w:gridSpan w:val="7"/>
          </w:tcPr>
          <w:p>
            <w:pPr>
              <w:spacing w:after="0" w:line="190" w:lineRule="exact"/>
              <w:rPr>
                <w:rFonts w:ascii="Times New Roman" w:cs="Times New Roman" w:eastAsia="Times New Roman" w:hAnsi="Times New Roman"/>
                <w:sz w:val="18"/>
                <w:szCs w:val="18"/>
                <w:color w:val="0000EE"/>
                <w:w w:val="96"/>
              </w:rPr>
            </w:pPr>
            <w:hyperlink r:id="rId469">
              <w:r>
                <w:rPr>
                  <w:rFonts w:ascii="Times New Roman" w:cs="Times New Roman" w:eastAsia="Times New Roman" w:hAnsi="Times New Roman"/>
                  <w:sz w:val="18"/>
                  <w:szCs w:val="18"/>
                  <w:color w:val="0000EE"/>
                  <w:w w:val="96"/>
                </w:rPr>
                <w:t>Corporation as administrative agent, dated October 11, 2023.</w:t>
              </w:r>
            </w:hyperlink>
          </w:p>
        </w:tc>
        <w:tc>
          <w:tcPr>
            <w:tcW w:w="5620" w:type="dxa"/>
            <w:vAlign w:val="bottom"/>
            <w:tcBorders>
              <w:top w:val="single" w:sz="8" w:color="0000EE"/>
            </w:tcBorders>
            <w:gridSpan w:val="17"/>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10.22†*</w:t>
            </w:r>
          </w:p>
        </w:tc>
        <w:tc>
          <w:tcPr>
            <w:tcW w:w="540" w:type="dxa"/>
            <w:vAlign w:val="bottom"/>
          </w:tcPr>
          <w:p>
            <w:pPr>
              <w:spacing w:after="0"/>
              <w:rPr>
                <w:sz w:val="24"/>
                <w:szCs w:val="24"/>
                <w:color w:val="auto"/>
              </w:rPr>
            </w:pPr>
          </w:p>
        </w:tc>
        <w:tc>
          <w:tcPr>
            <w:tcW w:w="7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470">
              <w:r>
                <w:rPr>
                  <w:rFonts w:ascii="Times New Roman" w:cs="Times New Roman" w:eastAsia="Times New Roman" w:hAnsi="Times New Roman"/>
                  <w:sz w:val="18"/>
                  <w:szCs w:val="18"/>
                  <w:color w:val="0000EE"/>
                  <w:w w:val="97"/>
                </w:rPr>
                <w:t>Master Agreement, by and between the Registrant and Recursion Pharmaceuticals, Inc., dated November 3, 2023.</w:t>
              </w:r>
            </w:hyperlink>
          </w:p>
        </w:tc>
        <w:tc>
          <w:tcPr>
            <w:tcW w:w="20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10.23+*</w:t>
            </w:r>
          </w:p>
        </w:tc>
        <w:tc>
          <w:tcPr>
            <w:tcW w:w="540" w:type="dxa"/>
            <w:vAlign w:val="bottom"/>
          </w:tcPr>
          <w:p>
            <w:pPr>
              <w:spacing w:after="0"/>
              <w:rPr>
                <w:sz w:val="24"/>
                <w:szCs w:val="24"/>
                <w:color w:val="auto"/>
              </w:rPr>
            </w:pPr>
          </w:p>
        </w:tc>
        <w:tc>
          <w:tcPr>
            <w:tcW w:w="10020" w:type="dxa"/>
            <w:vAlign w:val="bottom"/>
            <w:gridSpan w:val="26"/>
          </w:tcPr>
          <w:p>
            <w:pPr>
              <w:spacing w:after="0"/>
              <w:rPr>
                <w:rFonts w:ascii="Times New Roman" w:cs="Times New Roman" w:eastAsia="Times New Roman" w:hAnsi="Times New Roman"/>
                <w:sz w:val="18"/>
                <w:szCs w:val="18"/>
                <w:color w:val="0000EE"/>
              </w:rPr>
            </w:pPr>
            <w:hyperlink r:id="rId471">
              <w:r>
                <w:rPr>
                  <w:rFonts w:ascii="Times New Roman" w:cs="Times New Roman" w:eastAsia="Times New Roman" w:hAnsi="Times New Roman"/>
                  <w:sz w:val="18"/>
                  <w:szCs w:val="18"/>
                  <w:color w:val="0000EE"/>
                </w:rPr>
                <w:t>Employment Agreement, by and between the Registrant and Andy Polovin, dated January 1, 2023.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10.24†*</w:t>
            </w:r>
          </w:p>
        </w:tc>
        <w:tc>
          <w:tcPr>
            <w:tcW w:w="540" w:type="dxa"/>
            <w:vAlign w:val="bottom"/>
          </w:tcPr>
          <w:p>
            <w:pPr>
              <w:spacing w:after="0"/>
              <w:rPr>
                <w:sz w:val="24"/>
                <w:szCs w:val="24"/>
                <w:color w:val="auto"/>
              </w:rPr>
            </w:pPr>
          </w:p>
        </w:tc>
        <w:tc>
          <w:tcPr>
            <w:tcW w:w="82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472">
              <w:r>
                <w:rPr>
                  <w:rFonts w:ascii="Times New Roman" w:cs="Times New Roman" w:eastAsia="Times New Roman" w:hAnsi="Times New Roman"/>
                  <w:sz w:val="18"/>
                  <w:szCs w:val="18"/>
                  <w:color w:val="0000EE"/>
                  <w:w w:val="97"/>
                </w:rPr>
                <w:t>Amendment to Master Services Agreement, by and between Registrant and AstraZeneca AB, dated October 29, 2022.</w:t>
              </w:r>
            </w:hyperlink>
          </w:p>
        </w:tc>
        <w:tc>
          <w:tcPr>
            <w:tcW w:w="1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10.25†*</w:t>
            </w:r>
          </w:p>
        </w:tc>
        <w:tc>
          <w:tcPr>
            <w:tcW w:w="540" w:type="dxa"/>
            <w:vAlign w:val="bottom"/>
          </w:tcPr>
          <w:p>
            <w:pPr>
              <w:spacing w:after="0"/>
              <w:rPr>
                <w:sz w:val="24"/>
                <w:szCs w:val="24"/>
                <w:color w:val="auto"/>
              </w:rPr>
            </w:pPr>
          </w:p>
        </w:tc>
        <w:tc>
          <w:tcPr>
            <w:tcW w:w="92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r:id="rId473">
              <w:r>
                <w:rPr>
                  <w:rFonts w:ascii="Times New Roman" w:cs="Times New Roman" w:eastAsia="Times New Roman" w:hAnsi="Times New Roman"/>
                  <w:sz w:val="18"/>
                  <w:szCs w:val="18"/>
                  <w:color w:val="0000EE"/>
                  <w:w w:val="97"/>
                </w:rPr>
                <w:t>Second Amendment to Master Services Agreement, by and between Registrant and AstraZeneca UK Ltd, dated February 21, 2023.</w:t>
              </w:r>
            </w:hyperlink>
          </w:p>
        </w:tc>
        <w:tc>
          <w:tcPr>
            <w:tcW w:w="8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10.26†*</w:t>
            </w:r>
          </w:p>
        </w:tc>
        <w:tc>
          <w:tcPr>
            <w:tcW w:w="540" w:type="dxa"/>
            <w:vAlign w:val="bottom"/>
          </w:tcPr>
          <w:p>
            <w:pPr>
              <w:spacing w:after="0"/>
              <w:rPr>
                <w:sz w:val="24"/>
                <w:szCs w:val="24"/>
                <w:color w:val="auto"/>
              </w:rPr>
            </w:pPr>
          </w:p>
        </w:tc>
        <w:tc>
          <w:tcPr>
            <w:tcW w:w="10020" w:type="dxa"/>
            <w:vAlign w:val="bottom"/>
            <w:gridSpan w:val="26"/>
          </w:tcPr>
          <w:p>
            <w:pPr>
              <w:spacing w:after="0"/>
              <w:rPr>
                <w:rFonts w:ascii="Times New Roman" w:cs="Times New Roman" w:eastAsia="Times New Roman" w:hAnsi="Times New Roman"/>
                <w:sz w:val="18"/>
                <w:szCs w:val="18"/>
                <w:color w:val="0000EE"/>
              </w:rPr>
            </w:pPr>
            <w:hyperlink r:id="rId474">
              <w:r>
                <w:rPr>
                  <w:rFonts w:ascii="Times New Roman" w:cs="Times New Roman" w:eastAsia="Times New Roman" w:hAnsi="Times New Roman"/>
                  <w:sz w:val="18"/>
                  <w:szCs w:val="18"/>
                  <w:color w:val="0000EE"/>
                </w:rPr>
                <w:t>Third Amendment to Master Services Agreement, by and between Registrant and AstraZeneca AB, dated December 18, 2023.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10.27†*</w:t>
            </w:r>
          </w:p>
        </w:tc>
        <w:tc>
          <w:tcPr>
            <w:tcW w:w="540" w:type="dxa"/>
            <w:vAlign w:val="bottom"/>
          </w:tcPr>
          <w:p>
            <w:pPr>
              <w:spacing w:after="0"/>
              <w:rPr>
                <w:sz w:val="24"/>
                <w:szCs w:val="24"/>
                <w:color w:val="auto"/>
              </w:rPr>
            </w:pPr>
          </w:p>
        </w:tc>
        <w:tc>
          <w:tcPr>
            <w:tcW w:w="10020" w:type="dxa"/>
            <w:vAlign w:val="bottom"/>
            <w:gridSpan w:val="26"/>
          </w:tcPr>
          <w:p>
            <w:pPr>
              <w:spacing w:after="0"/>
              <w:rPr>
                <w:rFonts w:ascii="Times New Roman" w:cs="Times New Roman" w:eastAsia="Times New Roman" w:hAnsi="Times New Roman"/>
                <w:sz w:val="18"/>
                <w:szCs w:val="18"/>
                <w:color w:val="0000EE"/>
                <w:w w:val="98"/>
              </w:rPr>
            </w:pPr>
            <w:hyperlink r:id="rId475">
              <w:r>
                <w:rPr>
                  <w:rFonts w:ascii="Times New Roman" w:cs="Times New Roman" w:eastAsia="Times New Roman" w:hAnsi="Times New Roman"/>
                  <w:sz w:val="18"/>
                  <w:szCs w:val="18"/>
                  <w:color w:val="0000EE"/>
                  <w:w w:val="98"/>
                </w:rPr>
                <w:t>Joint Venture Agreement, by and among Softbank Group Corporation, Softbank Group Japan Corporation, the Registrant and Pegasos Corp.,</w:t>
              </w:r>
            </w:hyperlink>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Borders>
              <w:top w:val="single" w:sz="8" w:color="0000EE"/>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r:id="rId475">
              <w:r>
                <w:rPr>
                  <w:rFonts w:ascii="Times New Roman" w:cs="Times New Roman" w:eastAsia="Times New Roman" w:hAnsi="Times New Roman"/>
                  <w:sz w:val="18"/>
                  <w:szCs w:val="18"/>
                  <w:color w:val="0000EE"/>
                  <w:w w:val="96"/>
                </w:rPr>
                <w:t>dated May 18, 2024.</w:t>
              </w:r>
            </w:hyperlink>
          </w:p>
        </w:tc>
        <w:tc>
          <w:tcPr>
            <w:tcW w:w="8420" w:type="dxa"/>
            <w:vAlign w:val="bottom"/>
            <w:tcBorders>
              <w:top w:val="single" w:sz="8" w:color="0000EE"/>
            </w:tcBorders>
            <w:gridSpan w:val="21"/>
          </w:tcPr>
          <w:p>
            <w:pPr>
              <w:spacing w:after="0"/>
              <w:rPr>
                <w:sz w:val="16"/>
                <w:szCs w:val="16"/>
                <w:color w:val="auto"/>
              </w:rPr>
            </w:pPr>
          </w:p>
        </w:tc>
        <w:tc>
          <w:tcPr>
            <w:tcW w:w="1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10.28†*</w:t>
            </w:r>
          </w:p>
        </w:tc>
        <w:tc>
          <w:tcPr>
            <w:tcW w:w="540" w:type="dxa"/>
            <w:vAlign w:val="bottom"/>
          </w:tcPr>
          <w:p>
            <w:pPr>
              <w:spacing w:after="0"/>
              <w:rPr>
                <w:sz w:val="24"/>
                <w:szCs w:val="24"/>
                <w:color w:val="auto"/>
              </w:rPr>
            </w:pPr>
          </w:p>
        </w:tc>
        <w:tc>
          <w:tcPr>
            <w:tcW w:w="10020" w:type="dxa"/>
            <w:vAlign w:val="bottom"/>
            <w:gridSpan w:val="26"/>
          </w:tcPr>
          <w:p>
            <w:pPr>
              <w:spacing w:after="0"/>
              <w:rPr>
                <w:rFonts w:ascii="Times New Roman" w:cs="Times New Roman" w:eastAsia="Times New Roman" w:hAnsi="Times New Roman"/>
                <w:sz w:val="18"/>
                <w:szCs w:val="18"/>
                <w:color w:val="0000EE"/>
              </w:rPr>
            </w:pPr>
            <w:hyperlink r:id="rId476">
              <w:r>
                <w:rPr>
                  <w:rFonts w:ascii="Times New Roman" w:cs="Times New Roman" w:eastAsia="Times New Roman" w:hAnsi="Times New Roman"/>
                  <w:sz w:val="18"/>
                  <w:szCs w:val="18"/>
                  <w:color w:val="0000EE"/>
                </w:rPr>
                <w:t>Data License Agreement by and between the Registrant and Pegasos Corp., dated May 18, 2024.</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10.29†*</w:t>
            </w:r>
          </w:p>
        </w:tc>
        <w:tc>
          <w:tcPr>
            <w:tcW w:w="540" w:type="dxa"/>
            <w:vAlign w:val="bottom"/>
          </w:tcPr>
          <w:p>
            <w:pPr>
              <w:spacing w:after="0"/>
              <w:rPr>
                <w:sz w:val="24"/>
                <w:szCs w:val="24"/>
                <w:color w:val="auto"/>
              </w:rPr>
            </w:pPr>
          </w:p>
        </w:tc>
        <w:tc>
          <w:tcPr>
            <w:tcW w:w="10020" w:type="dxa"/>
            <w:vAlign w:val="bottom"/>
            <w:gridSpan w:val="26"/>
          </w:tcPr>
          <w:p>
            <w:pPr>
              <w:spacing w:after="0"/>
              <w:rPr>
                <w:rFonts w:ascii="Times New Roman" w:cs="Times New Roman" w:eastAsia="Times New Roman" w:hAnsi="Times New Roman"/>
                <w:sz w:val="18"/>
                <w:szCs w:val="18"/>
                <w:color w:val="0000EE"/>
              </w:rPr>
            </w:pPr>
            <w:hyperlink r:id="rId477">
              <w:r>
                <w:rPr>
                  <w:rFonts w:ascii="Times New Roman" w:cs="Times New Roman" w:eastAsia="Times New Roman" w:hAnsi="Times New Roman"/>
                  <w:sz w:val="18"/>
                  <w:szCs w:val="18"/>
                  <w:color w:val="0000EE"/>
                </w:rPr>
                <w:t>Intellectual Property License Agreement, by and between the Registrant and Pegasos Corp., dated May 18, 2024.</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10.30†*</w:t>
            </w:r>
          </w:p>
        </w:tc>
        <w:tc>
          <w:tcPr>
            <w:tcW w:w="540" w:type="dxa"/>
            <w:vAlign w:val="bottom"/>
          </w:tcPr>
          <w:p>
            <w:pPr>
              <w:spacing w:after="0"/>
              <w:rPr>
                <w:sz w:val="24"/>
                <w:szCs w:val="24"/>
                <w:color w:val="auto"/>
              </w:rPr>
            </w:pPr>
          </w:p>
        </w:tc>
        <w:tc>
          <w:tcPr>
            <w:tcW w:w="10020" w:type="dxa"/>
            <w:vAlign w:val="bottom"/>
            <w:gridSpan w:val="26"/>
          </w:tcPr>
          <w:p>
            <w:pPr>
              <w:spacing w:after="0"/>
              <w:rPr>
                <w:rFonts w:ascii="Times New Roman" w:cs="Times New Roman" w:eastAsia="Times New Roman" w:hAnsi="Times New Roman"/>
                <w:sz w:val="18"/>
                <w:szCs w:val="18"/>
                <w:color w:val="0000EE"/>
              </w:rPr>
            </w:pPr>
            <w:hyperlink r:id="rId478">
              <w:r>
                <w:rPr>
                  <w:rFonts w:ascii="Times New Roman" w:cs="Times New Roman" w:eastAsia="Times New Roman" w:hAnsi="Times New Roman"/>
                  <w:sz w:val="18"/>
                  <w:szCs w:val="18"/>
                  <w:color w:val="0000EE"/>
                </w:rPr>
                <w:t>Amendment No. 1 to Strategic Collaboration Agreement, by and between the Registrant and GlaxoSmithKline LLC, dated May 20, 2024.</w:t>
              </w:r>
            </w:hyperlink>
          </w:p>
        </w:tc>
        <w:tc>
          <w:tcPr>
            <w:tcW w:w="0" w:type="dxa"/>
            <w:vAlign w:val="bottom"/>
          </w:tcPr>
          <w:p>
            <w:pPr>
              <w:spacing w:after="0"/>
              <w:rPr>
                <w:sz w:val="1"/>
                <w:szCs w:val="1"/>
                <w:color w:val="auto"/>
              </w:rPr>
            </w:pPr>
          </w:p>
        </w:tc>
      </w:tr>
      <w:tr>
        <w:trPr>
          <w:trHeight w:val="30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540" w:type="dxa"/>
            <w:vAlign w:val="bottom"/>
          </w:tcPr>
          <w:p>
            <w:pPr>
              <w:spacing w:after="0"/>
              <w:rPr>
                <w:sz w:val="24"/>
                <w:szCs w:val="24"/>
                <w:color w:val="auto"/>
              </w:rPr>
            </w:pPr>
          </w:p>
        </w:tc>
        <w:tc>
          <w:tcPr>
            <w:tcW w:w="966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479">
              <w:r>
                <w:rPr>
                  <w:rFonts w:ascii="Times New Roman" w:cs="Times New Roman" w:eastAsia="Times New Roman" w:hAnsi="Times New Roman"/>
                  <w:sz w:val="18"/>
                  <w:szCs w:val="18"/>
                  <w:color w:val="0000EE"/>
                </w:rPr>
                <w:t>List of Subsidiaries of the Registrant.</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100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62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448">
              <w:r>
                <w:rPr>
                  <w:rFonts w:ascii="Times New Roman" w:cs="Times New Roman" w:eastAsia="Times New Roman" w:hAnsi="Times New Roman"/>
                  <w:sz w:val="18"/>
                  <w:szCs w:val="18"/>
                  <w:color w:val="0000EE"/>
                </w:rPr>
                <w:t>Consent of Cooley LLP (included in Exhibit 5.1).</w:t>
              </w:r>
            </w:hyperlink>
          </w:p>
        </w:tc>
        <w:tc>
          <w:tcPr>
            <w:tcW w:w="37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540" w:type="dxa"/>
            <w:vAlign w:val="bottom"/>
            <w:gridSpan w:val="9"/>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r:id="rId480">
              <w:r>
                <w:rPr>
                  <w:rFonts w:ascii="Times New Roman" w:cs="Times New Roman" w:eastAsia="Times New Roman" w:hAnsi="Times New Roman"/>
                  <w:sz w:val="18"/>
                  <w:szCs w:val="18"/>
                  <w:color w:val="0000EE"/>
                  <w:w w:val="97"/>
                </w:rPr>
                <w:t>Power of Attorney (included on the signature page of the initial filing of this registration statement).</w:t>
              </w:r>
            </w:hyperlink>
          </w:p>
        </w:tc>
        <w:tc>
          <w:tcPr>
            <w:tcW w:w="30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20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481">
              <w:r>
                <w:rPr>
                  <w:rFonts w:ascii="Times New Roman" w:cs="Times New Roman" w:eastAsia="Times New Roman" w:hAnsi="Times New Roman"/>
                  <w:sz w:val="18"/>
                  <w:szCs w:val="18"/>
                  <w:color w:val="0000EE"/>
                  <w:w w:val="95"/>
                </w:rPr>
                <w:t>Filing Fee Table.</w:t>
              </w:r>
            </w:hyperlink>
          </w:p>
        </w:tc>
        <w:tc>
          <w:tcPr>
            <w:tcW w:w="882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9184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85" w:lineRule="exact"/>
        <w:rPr>
          <w:sz w:val="20"/>
          <w:szCs w:val="20"/>
          <w:color w:val="auto"/>
        </w:rPr>
      </w:pPr>
    </w:p>
    <w:p>
      <w:pPr>
        <w:ind w:left="460" w:hanging="455"/>
        <w:spacing w:after="0"/>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1" w:lineRule="exact"/>
        <w:rPr>
          <w:sz w:val="20"/>
          <w:szCs w:val="20"/>
          <w:color w:val="auto"/>
        </w:rPr>
      </w:pPr>
    </w:p>
    <w:p>
      <w:pPr>
        <w:ind w:left="460" w:hanging="455"/>
        <w:spacing w:after="0"/>
        <w:tabs>
          <w:tab w:leader="none" w:pos="4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3" w:lineRule="exact"/>
        <w:rPr>
          <w:sz w:val="20"/>
          <w:szCs w:val="20"/>
          <w:color w:val="auto"/>
        </w:rPr>
      </w:pPr>
    </w:p>
    <w:p>
      <w:pPr>
        <w:ind w:left="460" w:hanging="455"/>
        <w:spacing w:after="0" w:line="243" w:lineRule="auto"/>
        <w:tabs>
          <w:tab w:leader="none" w:pos="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spacing w:after="0" w:line="1" w:lineRule="exact"/>
        <w:rPr>
          <w:sz w:val="20"/>
          <w:szCs w:val="20"/>
          <w:color w:val="auto"/>
        </w:rPr>
      </w:pPr>
    </w:p>
    <w:p>
      <w:pPr>
        <w:ind w:left="460" w:hanging="455"/>
        <w:spacing w:after="0" w:line="247" w:lineRule="auto"/>
        <w:tabs>
          <w:tab w:leader="none" w:pos="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7" w:right="2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Chicago, Illinois, on this 13th day of June, 2024.</w:t>
      </w:r>
    </w:p>
    <w:p>
      <w:pPr>
        <w:spacing w:after="0" w:line="19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55" w:lineRule="exact"/>
        <w:rPr>
          <w:sz w:val="20"/>
          <w:szCs w:val="20"/>
          <w:color w:val="auto"/>
        </w:rPr>
      </w:pPr>
    </w:p>
    <w:tbl>
      <w:tblPr>
        <w:tblLayout w:type="fixed"/>
        <w:tblInd w:w="682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Lefkofsky</w:t>
            </w:r>
          </w:p>
        </w:tc>
      </w:tr>
      <w:tr>
        <w:trPr>
          <w:trHeight w:val="198"/>
        </w:trPr>
        <w:tc>
          <w:tcPr>
            <w:tcW w:w="5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6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tcPr>
          <w:p>
            <w:pPr>
              <w:spacing w:after="0"/>
              <w:rPr>
                <w:sz w:val="14"/>
                <w:szCs w:val="14"/>
                <w:color w:val="auto"/>
              </w:rPr>
            </w:pPr>
          </w:p>
        </w:tc>
      </w:tr>
      <w:tr>
        <w:trPr>
          <w:trHeight w:val="413"/>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Lefkofsky</w:t>
            </w:r>
          </w:p>
        </w:tc>
        <w:tc>
          <w:tcPr>
            <w:tcW w:w="226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6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2"/>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2"/>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2"/>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49"/>
        </w:trPr>
        <w:tc>
          <w:tcPr>
            <w:tcW w:w="2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II-7</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tcPr>
          <w:p>
            <w:pPr>
              <w:spacing w:after="0"/>
              <w:rPr>
                <w:sz w:val="14"/>
                <w:szCs w:val="14"/>
                <w:color w:val="auto"/>
              </w:rPr>
            </w:pPr>
          </w:p>
        </w:tc>
      </w:tr>
      <w:tr>
        <w:trPr>
          <w:trHeight w:val="41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3"/>
          </w:tcPr>
          <w:p>
            <w:pPr>
              <w:jc w:val="center"/>
              <w:ind w:left="245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R. Epstein</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3"/>
          </w:tcPr>
          <w:p>
            <w:pPr>
              <w:jc w:val="center"/>
              <w:ind w:left="245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3"/>
          </w:tcPr>
          <w:p>
            <w:pPr>
              <w:jc w:val="center"/>
              <w:ind w:left="245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3"/>
          </w:tcPr>
          <w:p>
            <w:pPr>
              <w:jc w:val="center"/>
              <w:ind w:left="245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3"/>
          </w:tcPr>
          <w:p>
            <w:pPr>
              <w:jc w:val="center"/>
              <w:ind w:left="245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3"/>
          </w:tcPr>
          <w:p>
            <w:pPr>
              <w:jc w:val="center"/>
              <w:ind w:left="2452"/>
              <w:spacing w:after="0"/>
              <w:rPr>
                <w:sz w:val="20"/>
                <w:szCs w:val="20"/>
                <w:color w:val="auto"/>
              </w:rPr>
            </w:pPr>
            <w:r>
              <w:rPr>
                <w:rFonts w:ascii="Times New Roman" w:cs="Times New Roman" w:eastAsia="Times New Roman" w:hAnsi="Times New Roman"/>
                <w:sz w:val="18"/>
                <w:szCs w:val="18"/>
                <w:color w:val="auto"/>
                <w:w w:val="97"/>
              </w:rPr>
              <w:t>June 13,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4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Eric Lefkofsky</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8"/>
        </w:trPr>
        <w:tc>
          <w:tcPr>
            <w:tcW w:w="500" w:type="dxa"/>
            <w:vAlign w:val="bottom"/>
          </w:tcPr>
          <w:p>
            <w:pPr>
              <w:spacing w:after="0"/>
              <w:rPr>
                <w:sz w:val="17"/>
                <w:szCs w:val="17"/>
                <w:color w:val="auto"/>
              </w:rPr>
            </w:pPr>
          </w:p>
        </w:tc>
        <w:tc>
          <w:tcPr>
            <w:tcW w:w="236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Eric Lefkofsky</w:t>
            </w:r>
          </w:p>
        </w:tc>
        <w:tc>
          <w:tcPr>
            <w:tcW w:w="16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28"/>
        </w:trPr>
        <w:tc>
          <w:tcPr>
            <w:tcW w:w="50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54"/>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4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II-8</w:t>
            </w:r>
          </w:p>
        </w:tc>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880"/>
          </w:cols>
          <w:pgMar w:left="320" w:top="447" w:right="69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hereby consent to the use in this Amendment No. 2 to the Registration Statement on Form S-1 of Tempus AI, Inc. of our report dated February 28, 2024 relating to the financial statements of Tempus AI, Inc., which appears in this Registration Statement.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13, 2024</w:t>
      </w:r>
    </w:p>
    <w:sectPr>
      <w:pgSz w:w="11900" w:h="16838" w:orient="portrait"/>
      <w:cols w:equalWidth="0" w:num="1">
        <w:col w:w="11340"/>
      </w:cols>
      <w:pgMar w:left="32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1)"/>
      <w:numFmt w:val="decimal"/>
      <w:start w:val="1"/>
    </w:lvl>
  </w:abstractNum>
  <w:abstractNum w:abstractNumId="11">
    <w:nsid w:val="1A27709E"/>
    <w:multiLevelType w:val="hybridMultilevel"/>
    <w:lvl w:ilvl="0">
      <w:lvlJc w:val="left"/>
      <w:lvlText w:val="(%1)"/>
      <w:numFmt w:val="decimal"/>
      <w:start w:val="1"/>
    </w:lvl>
  </w:abstractNum>
  <w:abstractNum w:abstractNumId="12">
    <w:nsid w:val="71EA1109"/>
    <w:multiLevelType w:val="hybridMultilevel"/>
    <w:lvl w:ilvl="0">
      <w:lvlJc w:val="left"/>
      <w:lvlText w:val="(%1)"/>
      <w:numFmt w:val="decimal"/>
      <w:start w:val="1"/>
    </w:lvl>
  </w:abstractNum>
  <w:abstractNum w:abstractNumId="13">
    <w:nsid w:val="100F59DC"/>
    <w:multiLevelType w:val="hybridMultilevel"/>
    <w:lvl w:ilvl="0">
      <w:lvlJc w:val="left"/>
      <w:lvlText w:val="%1"/>
      <w:numFmt w:val="decimal"/>
      <w:start w:val="1"/>
    </w:lvl>
    <w:lvl w:ilvl="1">
      <w:lvlJc w:val="left"/>
      <w:lvlText w:val="(%2)"/>
      <w:numFmt w:val="lowerRoman"/>
      <w:start w:val="1"/>
    </w:lvl>
  </w:abstractNum>
  <w:abstractNum w:abstractNumId="14">
    <w:nsid w:val="7FB7E0AA"/>
    <w:multiLevelType w:val="hybridMultilevel"/>
    <w:lvl w:ilvl="0">
      <w:lvlJc w:val="left"/>
      <w:lvlText w:val="(%1)"/>
      <w:numFmt w:val="decimal"/>
      <w:start w:val="2"/>
    </w:lvl>
    <w:lvl w:ilvl="1">
      <w:lvlJc w:val="left"/>
      <w:lvlText w:val="%2"/>
      <w:numFmt w:val="lowerRoman"/>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1)"/>
      <w:numFmt w:val="decimal"/>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1)"/>
      <w:numFmt w:val="decimal"/>
      <w:start w:val="1"/>
    </w:lvl>
  </w:abstractNum>
  <w:abstractNum w:abstractNumId="56">
    <w:nsid w:val="53299938"/>
    <w:multiLevelType w:val="hybridMultilevel"/>
    <w:lvl w:ilvl="0">
      <w:lvlJc w:val="left"/>
      <w:lvlText w:val="(%1)"/>
      <w:numFmt w:val="decimal"/>
      <w:start w:val="4"/>
    </w:lvl>
  </w:abstractNum>
  <w:abstractNum w:abstractNumId="57">
    <w:nsid w:val="1FBFE8E0"/>
    <w:multiLevelType w:val="hybridMultilevel"/>
    <w:lvl w:ilvl="0">
      <w:lvlJc w:val="left"/>
      <w:lvlText w:val="(%1)"/>
      <w:numFmt w:val="decimal"/>
      <w:start w:val="9"/>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1)"/>
      <w:numFmt w:val="lowerRoman"/>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1)"/>
      <w:numFmt w:val="decimal"/>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1)"/>
      <w:numFmt w:val="lowerRoman"/>
      <w:start w:val="2"/>
    </w:lvl>
  </w:abstractNum>
  <w:abstractNum w:abstractNumId="66">
    <w:nsid w:val="1CA0C5FA"/>
    <w:multiLevelType w:val="hybridMultilevel"/>
    <w:lvl w:ilvl="0">
      <w:lvlJc w:val="left"/>
      <w:lvlText w:val="(%1)"/>
      <w:numFmt w:val="lowerRoman"/>
      <w:start w:val="5"/>
    </w:lvl>
  </w:abstractNum>
  <w:abstractNum w:abstractNumId="67">
    <w:nsid w:val="53584BCB"/>
    <w:multiLevelType w:val="hybridMultilevel"/>
    <w:lvl w:ilvl="0">
      <w:lvlJc w:val="left"/>
      <w:lvlText w:val="(%1)"/>
      <w:numFmt w:val="lowerRoman"/>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1."/>
      <w:numFmt w:val="decimal"/>
      <w:start w:val="498"/>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1)"/>
      <w:numFmt w:val="decimal"/>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1)"/>
      <w:numFmt w:val="decimal"/>
      <w:start w:val="1"/>
    </w:lvl>
  </w:abstractNum>
  <w:abstractNum w:abstractNumId="83">
    <w:nsid w:val="4C9B0904"/>
    <w:multiLevelType w:val="hybridMultilevel"/>
    <w:lvl w:ilvl="0">
      <w:lvlJc w:val="left"/>
      <w:lvlText w:val="(%1)"/>
      <w:numFmt w:val="lowerLetter"/>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1)"/>
      <w:numFmt w:val="decimal"/>
      <w:start w:val="1"/>
    </w:lvl>
  </w:abstractNum>
  <w:abstractNum w:abstractNumId="87">
    <w:nsid w:val="3DD15094"/>
    <w:multiLevelType w:val="hybridMultilevel"/>
    <w:lvl w:ilvl="0">
      <w:lvlJc w:val="left"/>
      <w:lvlText w:val="(%1)"/>
      <w:numFmt w:val="decimal"/>
      <w:start w:val="1"/>
    </w:lvl>
  </w:abstractNum>
  <w:abstractNum w:abstractNumId="88">
    <w:nsid w:val="3DB012B3"/>
    <w:multiLevelType w:val="hybridMultilevel"/>
    <w:lvl w:ilvl="0">
      <w:lvlJc w:val="left"/>
      <w:lvlText w:val="(%1)"/>
      <w:numFmt w:val="decimal"/>
      <w:start w:val="6"/>
    </w:lvl>
  </w:abstractNum>
  <w:abstractNum w:abstractNumId="89">
    <w:nsid w:val="2708C9AF"/>
    <w:multiLevelType w:val="hybridMultilevel"/>
    <w:lvl w:ilvl="0">
      <w:lvlJc w:val="left"/>
      <w:lvlText w:val="(%1)"/>
      <w:numFmt w:val="lowerRoman"/>
      <w:start w:val="2"/>
    </w:lvl>
  </w:abstractNum>
  <w:abstractNum w:abstractNumId="90">
    <w:nsid w:val="5B25ACE2"/>
    <w:multiLevelType w:val="hybridMultilevel"/>
    <w:lvl w:ilvl="0">
      <w:lvlJc w:val="left"/>
      <w:lvlText w:val="(%1)"/>
      <w:numFmt w:val="decimal"/>
      <w:start w:val="2"/>
    </w:lvl>
  </w:abstractNum>
  <w:abstractNum w:abstractNumId="91">
    <w:nsid w:val="175DFCF0"/>
    <w:multiLevelType w:val="hybridMultilevel"/>
    <w:lvl w:ilvl="0">
      <w:lvlJc w:val="left"/>
      <w:lvlText w:val="(%1)"/>
      <w:numFmt w:val="decimal"/>
      <w:start w:val="2"/>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1)"/>
      <w:numFmt w:val="decimal"/>
      <w:start w:val="1"/>
    </w:lvl>
  </w:abstractNum>
  <w:abstractNum w:abstractNumId="98">
    <w:nsid w:val="2C6E4AFD"/>
    <w:multiLevelType w:val="hybridMultilevel"/>
    <w:lvl w:ilvl="0">
      <w:lvlJc w:val="left"/>
      <w:lvlText w:val="(%1)"/>
      <w:numFmt w:val="decimal"/>
      <w:start w:val="1"/>
    </w:lvl>
  </w:abstractNum>
  <w:abstractNum w:abstractNumId="99">
    <w:nsid w:val="17A1B582"/>
    <w:multiLevelType w:val="hybridMultilevel"/>
    <w:lvl w:ilvl="0">
      <w:lvlJc w:val="left"/>
      <w:lvlText w:val="(%1)"/>
      <w:numFmt w:val="decimal"/>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1)"/>
      <w:numFmt w:val="decimal"/>
      <w:start w:val="1"/>
    </w:lvl>
  </w:abstractNum>
  <w:abstractNum w:abstractNumId="104">
    <w:nsid w:val="5EC6AFD4"/>
    <w:multiLevelType w:val="hybridMultilevel"/>
    <w:lvl w:ilvl="0">
      <w:lvlJc w:val="left"/>
      <w:lvlText w:val="(%1)"/>
      <w:numFmt w:val="decimal"/>
      <w:start w:val="2"/>
    </w:lvl>
  </w:abstractNum>
  <w:abstractNum w:abstractNumId="105">
    <w:nsid w:val="19E21BB2"/>
    <w:multiLevelType w:val="hybridMultilevel"/>
    <w:lvl w:ilvl="0">
      <w:lvlJc w:val="left"/>
      <w:lvlText w:val="(%1)"/>
      <w:numFmt w:val="decimal"/>
      <w:start w:val="13"/>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1)"/>
      <w:numFmt w:val="decimal"/>
      <w:start w:val="4"/>
    </w:lvl>
  </w:abstractNum>
  <w:abstractNum w:abstractNumId="109">
    <w:nsid w:val="20EE1348"/>
    <w:multiLevelType w:val="hybridMultilevel"/>
    <w:lvl w:ilvl="0">
      <w:lvlJc w:val="left"/>
      <w:lvlText w:val="(%1)"/>
      <w:numFmt w:val="decimal"/>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1)"/>
      <w:numFmt w:val="lowerRoman"/>
      <w:start w:val="2"/>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decimal"/>
      <w:start w:val="6"/>
    </w:lvl>
  </w:abstractNum>
  <w:abstractNum w:abstractNumId="115">
    <w:nsid w:val="BFFAE18"/>
    <w:multiLevelType w:val="hybridMultilevel"/>
    <w:lvl w:ilvl="0">
      <w:lvlJc w:val="left"/>
      <w:lvlText w:val="(%1)"/>
      <w:numFmt w:val="lowerRoman"/>
      <w:start w:val="1"/>
    </w:lvl>
  </w:abstractNum>
  <w:abstractNum w:abstractNumId="116">
    <w:nsid w:val="E3E47A8"/>
    <w:multiLevelType w:val="hybridMultilevel"/>
    <w:lvl w:ilvl="0">
      <w:lvlJc w:val="left"/>
      <w:lvlText w:val="(%1)"/>
      <w:numFmt w:val="lowerLetter"/>
      <w:start w:val="1"/>
    </w:lvl>
  </w:abstractNum>
  <w:abstractNum w:abstractNumId="117">
    <w:nsid w:val="2E48F044"/>
    <w:multiLevelType w:val="hybridMultilevel"/>
    <w:lvl w:ilvl="0">
      <w:lvlJc w:val="left"/>
      <w:lvlText w:val="(%1)"/>
      <w:numFmt w:val="lowerLetter"/>
      <w:start w:val="5"/>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lowerLetter"/>
      <w:start w:val="2"/>
    </w:lvl>
  </w:abstractNum>
  <w:abstractNum w:abstractNumId="121">
    <w:nsid w:val="24F6AB8E"/>
    <w:multiLevelType w:val="hybridMultilevel"/>
    <w:lvl w:ilvl="0">
      <w:lvlJc w:val="left"/>
      <w:lvlText w:val="(%1)"/>
      <w:numFmt w:val="lowerLetter"/>
      <w:start w:val="1"/>
    </w:lvl>
  </w:abstractNum>
  <w:abstractNum w:abstractNumId="122">
    <w:nsid w:val="634C574C"/>
    <w:multiLevelType w:val="hybridMultilevel"/>
    <w:lvl w:ilvl="0">
      <w:lvlJc w:val="left"/>
      <w:lvlText w:val="(%1)"/>
      <w:numFmt w:val="decimal"/>
      <w:start w:val="1"/>
    </w:lvl>
  </w:abstractNum>
  <w:abstractNum w:abstractNumId="123">
    <w:nsid w:val="24E99DD7"/>
    <w:multiLevelType w:val="hybridMultilevel"/>
    <w:lvl w:ilvl="0">
      <w:lvlJc w:val="left"/>
      <w:lvlText w:val="%1."/>
      <w:numFmt w:val="decimal"/>
      <w:start w:val="1"/>
    </w:lvl>
  </w:abstractNum>
  <w:abstractNum w:abstractNumId="124">
    <w:nsid w:val="2A31B62D"/>
    <w:multiLevelType w:val="hybridMultilevel"/>
    <w:lvl w:ilvl="0">
      <w:lvlJc w:val="left"/>
      <w:lvlText w:val="%1."/>
      <w:numFmt w:val="decimal"/>
      <w:start w:val="2"/>
    </w:lvl>
  </w:abstractNum>
  <w:abstractNum w:abstractNumId="125">
    <w:nsid w:val="1849C29B"/>
    <w:multiLevelType w:val="hybridMultilevel"/>
    <w:lvl w:ilvl="0">
      <w:lvlJc w:val="left"/>
      <w:lvlText w:val="(%1)"/>
      <w:numFmt w:val="lowerRoman"/>
      <w:start w:val="1"/>
    </w:lvl>
  </w:abstractNum>
  <w:abstractNum w:abstractNumId="126">
    <w:nsid w:val="7DFF9D09"/>
    <w:multiLevelType w:val="hybridMultilevel"/>
    <w:lvl w:ilvl="0">
      <w:lvlJc w:val="left"/>
      <w:lvlText w:val="•"/>
      <w:numFmt w:val="bullet"/>
      <w:start w:val="1"/>
    </w:lvl>
  </w:abstractNum>
  <w:abstractNum w:abstractNumId="127">
    <w:nsid w:val="754342"/>
    <w:multiLevelType w:val="hybridMultilevel"/>
    <w:lvl w:ilvl="0">
      <w:lvlJc w:val="left"/>
      <w:lvlText w:val="%1."/>
      <w:numFmt w:val="decimal"/>
      <w:start w:val="3"/>
    </w:lvl>
  </w:abstractNum>
  <w:abstractNum w:abstractNumId="128">
    <w:nsid w:val="69E7F3E5"/>
    <w:multiLevelType w:val="hybridMultilevel"/>
    <w:lvl w:ilvl="0">
      <w:lvlJc w:val="left"/>
      <w:lvlText w:val="%1."/>
      <w:numFmt w:val="decimal"/>
      <w:start w:val="4"/>
    </w:lvl>
  </w:abstractNum>
  <w:abstractNum w:abstractNumId="129">
    <w:nsid w:val="2A6DE806"/>
    <w:multiLevelType w:val="hybridMultilevel"/>
    <w:lvl w:ilvl="0">
      <w:lvlJc w:val="left"/>
      <w:lvlText w:val="%1."/>
      <w:numFmt w:val="decimal"/>
      <w:start w:val="5"/>
    </w:lvl>
  </w:abstractNum>
  <w:abstractNum w:abstractNumId="130">
    <w:nsid w:val="1816F8C4"/>
    <w:multiLevelType w:val="hybridMultilevel"/>
    <w:lvl w:ilvl="0">
      <w:lvlJc w:val="left"/>
      <w:lvlText w:val="%1."/>
      <w:numFmt w:val="decimal"/>
      <w:start w:val="6"/>
    </w:lvl>
  </w:abstractNum>
  <w:abstractNum w:abstractNumId="131">
    <w:nsid w:val="37DF2233"/>
    <w:multiLevelType w:val="hybridMultilevel"/>
    <w:lvl w:ilvl="0">
      <w:lvlJc w:val="left"/>
      <w:lvlText w:val="%1."/>
      <w:numFmt w:val="decimal"/>
      <w:start w:val="7"/>
    </w:lvl>
  </w:abstractNum>
  <w:abstractNum w:abstractNumId="132">
    <w:nsid w:val="7AB49DAF"/>
    <w:multiLevelType w:val="hybridMultilevel"/>
    <w:lvl w:ilvl="0">
      <w:lvlJc w:val="left"/>
      <w:lvlText w:val="%1."/>
      <w:numFmt w:val="decimal"/>
      <w:start w:val="8"/>
    </w:lvl>
  </w:abstractNum>
  <w:abstractNum w:abstractNumId="133">
    <w:nsid w:val="759F82CD"/>
    <w:multiLevelType w:val="hybridMultilevel"/>
    <w:lvl w:ilvl="0">
      <w:lvlJc w:val="left"/>
      <w:lvlText w:val="%1."/>
      <w:numFmt w:val="decimal"/>
      <w:start w:val="9"/>
    </w:lvl>
  </w:abstractNum>
  <w:abstractNum w:abstractNumId="134">
    <w:nsid w:val="61E74EA3"/>
    <w:multiLevelType w:val="hybridMultilevel"/>
    <w:lvl w:ilvl="0">
      <w:lvlJc w:val="left"/>
      <w:lvlText w:val="*"/>
      <w:numFmt w:val="bullet"/>
      <w:start w:val="1"/>
    </w:lvl>
  </w:abstractNum>
  <w:abstractNum w:abstractNumId="135">
    <w:nsid w:val="597B4D84"/>
    <w:multiLevelType w:val="hybridMultilevel"/>
    <w:lvl w:ilvl="0">
      <w:lvlJc w:val="left"/>
      <w:lvlText w:val="*"/>
      <w:numFmt w:val="bullet"/>
      <w:start w:val="1"/>
    </w:lvl>
  </w:abstractNum>
  <w:abstractNum w:abstractNumId="136">
    <w:nsid w:val="F819E7F"/>
    <w:multiLevelType w:val="hybridMultilevel"/>
    <w:lvl w:ilvl="0">
      <w:lvlJc w:val="left"/>
      <w:lvlText w:val="%1."/>
      <w:numFmt w:val="decimal"/>
      <w:start w:val="10"/>
    </w:lvl>
  </w:abstractNum>
  <w:abstractNum w:abstractNumId="137">
    <w:nsid w:val="57C7D42D"/>
    <w:multiLevelType w:val="hybridMultilevel"/>
    <w:lvl w:ilvl="0">
      <w:lvlJc w:val="left"/>
      <w:lvlText w:val="%1."/>
      <w:numFmt w:val="decimal"/>
      <w:start w:val="11"/>
    </w:lvl>
  </w:abstractNum>
  <w:abstractNum w:abstractNumId="138">
    <w:nsid w:val="312167AD"/>
    <w:multiLevelType w:val="hybridMultilevel"/>
    <w:lvl w:ilvl="0">
      <w:lvlJc w:val="left"/>
      <w:lvlText w:val="(%1)"/>
      <w:numFmt w:val="lowerRoman"/>
      <w:start w:val="1"/>
    </w:lvl>
  </w:abstractNum>
  <w:abstractNum w:abstractNumId="139">
    <w:nsid w:val="631B64D4"/>
    <w:multiLevelType w:val="hybridMultilevel"/>
    <w:lvl w:ilvl="0">
      <w:lvlJc w:val="left"/>
      <w:lvlText w:val="(%1)"/>
      <w:numFmt w:val="lowerRoman"/>
      <w:start w:val="3"/>
    </w:lvl>
  </w:abstractNum>
  <w:abstractNum w:abstractNumId="140">
    <w:nsid w:val="78B5E776"/>
    <w:multiLevelType w:val="hybridMultilevel"/>
    <w:lvl w:ilvl="0">
      <w:lvlJc w:val="left"/>
      <w:lvlText w:val="%1."/>
      <w:numFmt w:val="decimal"/>
      <w:start w:val="12"/>
    </w:lvl>
  </w:abstractNum>
  <w:abstractNum w:abstractNumId="141">
    <w:nsid w:val="75486E47"/>
    <w:multiLevelType w:val="hybridMultilevel"/>
    <w:lvl w:ilvl="0">
      <w:lvlJc w:val="left"/>
      <w:lvlText w:val="%1."/>
      <w:numFmt w:val="decimal"/>
      <w:start w:val="14"/>
    </w:lvl>
  </w:abstractNum>
  <w:abstractNum w:abstractNumId="142">
    <w:nsid w:val="6E534CDE"/>
    <w:multiLevelType w:val="hybridMultilevel"/>
    <w:lvl w:ilvl="0">
      <w:lvlJc w:val="left"/>
      <w:lvlText w:val="%1."/>
      <w:numFmt w:val="decimal"/>
      <w:start w:val="15"/>
    </w:lvl>
  </w:abstractNum>
  <w:abstractNum w:abstractNumId="143">
    <w:nsid w:val="1A0DDE32"/>
    <w:multiLevelType w:val="hybridMultilevel"/>
    <w:lvl w:ilvl="0">
      <w:lvlJc w:val="left"/>
      <w:lvlText w:val="%1."/>
      <w:numFmt w:val="decimal"/>
      <w:start w:val="16"/>
    </w:lvl>
  </w:abstractNum>
  <w:abstractNum w:abstractNumId="144">
    <w:nsid w:val="65968C1C"/>
    <w:multiLevelType w:val="hybridMultilevel"/>
    <w:lvl w:ilvl="0">
      <w:lvlJc w:val="left"/>
      <w:lvlText w:val="%1."/>
      <w:numFmt w:val="decimal"/>
      <w:start w:val="17"/>
    </w:lvl>
  </w:abstractNum>
  <w:abstractNum w:abstractNumId="145">
    <w:nsid w:val="46263DEC"/>
    <w:multiLevelType w:val="hybridMultilevel"/>
    <w:lvl w:ilvl="0">
      <w:lvlJc w:val="left"/>
      <w:lvlText w:val="(%1)"/>
      <w:numFmt w:val="decimal"/>
      <w:start w:val="1"/>
    </w:lvl>
  </w:abstractNum>
  <w:abstractNum w:abstractNumId="146">
    <w:nsid w:val="260D8C4A"/>
    <w:multiLevelType w:val="hybridMultilevel"/>
    <w:lvl w:ilvl="0">
      <w:lvlJc w:val="left"/>
      <w:lvlText w:val="(%1)"/>
      <w:numFmt w:val="decimal"/>
      <w:start w:val="12"/>
    </w:lvl>
  </w:abstractNum>
  <w:abstractNum w:abstractNumId="147">
    <w:nsid w:val="73D4D3C4"/>
    <w:multiLevelType w:val="hybridMultilevel"/>
    <w:lvl w:ilvl="0">
      <w:lvlJc w:val="left"/>
      <w:lvlText w:val="(%1)"/>
      <w:numFmt w:val="lowerLetter"/>
      <w:start w:val="1"/>
    </w:lvl>
  </w:abstractNum>
  <w:abstractNum w:abstractNumId="148">
    <w:nsid w:val="746F2E30"/>
    <w:multiLevelType w:val="hybridMultilevel"/>
    <w:lvl w:ilvl="0">
      <w:lvlJc w:val="left"/>
      <w:lvlText w:val="(%1)"/>
      <w:numFmt w:val="lowerLetter"/>
      <w:start w:val="2"/>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
      <w:numFmt w:val="bullet"/>
      <w:start w:val="1"/>
    </w:lvl>
  </w:abstractNum>
  <w:abstractNum w:abstractNumId="151">
    <w:nsid w:val="49C0E823"/>
    <w:multiLevelType w:val="hybridMultilevel"/>
    <w:lvl w:ilvl="0">
      <w:lvlJc w:val="left"/>
      <w:lvlText w:val="+"/>
      <w:numFmt w:val="bullet"/>
      <w:start w:val="1"/>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64" Type="http://schemas.openxmlformats.org/officeDocument/2006/relationships/image" Target="media/image433.png"/><Relationship Id="rId482" Type="http://schemas.openxmlformats.org/officeDocument/2006/relationships/image" Target="media/image434.png"/><Relationship Id="rId483" Type="http://schemas.openxmlformats.org/officeDocument/2006/relationships/image" Target="media/image435.png"/><Relationship Id="rId484" Type="http://schemas.openxmlformats.org/officeDocument/2006/relationships/image" Target="media/image436.png"/><Relationship Id="rId440" Type="http://schemas.openxmlformats.org/officeDocument/2006/relationships/hyperlink" Target="http://www.sec.gov/Archives/edgar/data/0001717115/000119312524154635/d221145dex11.htm" TargetMode="External"/><Relationship Id="rId441" Type="http://schemas.openxmlformats.org/officeDocument/2006/relationships/hyperlink" Target="http://www.sec.gov/Archives/edgar/data/0001717115/000119312524142956/d221145dex31.htm" TargetMode="External"/><Relationship Id="rId442" Type="http://schemas.openxmlformats.org/officeDocument/2006/relationships/hyperlink" Target="http://www.sec.gov/Archives/edgar/data/0001717115/000119312524142956/d221145dex32.htm" TargetMode="External"/><Relationship Id="rId443" Type="http://schemas.openxmlformats.org/officeDocument/2006/relationships/hyperlink" Target="http://www.sec.gov/Archives/edgar/data/0001717115/000119312524142956/d221145dex33.htm" TargetMode="External"/><Relationship Id="rId444" Type="http://schemas.openxmlformats.org/officeDocument/2006/relationships/hyperlink" Target="http://www.sec.gov/Archives/edgar/data/0001717115/000119312524142956/d221145dex34.htm" TargetMode="External"/><Relationship Id="rId445" Type="http://schemas.openxmlformats.org/officeDocument/2006/relationships/hyperlink" Target="http://www.sec.gov/Archives/edgar/data/0001717115/000119312524154635/d221145dex41.htm" TargetMode="External"/><Relationship Id="rId446" Type="http://schemas.openxmlformats.org/officeDocument/2006/relationships/hyperlink" Target="http://www.sec.gov/Archives/edgar/data/0001717115/000119312524142956/d221145dex1016.htm" TargetMode="External"/><Relationship Id="rId447" Type="http://schemas.openxmlformats.org/officeDocument/2006/relationships/hyperlink" Target="http://www.sec.gov/Archives/edgar/data/0001717115/000119312524142956/d221145dex43.htm" TargetMode="External"/><Relationship Id="rId448" Type="http://schemas.openxmlformats.org/officeDocument/2006/relationships/hyperlink" Target="http://www.sec.gov/Archives/edgar/data/0001717115/000119312524154635/d221145dex51.htm" TargetMode="External"/><Relationship Id="rId449" Type="http://schemas.openxmlformats.org/officeDocument/2006/relationships/hyperlink" Target="http://www.sec.gov/Archives/edgar/data/0001717115/000119312524142956/d221145dex101.htm" TargetMode="External"/><Relationship Id="rId450" Type="http://schemas.openxmlformats.org/officeDocument/2006/relationships/hyperlink" Target="http://www.sec.gov/Archives/edgar/data/0001717115/000119312524142956/d221145dex102.htm" TargetMode="External"/><Relationship Id="rId451" Type="http://schemas.openxmlformats.org/officeDocument/2006/relationships/hyperlink" Target="http://www.sec.gov/Archives/edgar/data/0001717115/000119312524142956/d221145dex103.htm" TargetMode="External"/><Relationship Id="rId452" Type="http://schemas.openxmlformats.org/officeDocument/2006/relationships/hyperlink" Target="http://www.sec.gov/Archives/edgar/data/0001717115/000119312524154635/d221145dex104.htm" TargetMode="External"/><Relationship Id="rId453" Type="http://schemas.openxmlformats.org/officeDocument/2006/relationships/hyperlink" Target="http://www.sec.gov/Archives/edgar/data/0001717115/000119312524142956/d221145dex105.htm" TargetMode="External"/><Relationship Id="rId454" Type="http://schemas.openxmlformats.org/officeDocument/2006/relationships/hyperlink" Target="http://www.sec.gov/Archives/edgar/data/0001717115/000119312524142956/d221145dex106.htm" TargetMode="External"/><Relationship Id="rId455" Type="http://schemas.openxmlformats.org/officeDocument/2006/relationships/hyperlink" Target="http://www.sec.gov/Archives/edgar/data/0001717115/000119312524142956/d221145dex107.htm" TargetMode="External"/><Relationship Id="rId456" Type="http://schemas.openxmlformats.org/officeDocument/2006/relationships/hyperlink" Target="http://www.sec.gov/Archives/edgar/data/0001717115/000119312524142956/d221145dex108.htm" TargetMode="External"/><Relationship Id="rId457" Type="http://schemas.openxmlformats.org/officeDocument/2006/relationships/hyperlink" Target="http://www.sec.gov/Archives/edgar/data/0001717115/000119312524142956/d221145dex109.htm" TargetMode="External"/><Relationship Id="rId458" Type="http://schemas.openxmlformats.org/officeDocument/2006/relationships/hyperlink" Target="http://www.sec.gov/Archives/edgar/data/0001717115/000119312524142956/d221145dex1010.htm" TargetMode="External"/><Relationship Id="rId459" Type="http://schemas.openxmlformats.org/officeDocument/2006/relationships/hyperlink" Target="http://www.sec.gov/Archives/edgar/data/0001717115/000119312524142956/d221145dex1011.htm" TargetMode="External"/><Relationship Id="rId460" Type="http://schemas.openxmlformats.org/officeDocument/2006/relationships/hyperlink" Target="http://www.sec.gov/Archives/edgar/data/0001717115/000119312524142956/d221145dex1012.htm" TargetMode="External"/><Relationship Id="rId461" Type="http://schemas.openxmlformats.org/officeDocument/2006/relationships/hyperlink" Target="http://www.sec.gov/Archives/edgar/data/0001717115/000119312524142956/d221145dex1013.htm" TargetMode="External"/><Relationship Id="rId462" Type="http://schemas.openxmlformats.org/officeDocument/2006/relationships/hyperlink" Target="http://www.sec.gov/Archives/edgar/data/0001717115/000119312524142956/d221145dex1014.htm" TargetMode="External"/><Relationship Id="rId463" Type="http://schemas.openxmlformats.org/officeDocument/2006/relationships/hyperlink" Target="http://www.sec.gov/Archives/edgar/data/0001717115/000119312524154635/d221145dex1015.htm" TargetMode="External"/><Relationship Id="rId465" Type="http://schemas.openxmlformats.org/officeDocument/2006/relationships/hyperlink" Target="http://www.sec.gov/Archives/edgar/data/0001717115/000119312524142956/d221145dex1017.htm" TargetMode="External"/><Relationship Id="rId466" Type="http://schemas.openxmlformats.org/officeDocument/2006/relationships/hyperlink" Target="http://www.sec.gov/Archives/edgar/data/0001717115/000119312524142956/d221145dex1018.htm" TargetMode="External"/><Relationship Id="rId467" Type="http://schemas.openxmlformats.org/officeDocument/2006/relationships/hyperlink" Target="http://www.sec.gov/Archives/edgar/data/0001717115/000119312524142956/d221145dex1019.htm" TargetMode="External"/><Relationship Id="rId468" Type="http://schemas.openxmlformats.org/officeDocument/2006/relationships/hyperlink" Target="http://www.sec.gov/Archives/edgar/data/0001717115/000119312524142956/d221145dex1020.htm" TargetMode="External"/><Relationship Id="rId469" Type="http://schemas.openxmlformats.org/officeDocument/2006/relationships/hyperlink" Target="http://www.sec.gov/Archives/edgar/data/0001717115/000119312524142956/d221145dex1021.htm" TargetMode="External"/><Relationship Id="rId470" Type="http://schemas.openxmlformats.org/officeDocument/2006/relationships/hyperlink" Target="http://www.sec.gov/Archives/edgar/data/0001717115/000119312524142956/d221145dex1022.htm" TargetMode="External"/><Relationship Id="rId471" Type="http://schemas.openxmlformats.org/officeDocument/2006/relationships/hyperlink" Target="http://www.sec.gov/Archives/edgar/data/0001717115/000119312524142956/d221145dex1023.htm" TargetMode="External"/><Relationship Id="rId472" Type="http://schemas.openxmlformats.org/officeDocument/2006/relationships/hyperlink" Target="http://www.sec.gov/Archives/edgar/data/0001717115/000119312524142956/d221145dex1024.htm" TargetMode="External"/><Relationship Id="rId473" Type="http://schemas.openxmlformats.org/officeDocument/2006/relationships/hyperlink" Target="http://www.sec.gov/Archives/edgar/data/0001717115/000119312524142956/d221145dex1025.htm" TargetMode="External"/><Relationship Id="rId474" Type="http://schemas.openxmlformats.org/officeDocument/2006/relationships/hyperlink" Target="http://www.sec.gov/Archives/edgar/data/0001717115/000119312524142956/d221145dex1026.htm" TargetMode="External"/><Relationship Id="rId475" Type="http://schemas.openxmlformats.org/officeDocument/2006/relationships/hyperlink" Target="http://www.sec.gov/Archives/edgar/data/0001717115/000119312524154635/d221145dex1027.htm" TargetMode="External"/><Relationship Id="rId476" Type="http://schemas.openxmlformats.org/officeDocument/2006/relationships/hyperlink" Target="http://www.sec.gov/Archives/edgar/data/0001717115/000119312524154635/d221145dex1028.htm" TargetMode="External"/><Relationship Id="rId477" Type="http://schemas.openxmlformats.org/officeDocument/2006/relationships/hyperlink" Target="http://www.sec.gov/Archives/edgar/data/0001717115/000119312524154635/d221145dex1029.htm" TargetMode="External"/><Relationship Id="rId478" Type="http://schemas.openxmlformats.org/officeDocument/2006/relationships/hyperlink" Target="http://www.sec.gov/Archives/edgar/data/0001717115/000119312524154635/d221145dex1030.htm" TargetMode="External"/><Relationship Id="rId479" Type="http://schemas.openxmlformats.org/officeDocument/2006/relationships/hyperlink" Target="http://www.sec.gov/Archives/edgar/data/0001717115/000119312524154635/d221145dex211.htm" TargetMode="External"/><Relationship Id="rId480" Type="http://schemas.openxmlformats.org/officeDocument/2006/relationships/hyperlink" Target="http://www.sec.gov/Archives/edgar/data/1717115/000119312524142956/d221145ds1.htm#ii221145_sig" TargetMode="External"/><Relationship Id="rId481" Type="http://schemas.openxmlformats.org/officeDocument/2006/relationships/hyperlink" Target="http://www.sec.gov/Archives/edgar/data/0001717115/000119312524154635/d221145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2024-06-13T05:37:52Z</dcterms:created>
  <dcterms:modified xsi:type="dcterms:W3CDTF">2024-06-13T05:37:52Z</dcterms:modified>
</cp:coreProperties>
</file>