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03"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333-279558</w:t>
      </w:r>
    </w:p>
    <w:p>
      <w:pPr>
        <w:spacing w:after="0" w:line="2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i w:val="1"/>
          <w:iCs w:val="1"/>
          <w:color w:val="auto"/>
        </w:rPr>
        <w:t>11,100,000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2295525</wp:posOffset>
            </wp:positionH>
            <wp:positionV relativeFrom="paragraph">
              <wp:posOffset>67310</wp:posOffset>
            </wp:positionV>
            <wp:extent cx="2617470" cy="1233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7470" cy="1233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i w:val="1"/>
          <w:i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133985</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This is an initial public offering of shares of Class A common stock of Tempus AI, Inc. We are offering 11,100,000 shares of our Class A common stock.</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Prior to this offering, there has been no public market for our Class A common stock. The initial public offering price is $37.00 per share.</w:t>
      </w:r>
    </w:p>
    <w:p>
      <w:pPr>
        <w:spacing w:after="0" w:line="65" w:lineRule="exact"/>
        <w:rPr>
          <w:sz w:val="24"/>
          <w:szCs w:val="24"/>
          <w:color w:val="auto"/>
        </w:rPr>
      </w:pPr>
    </w:p>
    <w:p>
      <w:pPr>
        <w:jc w:val="both"/>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We have granted the underwriters the option to purchase up to an additional 1,665,000 shares of Class A common stock on the same terms as set forth above within 30 days from the date of this prospectus to cover over-allotments,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94615</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77"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30 votes and is convertible at any time into one share of Class A common stock. In addition, all shares of Class B common stock will automatically convert into shares of Class A common stock in certain circumstances, including (i) on the date that our Chief Executive Officer, Founder and Chairman ceases to serve as an executive officer or member of our Board of Directors or (ii) on the trading day that is no less than 90 days and no more than 150 days following the date on which he ceases to own, together with his controlled entities, at least 10,000,000 shares of our capital stock (as adjusted for stock splits, stock dividends, combinations, subdivisions and recapitalizations). See the section titled “Description of Capital Stock—Class A Common Stock and Class B Common Stock.” Our Chief Executive Officer, Founder and Chairman will beneficially own 100% of our outstanding Class B common stock and will beneficially own approximately 64.3% of the voting power of our outstanding capital stock immediately following this offering, assuming no exercise of the underwriters’ option to purchase additional shares of Class A common stock to cover over-allotments, if any. As a result, we will be a “controlled company” within the meaning of the corporate governance rules of the Nasdaq stock market, however, we have elected not to take advantage of the controlled company exemption.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102870</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Class A common stock has been approved for listing on the Nasdaq Global Select Market under the symbol “TEM.”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128270</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29"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Class A common stock involves risks. See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i w:val="1"/>
          <w:iCs w:val="1"/>
          <w:color w:val="auto"/>
        </w:rPr>
        <w:t>” beginning on page 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132715</wp:posOffset>
            </wp:positionV>
            <wp:extent cx="1517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86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w w:val="96"/>
              </w:rPr>
              <w:t>Per Share</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2"/>
              </w:rPr>
              <w:t>Total</w:t>
            </w:r>
          </w:p>
        </w:tc>
        <w:tc>
          <w:tcPr>
            <w:tcW w:w="420" w:type="dxa"/>
            <w:vAlign w:val="bottom"/>
          </w:tcPr>
          <w:p>
            <w:pPr>
              <w:spacing w:after="0"/>
              <w:rPr>
                <w:sz w:val="14"/>
                <w:szCs w:val="14"/>
                <w:color w:val="auto"/>
              </w:rPr>
            </w:pPr>
          </w:p>
        </w:tc>
      </w:tr>
      <w:tr>
        <w:trPr>
          <w:trHeight w:val="174"/>
        </w:trPr>
        <w:tc>
          <w:tcPr>
            <w:tcW w:w="8680" w:type="dxa"/>
            <w:vAlign w:val="bottom"/>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Initial public offering price</w:t>
            </w:r>
          </w:p>
        </w:tc>
        <w:tc>
          <w:tcPr>
            <w:tcW w:w="6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i w:val="1"/>
                <w:iCs w:val="1"/>
                <w:color w:val="auto"/>
              </w:rPr>
              <w:t>$37.00</w:t>
            </w:r>
          </w:p>
        </w:tc>
        <w:tc>
          <w:tcPr>
            <w:tcW w:w="600" w:type="dxa"/>
            <w:vAlign w:val="bottom"/>
          </w:tcPr>
          <w:p>
            <w:pPr>
              <w:spacing w:after="0"/>
              <w:rPr>
                <w:sz w:val="15"/>
                <w:szCs w:val="15"/>
                <w:color w:val="auto"/>
              </w:rPr>
            </w:pPr>
          </w:p>
        </w:tc>
        <w:tc>
          <w:tcPr>
            <w:tcW w:w="700" w:type="dxa"/>
            <w:vAlign w:val="bottom"/>
          </w:tcPr>
          <w:p>
            <w:pPr>
              <w:jc w:val="right"/>
              <w:ind w:right="1"/>
              <w:spacing w:after="0" w:line="175" w:lineRule="exact"/>
              <w:rPr>
                <w:sz w:val="20"/>
                <w:szCs w:val="20"/>
                <w:color w:val="auto"/>
              </w:rPr>
            </w:pPr>
            <w:r>
              <w:rPr>
                <w:rFonts w:ascii="Times New Roman" w:cs="Times New Roman" w:eastAsia="Times New Roman" w:hAnsi="Times New Roman"/>
                <w:sz w:val="16"/>
                <w:szCs w:val="16"/>
                <w:i w:val="1"/>
                <w:iCs w:val="1"/>
                <w:color w:val="auto"/>
              </w:rPr>
              <w:t>$</w:t>
            </w:r>
          </w:p>
        </w:tc>
        <w:tc>
          <w:tcPr>
            <w:tcW w:w="72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i w:val="1"/>
                <w:iCs w:val="1"/>
                <w:color w:val="auto"/>
                <w:w w:val="87"/>
              </w:rPr>
              <w:t>410,700,000</w:t>
            </w:r>
          </w:p>
        </w:tc>
      </w:tr>
      <w:tr>
        <w:trPr>
          <w:trHeight w:val="197"/>
        </w:trPr>
        <w:tc>
          <w:tcPr>
            <w:tcW w:w="8680" w:type="dxa"/>
            <w:vAlign w:val="bottom"/>
          </w:tcPr>
          <w:p>
            <w:pPr>
              <w:spacing w:after="0" w:line="197" w:lineRule="exact"/>
              <w:rPr>
                <w:sz w:val="20"/>
                <w:szCs w:val="20"/>
                <w:color w:val="auto"/>
              </w:rPr>
            </w:pPr>
            <w:r>
              <w:rPr>
                <w:rFonts w:ascii="Times New Roman" w:cs="Times New Roman" w:eastAsia="Times New Roman" w:hAnsi="Times New Roman"/>
                <w:sz w:val="15"/>
                <w:szCs w:val="15"/>
                <w:i w:val="1"/>
                <w:iCs w:val="1"/>
                <w:color w:val="auto"/>
              </w:rPr>
              <w:t xml:space="preserve">Underwriting discounts and commissions </w:t>
            </w:r>
            <w:r>
              <w:rPr>
                <w:rFonts w:ascii="Times New Roman" w:cs="Times New Roman" w:eastAsia="Times New Roman" w:hAnsi="Times New Roman"/>
                <w:sz w:val="22"/>
                <w:szCs w:val="22"/>
                <w:i w:val="1"/>
                <w:iCs w:val="1"/>
                <w:color w:val="auto"/>
                <w:vertAlign w:val="superscript"/>
              </w:rPr>
              <w:t>(1)</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i w:val="1"/>
                <w:iCs w:val="1"/>
                <w:color w:val="auto"/>
              </w:rPr>
              <w:t>$2.59</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$28,749,000</w:t>
            </w: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Proceeds, before expenses, to us</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i w:val="1"/>
                <w:iCs w:val="1"/>
                <w:color w:val="auto"/>
              </w:rPr>
              <w:t>$34.41</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$381,951,000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91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(1)    See “Underwriting” for additional information regarding compensation payable to the underwriters.</w:t>
      </w:r>
    </w:p>
    <w:p>
      <w:pPr>
        <w:spacing w:after="0" w:line="45"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16"/>
          <w:szCs w:val="16"/>
          <w:i w:val="1"/>
          <w:iCs w:val="1"/>
          <w:color w:val="auto"/>
        </w:rPr>
        <w:t>Neither the Securities and Exchange Commission nor any other regulatory body has approved or disapproved these securities or determined if this prospectus is truthful or complete. Any representation to the contrary is a criminal offense.</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underwriters expect to deliver the shares of Class A common stock to purchasers on June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127000</wp:posOffset>
            </wp:positionV>
            <wp:extent cx="1517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ectPr>
          <w:pgSz w:w="11900" w:h="16838" w:orient="portrait"/>
          <w:cols w:equalWidth="0" w:num="1">
            <w:col w:w="11340"/>
          </w:cols>
          <w:pgMar w:left="320" w:top="225" w:right="239" w:bottom="1440" w:gutter="0" w:footer="0" w:header="0"/>
        </w:sectPr>
      </w:pP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MORGAN STANLEY</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J.P. MORGAN</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20"/>
          <w:szCs w:val="20"/>
          <w:i w:val="1"/>
          <w:iCs w:val="1"/>
          <w:color w:val="auto"/>
        </w:rPr>
        <w:t>ALLEN &amp; COMPANY LLC</w:t>
      </w:r>
    </w:p>
    <w:p>
      <w:pPr>
        <w:spacing w:after="0" w:line="47" w:lineRule="exact"/>
        <w:rPr>
          <w:sz w:val="24"/>
          <w:szCs w:val="24"/>
          <w:color w:val="auto"/>
        </w:rPr>
      </w:pPr>
    </w:p>
    <w:p>
      <w:pPr>
        <w:sectPr>
          <w:pgSz w:w="11900" w:h="16838" w:orient="portrait"/>
          <w:cols w:equalWidth="0" w:num="3">
            <w:col w:w="4420" w:space="720"/>
            <w:col w:w="1860" w:space="720"/>
            <w:col w:w="3620"/>
          </w:cols>
          <w:pgMar w:left="320" w:top="22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i w:val="1"/>
          <w:iCs w:val="1"/>
          <w:color w:val="auto"/>
        </w:rPr>
        <w:t>BofA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TD COWEN</w:t>
      </w:r>
    </w:p>
    <w:p>
      <w:pPr>
        <w:spacing w:after="0" w:line="5" w:lineRule="exact"/>
        <w:rPr>
          <w:sz w:val="24"/>
          <w:szCs w:val="24"/>
          <w:color w:val="auto"/>
        </w:rPr>
      </w:pPr>
    </w:p>
    <w:p>
      <w:pPr>
        <w:sectPr>
          <w:pgSz w:w="11900" w:h="16838" w:orient="portrait"/>
          <w:cols w:equalWidth="0" w:num="2">
            <w:col w:w="7000" w:space="720"/>
            <w:col w:w="3620"/>
          </w:cols>
          <w:pgMar w:left="320" w:top="22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i w:val="1"/>
          <w:iCs w:val="1"/>
          <w:color w:val="auto"/>
        </w:rPr>
        <w:t>STIFEL</w:t>
      </w:r>
    </w:p>
    <w:p>
      <w:pPr>
        <w:spacing w:after="0"/>
        <w:rPr>
          <w:sz w:val="20"/>
          <w:szCs w:val="20"/>
          <w:color w:val="auto"/>
        </w:rPr>
      </w:pPr>
      <w:r>
        <w:rPr>
          <w:rFonts w:ascii="Times New Roman" w:cs="Times New Roman" w:eastAsia="Times New Roman" w:hAnsi="Times New Roman"/>
          <w:sz w:val="13"/>
          <w:szCs w:val="13"/>
          <w:i w:val="1"/>
          <w:iCs w:val="1"/>
          <w:color w:val="auto"/>
        </w:rPr>
        <w:t>LOOP CAPITAL MARKETS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WILLIAM BLAIR</w:t>
      </w:r>
    </w:p>
    <w:p>
      <w:pPr>
        <w:spacing w:after="0"/>
        <w:rPr>
          <w:sz w:val="20"/>
          <w:szCs w:val="20"/>
          <w:color w:val="auto"/>
        </w:rPr>
      </w:pPr>
      <w:r>
        <w:rPr>
          <w:rFonts w:ascii="Times New Roman" w:cs="Times New Roman" w:eastAsia="Times New Roman" w:hAnsi="Times New Roman"/>
          <w:sz w:val="13"/>
          <w:szCs w:val="13"/>
          <w:i w:val="1"/>
          <w:iCs w:val="1"/>
          <w:color w:val="auto"/>
        </w:rPr>
        <w:t>NEEDHAM &amp; COMPANY</w:t>
      </w:r>
    </w:p>
    <w:p>
      <w:pPr>
        <w:spacing w:after="0" w:line="38" w:lineRule="exact"/>
        <w:rPr>
          <w:sz w:val="24"/>
          <w:szCs w:val="24"/>
          <w:color w:val="auto"/>
        </w:rPr>
      </w:pPr>
    </w:p>
    <w:p>
      <w:pPr>
        <w:sectPr>
          <w:pgSz w:w="11900" w:h="16838" w:orient="portrait"/>
          <w:cols w:equalWidth="0" w:num="2">
            <w:col w:w="7000" w:space="720"/>
            <w:col w:w="3620"/>
          </w:cols>
          <w:pgMar w:left="320" w:top="225"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Prospectus dated June 13, 2024.</w:t>
      </w:r>
    </w:p>
    <w:p>
      <w:pPr>
        <w:sectPr>
          <w:pgSz w:w="11900" w:h="16838" w:orient="portrait"/>
          <w:cols w:equalWidth="0" w:num="1">
            <w:col w:w="11340"/>
          </w:cols>
          <w:pgMar w:left="320" w:top="225"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280035</wp:posOffset>
            </wp:positionV>
            <wp:extent cx="1517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Prospectus Summary</w:t>
            </w:r>
          </w:p>
        </w:tc>
        <w:tc>
          <w:tcPr>
            <w:tcW w:w="3540" w:type="dxa"/>
            <w:vAlign w:val="bottom"/>
            <w:gridSpan w:val="5"/>
            <w:vMerge w:val="restart"/>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5360" w:type="dxa"/>
            <w:vAlign w:val="bottom"/>
            <w:gridSpan w:val="14"/>
            <w:vMerge w:val="restart"/>
          </w:tcPr>
          <w:p>
            <w:pPr>
              <w:ind w:left="220"/>
              <w:spacing w:after="0"/>
              <w:rPr>
                <w:sz w:val="20"/>
                <w:szCs w:val="20"/>
                <w:color w:val="auto"/>
              </w:rPr>
            </w:pPr>
            <w:r>
              <w:rPr>
                <w:rFonts w:ascii="Times New Roman" w:cs="Times New Roman" w:eastAsia="Times New Roman" w:hAnsi="Times New Roman"/>
                <w:sz w:val="18"/>
                <w:szCs w:val="18"/>
                <w:color w:val="0000EE"/>
              </w:rPr>
              <w:t>Executive Compensation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4"/>
        </w:trPr>
        <w:tc>
          <w:tcPr>
            <w:tcW w:w="1500" w:type="dxa"/>
            <w:vAlign w:val="bottom"/>
            <w:gridSpan w:val="8"/>
            <w:vMerge w:val="continue"/>
          </w:tcPr>
          <w:p>
            <w:pPr>
              <w:spacing w:after="0"/>
              <w:rPr>
                <w:sz w:val="14"/>
                <w:szCs w:val="14"/>
                <w:color w:val="auto"/>
              </w:rPr>
            </w:pPr>
          </w:p>
        </w:tc>
        <w:tc>
          <w:tcPr>
            <w:tcW w:w="3540" w:type="dxa"/>
            <w:vAlign w:val="bottom"/>
            <w:gridSpan w:val="5"/>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4"/>
                <w:szCs w:val="14"/>
                <w:color w:val="auto"/>
              </w:rPr>
            </w:pPr>
          </w:p>
        </w:tc>
        <w:tc>
          <w:tcPr>
            <w:tcW w:w="5360" w:type="dxa"/>
            <w:vAlign w:val="bottom"/>
            <w:gridSpan w:val="14"/>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3540" w:type="dxa"/>
            <w:vAlign w:val="bottom"/>
            <w:gridSpan w:val="5"/>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28</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104</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Principal Stockholders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6"/>
              </w:rPr>
              <w:t>Market, Industry and Other Data</w:t>
            </w:r>
          </w:p>
        </w:tc>
        <w:tc>
          <w:tcPr>
            <w:tcW w:w="148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106</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2740" w:type="dxa"/>
            <w:vAlign w:val="bottom"/>
            <w:gridSpan w:val="3"/>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108</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Dividend Policy</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109</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Material U.S. Federal Income Tax Consequences to Non-U.S. Holders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Borders>
              <w:top w:val="single" w:sz="8" w:color="0000EE"/>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6"/>
              </w:rPr>
              <w:t>Capitalization</w:t>
            </w:r>
          </w:p>
        </w:tc>
        <w:tc>
          <w:tcPr>
            <w:tcW w:w="4040" w:type="dxa"/>
            <w:vAlign w:val="bottom"/>
            <w:tcBorders>
              <w:top w:val="single" w:sz="8" w:color="0000EE"/>
            </w:tcBorders>
            <w:gridSpan w:val="8"/>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00" w:type="dxa"/>
            <w:vAlign w:val="bottom"/>
            <w:tcBorders>
              <w:top w:val="single" w:sz="8" w:color="0000EE"/>
              <w:bottom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w w:val="96"/>
              </w:rPr>
              <w:t>of Our Class A Common Stock</w:t>
            </w:r>
          </w:p>
        </w:tc>
        <w:tc>
          <w:tcPr>
            <w:tcW w:w="2560" w:type="dxa"/>
            <w:vAlign w:val="bottom"/>
            <w:tcBorders>
              <w:top w:val="single" w:sz="8" w:color="0000EE"/>
            </w:tcBorders>
            <w:gridSpan w:val="4"/>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190"/>
        </w:trPr>
        <w:tc>
          <w:tcPr>
            <w:tcW w:w="60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6"/>
              </w:rPr>
              <w:t>Dilution</w:t>
            </w:r>
          </w:p>
        </w:tc>
        <w:tc>
          <w:tcPr>
            <w:tcW w:w="4440" w:type="dxa"/>
            <w:vAlign w:val="bottom"/>
            <w:gridSpan w:val="11"/>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113</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Underwriting</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0" w:type="dxa"/>
            <w:vAlign w:val="bottom"/>
          </w:tcPr>
          <w:p>
            <w:pPr>
              <w:spacing w:after="0"/>
              <w:rPr>
                <w:sz w:val="16"/>
                <w:szCs w:val="16"/>
                <w:color w:val="auto"/>
              </w:rPr>
            </w:pPr>
          </w:p>
        </w:tc>
        <w:tc>
          <w:tcPr>
            <w:tcW w:w="4540" w:type="dxa"/>
            <w:vAlign w:val="bottom"/>
            <w:gridSpan w:val="11"/>
          </w:tcPr>
          <w:p>
            <w:pPr>
              <w:spacing w:after="0" w:line="190" w:lineRule="exact"/>
              <w:rPr>
                <w:sz w:val="20"/>
                <w:szCs w:val="20"/>
                <w:color w:val="auto"/>
              </w:rPr>
            </w:pPr>
            <w:r>
              <w:rPr>
                <w:rFonts w:ascii="Times New Roman" w:cs="Times New Roman" w:eastAsia="Times New Roman" w:hAnsi="Times New Roman"/>
                <w:sz w:val="18"/>
                <w:szCs w:val="18"/>
                <w:color w:val="0000EE"/>
              </w:rPr>
              <w:t>Results of Operations</w:t>
            </w:r>
          </w:p>
        </w:tc>
        <w:tc>
          <w:tcPr>
            <w:tcW w:w="320" w:type="dxa"/>
            <w:vAlign w:val="bottom"/>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116</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Business</w:t>
            </w:r>
          </w:p>
        </w:tc>
        <w:tc>
          <w:tcPr>
            <w:tcW w:w="4400" w:type="dxa"/>
            <w:vAlign w:val="bottom"/>
            <w:gridSpan w:val="10"/>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143</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212</w:t>
            </w:r>
          </w:p>
        </w:tc>
        <w:tc>
          <w:tcPr>
            <w:tcW w:w="5360" w:type="dxa"/>
            <w:vAlign w:val="bottom"/>
            <w:gridSpan w:val="14"/>
          </w:tcPr>
          <w:p>
            <w:pPr>
              <w:ind w:left="220"/>
              <w:spacing w:after="0" w:line="190"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325120</wp:posOffset>
            </wp:positionV>
            <wp:extent cx="1517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or can provide any assurance as to the reliability of, any other information that others may give you. We and the underwriters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320" w:top="448"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181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9630" cy="518160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13" w:lineRule="exact"/>
        <w:rPr>
          <w:sz w:val="20"/>
          <w:szCs w:val="20"/>
          <w:color w:val="auto"/>
        </w:rPr>
      </w:pPr>
    </w:p>
    <w:p>
      <w:pPr>
        <w:jc w:val="both"/>
        <w:ind w:left="200" w:firstLine="438"/>
        <w:spacing w:after="0" w:line="250"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“Tempus,” the “company,” “we,” “our,” “us” or similar terms refer to Tempus AI, Inc. and its subsidiaries.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62"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including generative AI, throughout every aspect of diagnostics to enable physicians and researchers to make personalized, data-driven decisions that improve patient care.</w:t>
      </w:r>
    </w:p>
    <w:p>
      <w:pPr>
        <w:spacing w:after="0" w:line="184" w:lineRule="exact"/>
        <w:rPr>
          <w:sz w:val="20"/>
          <w:szCs w:val="20"/>
          <w:color w:val="auto"/>
        </w:rPr>
      </w:pPr>
    </w:p>
    <w:p>
      <w:pPr>
        <w:jc w:val="both"/>
        <w:ind w:left="200" w:firstLine="438"/>
        <w:spacing w:after="0" w:line="285" w:lineRule="auto"/>
        <w:rPr>
          <w:sz w:val="20"/>
          <w:szCs w:val="20"/>
          <w:color w:val="auto"/>
        </w:rPr>
      </w:pPr>
      <w:r>
        <w:rPr>
          <w:rFonts w:ascii="Times New Roman" w:cs="Times New Roman" w:eastAsia="Times New Roman" w:hAnsi="Times New Roman"/>
          <w:sz w:val="16"/>
          <w:szCs w:val="16"/>
          <w:color w:val="auto"/>
        </w:rPr>
        <w:t>The ability to deploy AI in precision medicine at scale has only recently become possible. Advances in cloud computing, imaging technologies, large language models,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 based biomarker or a genomic mutation, and do not connect and integrate other forms of relevant clinical data, such as outcomes, or adverse events, or pathology results, which are essential for many clinical decisions.</w:t>
      </w:r>
    </w:p>
    <w:p>
      <w:pPr>
        <w:spacing w:after="0" w:line="159"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the United States in oncology, and other areas, including neuropsychiatry, radiology, and cardiology, with aspirations to eventually be in all major disease areas globally.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w:t>
      </w: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448"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914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9630" cy="49149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approximately 450 unique data connections, many of which supply us with complex multimodal data in near real time, across more than 2,000 healthcare institutions that order our products and 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AI Applications product line, which we believe has the ability to transform healthcare.</w:t>
      </w:r>
    </w:p>
    <w:p>
      <w:pPr>
        <w:spacing w:after="0" w:line="189"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have launched a suite of different products derived from our Platform, which have gained significant traction over the past five years. To date, our offerings have been used by approximately 95% of the largest public pharmaceutical companies based on 2023 revenue, and our clinical NGS volume in oncology rose from approximately 31,000 samples in 2018 to approximately 288,000 samples in 2023. Through March 31, 2024, our offerings have been used by more than 7,000 physicians across hundreds of provider networks, including more than 65% of all academic medical centers in the United States. Our database of multimodal, de-identified records has grown to be more than 50 times the size of The Cancer Genome Atlas, the largest public genomic dataset that we know of in oncology. We also now have more than 200 petabytes of data in our cloud environment. Between our sequencing and data collection efforts, we are connected in some way to more than 50% of all oncologists practicing in the United States. Our access to broad and diverse data serves as the basis for our ability to train generative AI models, and we believe our relationships with healthcare institutions provide us with proprietary data to deliver on the promise of AI in healthcare.</w:t>
      </w:r>
    </w:p>
    <w:p>
      <w:pPr>
        <w:spacing w:after="0" w:line="191"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We originally set out to build a sustainable business model in oncology as our first proof of concept. To date, we have focused primarily on establishing and growing our oncology business, which represents the majority of both the data we have amassed and our revenue. Even though our cancer business was at an early stage, we next expanded into neuropsychiatry, as we believed our model was extensible across disease areas. Having gained early traction in depression, we then expanded into the radiology and cardiology categories. Each time we enter a new disease area we look to expand upon the model we deployed in oncology by developing Intelligent Diagnostics connected to clinical data, and by leveraging large amounts of de-identified data to advance patient care and accelerate drug discovery and development. Once we obtain sufficient data, which we can leverage as a proprietary training data set for generative AI applications, we expect to deploy our AI and machine learning capabilities to build algorithmic diagnostics at scale across diseases.</w:t>
      </w: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320" w:top="448"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256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9630" cy="62566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To manage our growth, we have assembled a world-class team of approximately 2,300 employees, including hundreds with diverse expertise across genetics, molecular and computational biology, bioinformatics, regulatory affairs, medical, product and engineering, and data science. Roughly one-third of our team is technical, with approximately 250 PhDs and MDs on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200" w:firstLine="438"/>
        <w:spacing w:after="0" w:line="279" w:lineRule="auto"/>
        <w:rPr>
          <w:sz w:val="20"/>
          <w:szCs w:val="20"/>
          <w:color w:val="auto"/>
        </w:rPr>
      </w:pPr>
      <w:r>
        <w:rPr>
          <w:rFonts w:ascii="Times New Roman" w:cs="Times New Roman" w:eastAsia="Times New Roman" w:hAnsi="Times New Roman"/>
          <w:sz w:val="16"/>
          <w:szCs w:val="16"/>
          <w:color w:val="auto"/>
        </w:rPr>
        <w:t>We generated total revenue of $188.0 million, $257.9 million, $320.7 million and $531.8 million in the years ended December 31, 2020, 2021, 2022 and 2023, respectively, and $115.6 million and $145.8 million in the three months ended March 31, 2023 and 2024, respectively. Revenue generated from COVID-19 testing was $89.5 million, or 47.6% of our total revenue, $94.7 million, or 36.7% of our total revenue, $22.2 million, or 6.9% of our total revenue, and $2.7 million, or 0.5% of our total revenue for the years ended December 31, 2020, 2021, 2022 and 2023, respectively. Revenue generated from COVID-19 testing was $2.6 million, or 2.3% of our total revenue, and $0 for the three months ended March 31, 2023 and 2024, respectively. We stopped offering COVID-19 PCR diagnostic tests in the first quarter of 2023. We incurred net losses of $289.8 million and $214.1 million in the years ended December 31, 2022 and 2023, respectively, and $54.4 million and $64.7 million in the three months ended March 31, 2023 and 2024, respectively. We generated adjusted EBITDA of $(238.8) million and $(154.2) million in the years ended December 31, 2022 and 2023, respectively, and $(45.9) million and $(43.9) million in the three months ended March 31, 2023 and 2024, respectively. Adjusted EBITDA is a non-GAAP financial measure. For a reconciliation of adjusted EBITDA to net loss, the most directly comparable financial measure stated in accordance with generally accepted accounting principles in the United States of America, or GAAP, and for additional information about adjusted EBITDA, see the section titled “Management’s Discussion and Analysis of Financial Condition and Results of Operations—Non-GAAP Financial Measure” in this prospectus.</w:t>
      </w: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and deliver personalized results that provide clinical context by leveraging our data. We offer</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320" w:top="448"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59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9630" cy="659003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51" w:lineRule="auto"/>
        <w:rPr>
          <w:sz w:val="20"/>
          <w:szCs w:val="20"/>
          <w:color w:val="auto"/>
        </w:rPr>
      </w:pPr>
      <w:r>
        <w:rPr>
          <w:rFonts w:ascii="Times New Roman" w:cs="Times New Roman" w:eastAsia="Times New Roman" w:hAnsi="Times New Roman"/>
          <w:sz w:val="18"/>
          <w:szCs w:val="18"/>
          <w:color w:val="auto"/>
        </w:rPr>
        <w:t>closed-loop, full-stack, bi-directional integrations between a clinician’s desktop and our laboratory diagnostic capabilities, analytics platform, and vast repository of multimodal data. The key elements of our Platform, represented in the diagram below, collectively help power a variety of healthcare applications for providers and life sciences researchers. We believe each of these elements is difficult for competitors to replicate, and together represent a significant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 Ingestion and Acquisition</w:t>
      </w:r>
    </w:p>
    <w:p>
      <w:pPr>
        <w:spacing w:after="0" w:line="112"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ingest healthcare data in near real time and at scale, including molecular, clinical, and imaging data. We developed the software infrastructure and dedicated data pipelines to aggregate large amounts of multimodal data directly from healthcare institutions. Our software connects to a provider’s electronic health record, or EHR, system, data warehouse, or third-party data provider to pull relevant structured and unstructured data that the provider has agreed to make available to us, or which is necessary to provide our diagnostic tests, including longitudinal follow-up data in certain circumstances. We have established relationships with hundreds of provider networks in the United States, including more than 65% of all academic medical centers. In addition to healthcare providers, we work with numerous industry associations, including the American Society of Clinical Oncology, or ASCO, to structure and distribute the cancer data that they collect as part of CancerLinq, which is their oncology data effort, as well as ONCare Alliance, LLC (surviving entity after merger of the National Cancer Care Alliance and the Quality Cancer Care Alliance), or ONCare Alliance, and others. We also generate data in our three high-throughput diagnostic testing labs in Chicago, Atlanta, and Raleigh.</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Data Processing</w:t>
      </w:r>
    </w:p>
    <w:p>
      <w:pPr>
        <w:spacing w:after="0" w:line="112"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Once we ingest data, we deploy proprietary clinical data abstraction tools, including natural language processing, optical character recognition, and our abstraction software, to structure, harmonize, and de-identify the data we collect. We have developed various software tools, including algorithmic agents that leverage large language models, to streamline and help secure this process. Once appropriately de-identified, we store the data in our multimodal database.</w:t>
      </w:r>
    </w:p>
    <w:p>
      <w:pPr>
        <w:spacing w:after="0" w:line="3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320" w:top="448"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65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9630" cy="5965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Multimodal Database</w:t>
      </w:r>
    </w:p>
    <w:p>
      <w:pPr>
        <w:spacing w:after="0" w:line="112" w:lineRule="exact"/>
        <w:rPr>
          <w:sz w:val="20"/>
          <w:szCs w:val="20"/>
          <w:color w:val="auto"/>
        </w:rPr>
      </w:pPr>
    </w:p>
    <w:p>
      <w:pPr>
        <w:jc w:val="both"/>
        <w:ind w:left="200" w:firstLine="438"/>
        <w:spacing w:after="0" w:line="278" w:lineRule="auto"/>
        <w:rPr>
          <w:sz w:val="20"/>
          <w:szCs w:val="20"/>
          <w:color w:val="auto"/>
        </w:rPr>
      </w:pPr>
      <w:r>
        <w:rPr>
          <w:rFonts w:ascii="Times New Roman" w:cs="Times New Roman" w:eastAsia="Times New Roman" w:hAnsi="Times New Roman"/>
          <w:sz w:val="16"/>
          <w:szCs w:val="16"/>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 real-time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over 900 million documents, across more than 5.6 million de-identified patient records, including approximately 1.3 billion pages of rich clinical text that we use to train our large language models. The database also includes over 1,000,000 records with imaging data, more than 900,000 with matched clinical records linked with genomic information, and more than 220,000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believe our unique data set enables us to bring the benefits of generative AI and large language models to healthcare, as our curated, multimodal database can be used as a proprietary training set to build a variety of AI-based applications, which we intend to deploy through our existing network and distribution platform. We also retain the rights to broadly commercialize de-identified data. As the amount of data in our cloud environment continues to grow from its current size of more than 200 petabytes, we believe new AI applications and opportunities will emerge that are only possible with scale, driving further innovations in patient treatment. The graph below shows our historical database growth and its composition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Software Tools and Solutions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have developed numerous software tools that power our Platform, making our services accessible to multiple constituencies within the healthcare ecosystem and creating a back-end infrastructure that supports our various product lines. We employ AI techniques including neural networks, deep learning, large language models, and other statistical learning techniques to generate patient-specific insights. We are able to not only train and validate some of these AI models for research use, but we can also develop them into clinical-grade algorithmic tests, or Algos, and deploy them clinically as part of routine care. As our data advantage and system architecture continue to improve, we believe our existing Intelligent Diagnostics will gain further adoption thereby accelerating our ability to deploy technologies, including AI Applications, in the clinical setting.</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left="200" w:firstLine="438"/>
        <w:spacing w:after="0" w:line="267" w:lineRule="auto"/>
        <w:rPr>
          <w:sz w:val="20"/>
          <w:szCs w:val="20"/>
          <w:color w:val="auto"/>
        </w:rPr>
      </w:pPr>
      <w:r>
        <w:rPr>
          <w:rFonts w:ascii="Times New Roman" w:cs="Times New Roman" w:eastAsia="Times New Roman" w:hAnsi="Times New Roman"/>
          <w:sz w:val="18"/>
          <w:szCs w:val="18"/>
          <w:color w:val="auto"/>
        </w:rPr>
        <w:t>We have developed multiple products derived from our Platform that are designed to create an economic model that allows us to invest in structuring and harmonizing data, which is a necessary precursor for deploying AI at scale.</w:t>
      </w:r>
    </w:p>
    <w:p>
      <w:pPr>
        <w:spacing w:after="0" w:line="3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320" w:top="448"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331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9630" cy="633158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81" w:lineRule="auto"/>
        <w:rPr>
          <w:sz w:val="20"/>
          <w:szCs w:val="20"/>
          <w:color w:val="auto"/>
        </w:rPr>
      </w:pPr>
      <w:r>
        <w:rPr>
          <w:rFonts w:ascii="Times New Roman" w:cs="Times New Roman" w:eastAsia="Times New Roman" w:hAnsi="Times New Roman"/>
          <w:sz w:val="16"/>
          <w:szCs w:val="16"/>
          <w:color w:val="auto"/>
        </w:rPr>
        <w:t>Our products are organized under three product lines, each of which is designed to enable and enhance the others, thereby creating network effects in each of the markets in which we operate. We started in Genomics by generating large amounts of molecular data, which in turn gave rise to our Data and Services business through which we licensed de-identified data, which at scale has allowed us to provide a series of data-related services to our life sciences customers, such as clinical trial matching, or Trials. Over time, we expect these products (Genomics + Data and Services) to facilitate deployment of our AI Applications, or Algos, product line through which we will leverage AI models to help route patients to the optimal therapy and advance research more broadly. Our business model allows both Tempus and our customers to unlock value from the data we make available in different ways across our different product lines. We believe these network effects provide a unique advantage to our business, as the compounding value of each data record in our database serves to enhance our competitive advantage. The more data we collect, the smarter our tests become, the more applications we can launch, the more physicians join our network, further growing our database, making our tests smarter for clinicians and our database more valuable for researchers.</w:t>
      </w:r>
    </w:p>
    <w:p>
      <w:pPr>
        <w:spacing w:after="0" w:line="162" w:lineRule="exact"/>
        <w:rPr>
          <w:sz w:val="20"/>
          <w:szCs w:val="20"/>
          <w:color w:val="auto"/>
        </w:rPr>
      </w:pPr>
    </w:p>
    <w:p>
      <w:pPr>
        <w:jc w:val="both"/>
        <w:ind w:left="200" w:firstLine="438"/>
        <w:spacing w:after="0" w:line="282" w:lineRule="auto"/>
        <w:rPr>
          <w:sz w:val="20"/>
          <w:szCs w:val="20"/>
          <w:color w:val="auto"/>
        </w:rPr>
      </w:pPr>
      <w:r>
        <w:rPr>
          <w:rFonts w:ascii="Times New Roman" w:cs="Times New Roman" w:eastAsia="Times New Roman" w:hAnsi="Times New Roman"/>
          <w:sz w:val="16"/>
          <w:szCs w:val="16"/>
          <w:color w:val="auto"/>
        </w:rPr>
        <w:t>We describe below our three product lines—Genomics, Data and Services, and AI Applications. Genomics revenue was $151.9 million, $195.0 million, $198.0 million and $363.0 million for the years ended December 31, 2020, 2021, 2022 and 2023, respectively, and $82.1 million and $102.6 million for the three months ended March 31, 2023 and 2024, respectively. Data revenue was $36.1 million, $62.8 million, $122.7 million and $168.8 million for the years ended December 31, 2020, 2021, 2022 and 2023, respectively, and $33.6 million and $43.3 million for the three months ended March 31, 2023 and 2024, respectively. For the years ended December 31, 2020, 2021, 2022 and 2023, Genomics represented 81%, 76%, 62% and 68%, respectively, and Data represented 19%, 24%, 38% and 32%, respectively, of our total revenue. Revenue generated from AI Applications is reported within Data and services in our Consolidated Statement of Operations and was $1.4 million and $5.5 million for the years ended December 31, 2022 and 2023, respectively. Revenue generated from AI Applications was less than $1.0 million for each of the three months ended March 31, 2023 and 2024.</w:t>
      </w: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Genomics product line leverages our laboratories to provide NGS diagnostics, molecular genotyping, and other anatomic and molecular pathology testing to healthcare providers, life sciences companies, researchers, and other third parties. We operate robotic sequencing labs in Chicago, Atlanta, and Raleigh, with automated bioinformatics and variant classification and reporting that allow us to operate as a high-quality, low-cost NGS provider that broadly serves the market. Our labs are certified by the Clinical Laboratory Improvement Amendments, or CLIA, and accredited by the College of American Pathologists, or CAP. However, unlike other laboratory diagnostic testing providers, many of our tests are connected to clinical data in some manner, which allows our suite of tests to be self-learning, becoming more accurate and precise with each new test that we run. Our current primary assays include:</w:t>
      </w:r>
    </w:p>
    <w:p>
      <w:pPr>
        <w:spacing w:after="0" w:line="97" w:lineRule="exact"/>
        <w:rPr>
          <w:sz w:val="20"/>
          <w:szCs w:val="20"/>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 – 648 gene solid tumor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xR – full transcriptome (RNA) solid tumor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xT-cdx – 648 gene, tumor/normal FDA approved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 – whole exome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105 gene liquid biopsy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52 gene inherited cancer risk germline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 – pharmacogenomics profiling in neuropsychiatry;</w:t>
      </w:r>
    </w:p>
    <w:p>
      <w:pPr>
        <w:spacing w:after="0" w:line="121"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expanded 523 gene panel covering additional fusions and copy number variants, or CNVs, as well as blood tumor mutational burden, or bTMB, and microsatellite instability high, or MSI-H;</w:t>
      </w:r>
    </w:p>
    <w:p>
      <w:pPr>
        <w:spacing w:after="0" w:line="77"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88 gene panel covering genes associated with both common and rare hereditary cancers; and</w:t>
      </w:r>
    </w:p>
    <w:p>
      <w:pPr>
        <w:spacing w:after="0" w:line="121" w:lineRule="exact"/>
        <w:rPr>
          <w:rFonts w:ascii="Times New Roman" w:cs="Times New Roman" w:eastAsia="Times New Roman" w:hAnsi="Times New Roman"/>
          <w:sz w:val="18"/>
          <w:szCs w:val="18"/>
          <w:color w:val="auto"/>
        </w:rPr>
      </w:pPr>
    </w:p>
    <w:p>
      <w:pPr>
        <w:ind w:left="1160" w:hanging="535"/>
        <w:spacing w:after="0" w:line="267"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xM - high coverage methylation sequencing assay for minimal residual disease detection launched in June 2024 initially covering colorectal cancer with the potential to expand into both other indications and treatment response monitoring.</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320" w:top="448"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581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9630" cy="658177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 addition, on June 1, 2024, pursuant to our Commercialization and Reference Laboratory Agreement with Personalis, Inc., we made available for clinical ordering NeXT Personal Dx, an ultra sensitive, whole genome minimal residual disease and monitoring assay for non-small cell lung cancer, breast cancer, and immuno-oncology treatment response monitoring.</w:t>
      </w:r>
    </w:p>
    <w:p>
      <w:pPr>
        <w:spacing w:after="0" w:line="18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As we have continued to expand our laboratory testing offerings and scale, in addition to increasing reimbursement for our tests, we have achieved continued improved margins. Genomics margin, adjusted for the impact of COVID-19 testing, was (21%), 4%, 25%, 48%, 45% and 48% for the years ended December 31, 2020, 2021, 2022 and 2023 and the three months ended March 31, 2023 and 2024, respectively.</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cancer tests have gained wide market adoption and allowed us to amass what we consider to be one of the largest de-identified clinical and molecular oncology datasets in the world, which we make available to physicians and life sciences companies. Because our Platform is designed to be extensible across disease areas, we hope, over time, to have similar success in neuropsychiatry, cardiology, and the other disease categories in which we choose to expand.</w:t>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Our Data and Services product line facilitates drug discovery and development for life sciences companies through two primary products, Insights and Trials. Through our Insights product, we license libraries of linked clinical, molecular, and imaging de-identified data and provide a suite of analytic and cloud-and-compute tools to pharmaceutical and biotechnology companies. Historically, datasets in healthcare have been siloed, often lacking important contextual information such as outcome and treatment response data. Our Insights offering is designed to address this void across multiple diseases, enabling pharmaceutical and biotechnology companies to improve decision-making across the drug lifecycle—from discovery, research and development, and, ultimately,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Customers either pay us on a per file basis or through multi-year data licensing agreements to access our de-identified database of clinical records. We work with 19 of the 20 largest public pharmaceutical companies based on 2023 revenue, and as of December 31, 2023, we have signed contracts with a remaining total contract value of more than $920.0 million, which includes approximately $300.0 million in additional potential future contractual opt-ins. See “Business” for additional discussion regarding our remaining total contract value.</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448"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114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41141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retain broad rights to commercialize most of the de-identified data we collect, and we are able to license the same de-identified records to multiple customers. Additionally, because many of our data profiles regularly update with clinical outcome and response data, the value of a single de-identified record can increase over time.</w:t>
      </w:r>
    </w:p>
    <w:p>
      <w:pPr>
        <w:spacing w:after="0" w:line="18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To illustrate one of the ways that our business model differs from traditional diagnostics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and Services revenue is a component of Data and services revenue in our Consolidated Statement of Operations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does not include costs reported as Cost of revenues, data and services in the Consolidated Statement of Operations. Cost of revenues, data and services were $40.2 million and $56.5 million for the years ended December 31, 2022 and 2023, respectively. These costs represented 32.8% and 33.5% of data and services revenue for the years ended December 31, 2022 and 2023, respectively.</w:t>
      </w:r>
    </w:p>
    <w:p>
      <w:pPr>
        <w:spacing w:after="0" w:line="193"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In 2018, the first full year that we operated a laboratory, we sequenced samples from approximately 7,500 patients. From that 2018 cohort of sequenced patients, through December 31, 2023, we generated $66.2 million of combined revenue from sequencing, data licensing of de-identified data derived from those records, analytical services, and clinical trials matching, which is approximately 7.4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to 2023 from the 2018 cohort, and as of December 31, 2023, the 2018 “Cohort Lifetime Value” was $48.8 million. We experienced similar trends for the 2019 to 2023 cohorts. As of December 31, 2023, the 2019 “Cohort Lifetime Value” was $63.7 million, the 2020 “Cohort Lifetime Value” was $70.8 million, the 2021 “Cohort Lifetime Value” was $82.7 million, the 2022 “Cohort Lifetime Value” was $87.8 million, and the 2023 “Cohort Lifetime Value” was $182.2 million in its first year of existence.</w:t>
      </w: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320" w:top="448"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815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68154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“Cohort Lifetime Value” for the 2018 to 2023 data cohorts is illustrated in the graphs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39"/>
          </w:cols>
          <w:pgMar w:left="320" w:top="44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656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665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Our second focus area within our Data and Services product line, Trials, is a suite of services designed to leverage the broad network of physicians we work with in oncology to provide clinical trial support for pharmaceutical companies that are looking to reach hard-to-find and underserved patient populations. Our clinical trial matching product, which we refer to as TIME, is built on top of our near real-time data feeds and</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448"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5816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9630" cy="55816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83" w:lineRule="auto"/>
        <w:rPr>
          <w:sz w:val="20"/>
          <w:szCs w:val="20"/>
          <w:color w:val="auto"/>
        </w:rPr>
      </w:pPr>
      <w:r>
        <w:rPr>
          <w:rFonts w:ascii="Times New Roman" w:cs="Times New Roman" w:eastAsia="Times New Roman" w:hAnsi="Times New Roman"/>
          <w:sz w:val="16"/>
          <w:szCs w:val="16"/>
          <w:color w:val="auto"/>
        </w:rPr>
        <w:t>harnesses AI to accelerate the connection between patients, clinical trial sites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 Since its introduction, this program has gained significant traction with more than 230 clinical trials signed into the network. More than 30,000 patients were identified for potential enrollment into clinical trials in our network, as of March 31, 2024. We believe the breadth of our network, the data to which we have near real-time access, and our relationships with oncologists enable us to offer a clinical trial matching service that has the potential to materially expand patient access to and accelerate enrollment in clinical trials in the United States.</w:t>
      </w:r>
    </w:p>
    <w:p>
      <w:pPr>
        <w:spacing w:after="0" w:line="16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or CRO, which we subsequently renamed Tempus Compass, LLC, or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Our third product line, AI Applications, or Algos,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87"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Within oncology, we offer a suite of algorithmic tests as complements to our NGS assays, including our tumor origin test, or TO test, our homologous recombination deficiency test, or HRD test, and our Dihydropyrimidine Dehydrogenase Deficiency, or DPYD test. Our TO test is designed to predict the site of origin for cancer patients for whom the primary tumor site is unknown, which represents approximately 3% of cancer patients. Our TO test compares the molecular profile of the tumor with profiles of other cancers in our database. Our HRD test is designed to identify patients who might be sensitive to poly (ADP-ribose) polymerase inhibitors, or PARP inhibitors, which we estimate represent approximately 936,000 addressable patients in breast, ovarian, pancreatic, and prostate cancer patients. Identifying which patients are PARP sensitive can help physicians pursue specific courses of treatment, which may meaningfully prolong the patient’s life expectancy. Our DPYD test is designed to identify certain alterations in the DPYD gene, which may be associated with a patient’s potential toxicity to 5-FU/Capecitabine chemotherapy based on the associated drug labeling and guidelines from the Clinical Pharmacogenomics Implementation Consortium, or CPIC.</w:t>
      </w:r>
    </w:p>
    <w:p>
      <w:pPr>
        <w:spacing w:after="0" w:line="191"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In cardiology, we ingest multimodal data and use over 60 algorithms to identify potential care gaps and continuously monitor patient data to find at-risk patients who may be falling through a care gap unbeknownst to their physician, and automatically notify care teams of any needed follow-up or likely disease progression. More than 80 hospitals nationwide are currently powered by Tempus Next and more than 44,000 patients are screened per month. We are also developing algorithmic models that aid clinicians in identifying patients at increased risk of developing atrial fibrillation, or AFib, along with a variety of other cardiac conditions. These Algos are trained using de-identified data derived from approximately 3.5 million electrocardiograms, or ECGs, across more than</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320" w:top="448"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150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9630" cy="57150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49" w:lineRule="auto"/>
        <w:rPr>
          <w:sz w:val="20"/>
          <w:szCs w:val="20"/>
          <w:color w:val="auto"/>
        </w:rPr>
      </w:pPr>
      <w:r>
        <w:rPr>
          <w:rFonts w:ascii="Times New Roman" w:cs="Times New Roman" w:eastAsia="Times New Roman" w:hAnsi="Times New Roman"/>
          <w:sz w:val="18"/>
          <w:szCs w:val="18"/>
          <w:color w:val="auto"/>
        </w:rPr>
        <w:t>700,000 patients, with decades of longitudinal connected clinical data, including outcome and response data. As part of this initiative, the U.S. Food and Drug Administration, or FDA, awarded Tempus breakthrough designation status for an algorithm to predict AFib from a normal ECG for certain populations. Approximately 3.5% of all ECG results appear not to have AFib upon initial read, yet a major cardiac trauma or stroke occurs in these patients within a year. We estimate that approximately 300 million ECGs are run annually worldwide, and accordingly, this group of algorithms could affect up to ten and a half million patients each year.</w:t>
      </w:r>
    </w:p>
    <w:p>
      <w:pPr>
        <w:spacing w:after="0" w:line="187"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In addition to algorithms based on NGS testing or in the cardiology space, we offer, or are developing, a suite of algorithms derived from radiologic images and digital pathology slides. In October 2022, we acquired Arterys, Inc., a company that provides a platform to derive insights from radiologic medical images to improve 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w:t>
      </w:r>
    </w:p>
    <w:p>
      <w:pPr>
        <w:spacing w:after="0" w:line="187"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AI Applications product line represents an emerging category of diagnostics and has the potential to be highly disruptive across diagnostic tests in a broad set of disease areas. We believe that as our database grows, we will be able to expand our offerings, representing a significant long-term opportunity that may be substantially larger than our other existing product lines. We believe our ability to launch generative AI Applications at scale could be a unique differentiator of our Platform. For each AI Application, we use data the same way legacy diagnostics companies use chemistry in the battle against disease, attempting to improve patient care by learning from the patients who have come before, and tailoring test results based on a patient’s unique profile. Some Algos will likely yield little to no reimbursement until their clinical utility is well established, and some may obtain reimbursement at prevailing rates for comparable tests.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potential therapeutics or therapeutic pathways, often prescribed based on trial and error. When these conditions exist, technology and AI can facilitate precision medicine through data associations that substantially reduce the guesswork associated with which drug to prescribe, in what amount, and in which order. We are currently focused on oncology, neuropsychiatry, cardiology, and radiology, in which there is over $3 trillion of economic burden according to publicly available sources.</w:t>
      </w:r>
    </w:p>
    <w:p>
      <w:pPr>
        <w:spacing w:after="0" w:line="187"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just oncology and neuropsychiatry, which includes an estimated addressable market opportunity for solid tumor recurrence and treatment monitoring of over $20 billion. Our Data and Services product line operates within a market in which life sciences companies spent an estimated $262 billion in 2023 on research and development according to Evaluate Pharma, and addresses needs within the $50 billion clinical trial services market, the $51 billion market for biomarker discovery, and the $18 billion market for third party research for “real world evidence”, as estimated according to Mordor Intelligence and our internal estimates. Over time, we believe that the potential market opportunity for our AI Applications product line could be substantially larger than our other product lines combined.</w:t>
      </w:r>
    </w:p>
    <w:p>
      <w:pPr>
        <w:spacing w:after="0" w:line="3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60"/>
          </w:cols>
          <w:pgMar w:left="320" w:top="448"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2153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9630" cy="621538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Long-Term Vision</w:t>
      </w:r>
    </w:p>
    <w:p>
      <w:pPr>
        <w:spacing w:after="0" w:line="11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are in the early stages of addressing the significant market opportunity that is emerging as AI permeates healthcare. Based on our current customer adoption, Tempus has already built what we consider to be one of the largest multimodal datasets for cancer patients in the world (with other diseases following). We believe our competitive advantages are substantial. Our Genomics product line, which is based on our strong and extensive relationships with providers, feeds our Platform; our Data and Services product line is powered by dedicated, near real-time data pipelines that we believe are increasingly difficult to replicate; and our proprietary technology has allowed us to scale where others have been unable. As we are now connected to more than 50% of all oncologists practicing in the United States in some way, and a growing number of neuropsychiatric and cardiology patients, we have reached what we believe is an inflection point for adoption. As we collect more data, our tests become more accurate, we launch more applications, which leads more physicians to join our network, thereby growing our database even further, making our tests more precise for clinicians and our database more valuable for researchers.</w:t>
      </w:r>
    </w:p>
    <w:p>
      <w:pPr>
        <w:spacing w:after="0" w:line="191"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goal is to make vast amounts of healthcare information accessible and useful, allowing data to be organized and analyzed for the benefit of patients, physicians, and researchers. We envision a world where currently siloed, inaccessible datasets are instantly available through a single, purpose-built Platform to bring generative AI to healthcare. In oncology, this means the ability to generate new insights using molecular and anatomic pathology, bioinformatics, genomic variant analysis, inherited cancer risk, computational biology, drug label data, noted adverse events, clinical trials data, research publications, investigational studies, care pathways, real world evidentiary studies, and phenotypic and morphologic data. We envision a world where all of this data is connected to every diagnostic test run, with the results contextualized and personalized so that physicians can make data-driven decisions in real time in the clinical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Tempus has built the first version of our desired world—in oncology, in the United States—as our platform connects a patient’s genomic and clinical data to help physicians determine the optimal therapeutic path. Our tests are designed to know who the patient is. When we have the requisite data, the tests do not recommend drugs that have already been prescribed or clinical trials for which patients are not eligible.</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current product and service offerings represent the first step toward our singular pursuit: a world where physicians tailor their patient’s treatment based on data, so that every complex case is handled in a personalized fashion, making the promise of precision medicine a reality. We endeavor to make all laboratory tests (genomic or otherwise) AI-enabled or “Intelligent” because we believe this is the fastest path to bring the promise of AI to healthcare, improving outcomes for those most in need.</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60"/>
          </w:cols>
          <w:pgMar w:left="320" w:top="448"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37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9630" cy="637349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this singular pursuit we are indelibly focused.</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3" w:lineRule="exact"/>
        <w:rPr>
          <w:sz w:val="20"/>
          <w:szCs w:val="20"/>
          <w:color w:val="auto"/>
        </w:rPr>
      </w:pPr>
    </w:p>
    <w:p>
      <w:pPr>
        <w:ind w:left="1160" w:hanging="268"/>
        <w:spacing w:after="0"/>
        <w:tabs>
          <w:tab w:leader="none" w:pos="11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both a technology company and a healthcare company, allowing us to harness the advantages of both to advance precision medicine.</w:t>
      </w:r>
    </w:p>
    <w:p>
      <w:pPr>
        <w:spacing w:after="0" w:line="144" w:lineRule="exact"/>
        <w:rPr>
          <w:rFonts w:ascii="Times New Roman" w:cs="Times New Roman" w:eastAsia="Times New Roman" w:hAnsi="Times New Roman"/>
          <w:sz w:val="16"/>
          <w:szCs w:val="16"/>
          <w:color w:val="auto"/>
        </w:rPr>
      </w:pPr>
    </w:p>
    <w:p>
      <w:pPr>
        <w:ind w:left="1160" w:right="20" w:hanging="268"/>
        <w:spacing w:after="0" w:line="267"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built a Platform that is connected to hundreds of provider networks, allowing us to amass a large repository of multimodal data that we believe is essential for bringing AI to healthcare.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Intelligent Diagnostics provide significant value to our customers, which has fostered broad adoption of many of our products.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inherent network effects that help drive adoption and improve our data advantage with each new order placed.</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was built to collect, structure, harmonize and analyze large amounts of multimodal data and make use of large language models deploying generative AI applications in healthcare.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disease agnostic and facilitates rapid expansion into different disease categories.</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database and the breadth of our multimodal data capabilities position us well to be able to launch algorithmic diagnostics (Algos) and other AI Applications at scale.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and services are already widely used throughout the healthcare ecosystem.</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integration, go to market and commercial infrastructure provide a significant strategic advantage that can be leveraged to accelerate new product launches and realize efficiencies.</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3" w:lineRule="exact"/>
        <w:rPr>
          <w:sz w:val="20"/>
          <w:szCs w:val="20"/>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database and the number of providers connected to our Platform.</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Genomics product across healthcare providers.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data licensing and clinical trial matching products with pharmaceutical and biotechnology companies.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and deploy AI Applications at scale.</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capabilities and commercial traction outside of oncology, including in neuropsychiatry, radiology, cardiology, and other disease categories.</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internationally.</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Series G-5 Financing</w:t>
      </w:r>
    </w:p>
    <w:p>
      <w:pPr>
        <w:spacing w:after="0" w:line="11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On April 30, 2024, we entered into a stock purchase agreement with an investor affiliated with SoftBank Group Corporation, or SoftBank, pursuant to which we issued and sold 3,489,981 shares of our Series G-5 convertible preferred stock at a price per share of $57.3069, for an aggregate purchase price of approximately $200.0 million. The terms of our Series G-5 convertible preferred stock provide that in the event of an initial public offering of our Class A common stock, each share of Series G-5 convertible preferred stock would be converted into a number of shares of our Class A common stock equal to (i) $57.3069 per share, plus any accrued and unpaid dividends on such share, divided by (ii) the lesser of (a) $51.5762 and (b) 90% of the public offering price in this offering of $37.00 per share. As a result, all of the shares of Series G-5 convertible preferred stock will convert into an aggregate of 6,006,006 shares of our Class A common stock in connection with this offering.</w:t>
      </w: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60"/>
          </w:cols>
          <w:pgMar w:left="320" w:top="448"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381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9630" cy="5381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Japan Joint Venture and Related Agreements</w:t>
      </w:r>
    </w:p>
    <w:p>
      <w:pPr>
        <w:spacing w:after="0" w:line="11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On May 18, 2024, we entered into a Joint Venture Agreement, or the Joint Venture Agreement, by and among SoftBank, SoftBank Group Japan Corporation, Tempus and Pegasos Corp., or the Joint Venture, pursuant to which the Joint Venture will engage in certain business activities in Japan similar to those conducted by Tempus in the United States, including performing clinical sequencing, organizing patient data, and building a real world data business in Japan. We and SoftBank initially will capitalize the Joint Venture with ¥30,000,000,000 (approximately $190,779,000, based on foreign exchange rates as of May 31, 2024, split evenly between the two parties) and will each receive 50% of the Joint Venture’s outstanding capital stock and board seats. The initial capitalization of the Joint Venture is subject to a number of closing conditions, including that the parties must agree to a business plan and operating budget for the Joint Venture, receive an independent valuation of certain Tempus licensed technology and obtain any required regulatory clearances in the United States and Japan.</w:t>
      </w:r>
    </w:p>
    <w:p>
      <w:pPr>
        <w:spacing w:after="0" w:line="186" w:lineRule="exact"/>
        <w:rPr>
          <w:sz w:val="20"/>
          <w:szCs w:val="20"/>
          <w:color w:val="auto"/>
        </w:rPr>
      </w:pPr>
    </w:p>
    <w:p>
      <w:pPr>
        <w:jc w:val="both"/>
        <w:ind w:left="200" w:firstLine="438"/>
        <w:spacing w:after="0" w:line="278" w:lineRule="auto"/>
        <w:rPr>
          <w:sz w:val="20"/>
          <w:szCs w:val="20"/>
          <w:color w:val="auto"/>
        </w:rPr>
      </w:pPr>
      <w:r>
        <w:rPr>
          <w:rFonts w:ascii="Times New Roman" w:cs="Times New Roman" w:eastAsia="Times New Roman" w:hAnsi="Times New Roman"/>
          <w:sz w:val="16"/>
          <w:szCs w:val="16"/>
          <w:color w:val="auto"/>
        </w:rPr>
        <w:t>In connection with entering into the Joint Venture Agreement, Tempus entered into the following agreements with the Joint Venture: a Data License Agreement, or the Data License Agreement, which became effective immediately upon signing the Joint Venture Agreement; an Intellectual Property License Agreement, or the IP License Agreement, and a Services Agreement, each of which will become effective upon closing. Under the Data License Agreement, Tempus will grant the Joint Venture a limited, non-exclusive, transferable license with a limited right to sublicense certain de-identified data for certain specified uses solely in Japan (which we refer to as the Unrestricted Data License). The Unrestricted Data License will be initially granted with respect to a certain specified number of de-identified data records (which we refer to as the Initial Records Batch) and the Joint Venture may elect to license additional de-identified data records under the Unrestricted Data License. Under the Data License Agreement, the Joint Venture will pay us ¥7,500,000,000 (approximately $47,694,750 based on foreign exchange rates as of May 31, 2024) in exchange for the license to the Initial Records Batch. For a certain specified number of additional de-identified data records beyond the Initial Records Batch, the license fees will be the same as the Initial Records Batch or the then-current lowest price that Tempus provides to its other customers for similar data and license terms, whichever is lower. For any additional de-identified data records licensed under the Unrestricted Data License, the license fees will be the then-current lowest price that Tempus provides to its other customers for similar data and license terms. Pursuant to the IP License Agreement, we will provide the Joint Venture with a non-exclusive license with respect to certain of our technologies for certain specified uses solely in Japan in exchange for ¥7,500,000,000 (approximately $47,694,750 based on foreign exchange rates as of May 31, 2024). Under the Services Agreement, we will provide the Joint Venture with certain services.</w:t>
      </w:r>
    </w:p>
    <w:p>
      <w:pPr>
        <w:spacing w:after="0" w:line="380"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Pursuant to the terms of the Joint Venture Agreement, until the later of five years and such time as we cease to be a shareholder of the Joint Venture, we are restricted from (i) engaging in a similar business as the Joint Venture in Japan or (ii) licensing our technologies to any competitor of the Joint Venture for use in Japan. In addition, during the same period, we have agreed not to launch or operate a joint venture with a third party other than Softbank in Korea, Thailand, Singapore, Malaysia, Indonesia, the Philippines, the United Arab Emirates, Saudi Arabia or any other territory where we and SoftBank have agreed to launch a joint venture or similar commercial relationship, without first consulting with Softbank and subject to their right of first refusal. This restriction will terminate if SoftBank engages in a similar business as the Joint Venture in Japan. There can be no assurance that closing conditions under the Joint Venture Agreement will be satisfied or when, that the Joint Venture will be capitalized on the terms described herein or at all or that the IP License Agreement and/or the Services Agreement will become effective on the terms described herein or at all.</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0" w:lineRule="exact"/>
        <w:rPr>
          <w:sz w:val="20"/>
          <w:szCs w:val="20"/>
          <w:color w:val="auto"/>
        </w:rPr>
      </w:pPr>
    </w:p>
    <w:p>
      <w:pPr>
        <w:jc w:val="both"/>
        <w:ind w:left="200" w:firstLine="438"/>
        <w:spacing w:after="0" w:line="267" w:lineRule="auto"/>
        <w:rPr>
          <w:sz w:val="20"/>
          <w:szCs w:val="20"/>
          <w:color w:val="auto"/>
        </w:rPr>
      </w:pPr>
      <w:r>
        <w:rPr>
          <w:rFonts w:ascii="Times New Roman" w:cs="Times New Roman" w:eastAsia="Times New Roman" w:hAnsi="Times New Roman"/>
          <w:sz w:val="18"/>
          <w:szCs w:val="18"/>
          <w:color w:val="auto"/>
        </w:rPr>
        <w:t>Investing in our Class A common stock involves substantial risk. The risks described in the section titled “Risk Factors” immediately following this summary may cause us to not realize the full benefits of our strengths</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60"/>
          </w:cols>
          <w:pgMar w:left="320" w:top="448"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734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9630" cy="57734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or may cause us to be unable to successfully execute all or part of our strategy. Some of the more significant challenges include the following:</w:t>
      </w:r>
    </w:p>
    <w:p>
      <w:pPr>
        <w:spacing w:after="0" w:line="121" w:lineRule="exact"/>
        <w:rPr>
          <w:sz w:val="20"/>
          <w:szCs w:val="20"/>
          <w:color w:val="auto"/>
        </w:rPr>
      </w:pPr>
    </w:p>
    <w:p>
      <w:pPr>
        <w:ind w:left="116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may continue to incur losses in the future, and we may not be able to generate sufficient revenue to achieve and maintain profitability.</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not achieve or maintain sufficient commercial market acceptance.</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our continued access to, and ability to monetize, de-identified patient data.</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rapid growth make it difficult to evaluate our future prospects and the risks and challenges we may encounter.</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fund our existing operations, develop our Platform, commercialize new products or expand our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88"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or defects in, our Platform’s AI software, or increased regulation in this space, could impair our ability to process our data, develop products, or provide test results,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compete successfully with our competitors, we may be unable to increase or sustain our revenue or to achieve and then sustain profitability.</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88"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sole suppliers, for some of our laboratory instruments and materials and may not be able to find replacements or promptly transition to alternative suppliers.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88" w:lineRule="exact"/>
        <w:rPr>
          <w:rFonts w:ascii="Times New Roman" w:cs="Times New Roman" w:eastAsia="Times New Roman" w:hAnsi="Times New Roman"/>
          <w:sz w:val="18"/>
          <w:szCs w:val="18"/>
          <w:color w:val="auto"/>
        </w:rPr>
      </w:pPr>
    </w:p>
    <w:p>
      <w:pPr>
        <w:jc w:val="both"/>
        <w:ind w:left="1160" w:right="20" w:hanging="268"/>
        <w:spacing w:after="0" w:line="255"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320" w:top="448"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631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9630" cy="563181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information technology systems, including on premises, co-located and third-party data centers and platforms, and any interruptions of service or failures may impair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in the public market could cause the market price of our Class A common stock to decline.</w:t>
      </w:r>
    </w:p>
    <w:p>
      <w:pPr>
        <w:spacing w:after="0" w:line="121" w:lineRule="exact"/>
        <w:rPr>
          <w:rFonts w:ascii="Times New Roman" w:cs="Times New Roman" w:eastAsia="Times New Roman" w:hAnsi="Times New Roman"/>
          <w:sz w:val="18"/>
          <w:szCs w:val="18"/>
          <w:color w:val="auto"/>
        </w:rPr>
      </w:pPr>
    </w:p>
    <w:p>
      <w:pPr>
        <w:jc w:val="both"/>
        <w:ind w:left="1160" w:hanging="268"/>
        <w:spacing w:after="0" w:line="248"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relating to this offering are subject to a number of important exceptions and the restricted period pursuant to such lock-up agreements or the market standoff agreements with our RSU holders may be shortened. In addition, a significant number of shares may be sold in sell-to-cover transactions and we may issue a significant number of shares as consideration in certain transactions, including during the restricted period. As a result, a large number of shares of Class A common stock may become available for resale in the immediate future, including within 180 days after the date of this prospectus, which could materially depress the market price of our Class A common stock.</w:t>
      </w:r>
    </w:p>
    <w:p>
      <w:pPr>
        <w:spacing w:after="0" w:line="95"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331" w:lineRule="auto"/>
        <w:tabs>
          <w:tab w:leader="none" w:pos="11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anticipate incurring substantial federal and state tax withholding and remittance obligations in connection with the settlement of RSUs that vest in connection with this offering. The manner in which we fund these tax liabilities may have an adverse effect on our financial condition.</w:t>
      </w:r>
    </w:p>
    <w:p>
      <w:pPr>
        <w:spacing w:after="0" w:line="30" w:lineRule="exact"/>
        <w:rPr>
          <w:rFonts w:ascii="Times New Roman" w:cs="Times New Roman" w:eastAsia="Times New Roman" w:hAnsi="Times New Roman"/>
          <w:sz w:val="16"/>
          <w:szCs w:val="16"/>
          <w:color w:val="auto"/>
        </w:rPr>
      </w:pPr>
    </w:p>
    <w:p>
      <w:pPr>
        <w:ind w:left="1160" w:right="2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elected to take advantage of the “controlled company” exemption to the corporate governance rules for publicly listed companies but may do so in the future.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existing and any future debt may affect our flexibility in operating and developing our business and our ability to satisfy our obligations.</w:t>
      </w:r>
    </w:p>
    <w:p>
      <w:pPr>
        <w:spacing w:after="0" w:line="3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0" w:lineRule="exact"/>
        <w:rPr>
          <w:sz w:val="20"/>
          <w:szCs w:val="20"/>
          <w:color w:val="auto"/>
        </w:rPr>
      </w:pPr>
    </w:p>
    <w:p>
      <w:pPr>
        <w:jc w:val="both"/>
        <w:ind w:left="200" w:firstLine="438"/>
        <w:spacing w:after="0" w:line="288" w:lineRule="auto"/>
        <w:rPr>
          <w:sz w:val="20"/>
          <w:szCs w:val="20"/>
          <w:color w:val="auto"/>
        </w:rPr>
      </w:pPr>
      <w:r>
        <w:rPr>
          <w:rFonts w:ascii="Times New Roman" w:cs="Times New Roman" w:eastAsia="Times New Roman" w:hAnsi="Times New Roman"/>
          <w:sz w:val="16"/>
          <w:szCs w:val="16"/>
          <w:color w:val="auto"/>
        </w:rPr>
        <w:t>We were founded by Eric Lefkofsky, originally formed under the name Bioin LLC in Delaware in August 2015 and we converted to a Delaware corporation in September 2015 under the name Bioin Inc. We changed our name to Tempus Health, Inc. later in 2015, to Tempus Labs, Inc. in 2016 and in 2023, we changed our name to Tempus AI, Inc. Our principal executive offices are located at 600 West Chicago Avenue, Suite 510 Chicago, Illinois 60654, and our telephone number is (800) 976-5448. Our website address is www.tempus.com. Information contained on, or that can be accessed through, our website is not incorporated by reference into this prospectus, and you should not consider information on our website to be part of this prospectus.</w:t>
      </w:r>
    </w:p>
    <w:p>
      <w:pPr>
        <w:spacing w:after="0" w:line="156" w:lineRule="exact"/>
        <w:rPr>
          <w:sz w:val="20"/>
          <w:szCs w:val="20"/>
          <w:color w:val="auto"/>
        </w:rPr>
      </w:pPr>
    </w:p>
    <w:p>
      <w:pPr>
        <w:jc w:val="both"/>
        <w:ind w:left="200" w:firstLine="438"/>
        <w:spacing w:after="0" w:line="267" w:lineRule="auto"/>
        <w:rPr>
          <w:sz w:val="20"/>
          <w:szCs w:val="20"/>
          <w:color w:val="auto"/>
        </w:rPr>
      </w:pPr>
      <w:r>
        <w:rPr>
          <w:rFonts w:ascii="Times New Roman" w:cs="Times New Roman" w:eastAsia="Times New Roman" w:hAnsi="Times New Roman"/>
          <w:sz w:val="18"/>
          <w:szCs w:val="18"/>
          <w:color w:val="auto"/>
        </w:rPr>
        <w:t>The Tempus logo, “Tempus” and our other registered and common law trade names, trademarks and service marks are the property of Tempus AI, Inc. or our subsidiaries. Other trade names, trademarks and service marks used in this prospectus are the property of their respective owners.</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10"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for up to five years or until we are no longer an emerging growth company, whichever is earlier. We will cease to be an emerging growth company prior to the end of such five-year period if certain earlier events occur, including if we</w:t>
      </w: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60"/>
          </w:cols>
          <w:pgMar w:left="320" w:top="448"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131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9630" cy="13131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47" w:lineRule="auto"/>
        <w:rPr>
          <w:sz w:val="20"/>
          <w:szCs w:val="20"/>
          <w:color w:val="auto"/>
        </w:rPr>
      </w:pPr>
      <w:r>
        <w:rPr>
          <w:rFonts w:ascii="Times New Roman" w:cs="Times New Roman" w:eastAsia="Times New Roman" w:hAnsi="Times New Roman"/>
          <w:sz w:val="18"/>
          <w:szCs w:val="18"/>
          <w:color w:val="auto"/>
        </w:rPr>
        <w:t>become a “large accelerated filer” as defined in Rule 12b-2 under the Securities Exchange Act of 1934, as amended, or the Exchange Act, our annual gross revenues exceed $1.235 billion or we issue more than $1.0 billion of non-convertible debt in any three-year period.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3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20" w:top="448"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6648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9630" cy="56648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41" w:lineRule="exact"/>
        <w:rPr>
          <w:sz w:val="20"/>
          <w:szCs w:val="20"/>
          <w:color w:val="auto"/>
        </w:rPr>
      </w:pPr>
    </w:p>
    <w:p>
      <w:pPr>
        <w:ind w:left="200"/>
        <w:spacing w:after="0"/>
        <w:tabs>
          <w:tab w:leader="none" w:pos="5880" w:val="left"/>
        </w:tabs>
        <w:rPr>
          <w:sz w:val="20"/>
          <w:szCs w:val="20"/>
          <w:color w:val="auto"/>
        </w:rPr>
      </w:pPr>
      <w:r>
        <w:rPr>
          <w:rFonts w:ascii="Times New Roman" w:cs="Times New Roman" w:eastAsia="Times New Roman" w:hAnsi="Times New Roman"/>
          <w:sz w:val="18"/>
          <w:szCs w:val="18"/>
          <w:color w:val="auto"/>
        </w:rPr>
        <w:t>Class A common stock offered by us</w:t>
      </w:r>
      <w:r>
        <w:rPr>
          <w:sz w:val="20"/>
          <w:szCs w:val="20"/>
          <w:color w:val="auto"/>
        </w:rPr>
        <w:tab/>
      </w:r>
      <w:r>
        <w:rPr>
          <w:rFonts w:ascii="Times New Roman" w:cs="Times New Roman" w:eastAsia="Times New Roman" w:hAnsi="Times New Roman"/>
          <w:sz w:val="16"/>
          <w:szCs w:val="16"/>
          <w:color w:val="auto"/>
        </w:rPr>
        <w:t>11,100,000 shares</w:t>
      </w:r>
    </w:p>
    <w:p>
      <w:pPr>
        <w:sectPr>
          <w:pgSz w:w="11900" w:h="16838" w:orient="portrait"/>
          <w:cols w:equalWidth="0" w:num="1">
            <w:col w:w="11160"/>
          </w:cols>
          <w:pgMar w:left="320" w:top="448" w:right="419" w:bottom="1440" w:gutter="0" w:footer="0" w:header="0"/>
        </w:sectPr>
      </w:pPr>
    </w:p>
    <w:p>
      <w:pPr>
        <w:spacing w:after="0" w:line="69" w:lineRule="exact"/>
        <w:rPr>
          <w:sz w:val="20"/>
          <w:szCs w:val="20"/>
          <w:color w:val="auto"/>
        </w:rPr>
      </w:pPr>
    </w:p>
    <w:p>
      <w:pPr>
        <w:ind w:left="380" w:hanging="174"/>
        <w:spacing w:after="0" w:line="267"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 offered by us to cover over-allotments, if any</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A common stock to be outstanding immediately after this offering</w:t>
      </w:r>
    </w:p>
    <w:p>
      <w:pPr>
        <w:spacing w:after="0" w:line="200" w:lineRule="exact"/>
        <w:rPr>
          <w:sz w:val="20"/>
          <w:szCs w:val="20"/>
          <w:color w:val="auto"/>
        </w:rPr>
      </w:pP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B common stock to be outstanding immediately after this offering</w:t>
      </w:r>
    </w:p>
    <w:p>
      <w:pPr>
        <w:spacing w:after="0" w:line="279" w:lineRule="exact"/>
        <w:rPr>
          <w:sz w:val="20"/>
          <w:szCs w:val="20"/>
          <w:color w:val="auto"/>
        </w:rPr>
      </w:pPr>
    </w:p>
    <w:p>
      <w:pPr>
        <w:ind w:left="380" w:right="340" w:hanging="174"/>
        <w:spacing w:after="0" w:line="267" w:lineRule="auto"/>
        <w:rPr>
          <w:sz w:val="20"/>
          <w:szCs w:val="20"/>
          <w:color w:val="auto"/>
        </w:rPr>
      </w:pPr>
      <w:r>
        <w:rPr>
          <w:rFonts w:ascii="Times New Roman" w:cs="Times New Roman" w:eastAsia="Times New Roman" w:hAnsi="Times New Roman"/>
          <w:sz w:val="18"/>
          <w:szCs w:val="18"/>
          <w:color w:val="auto"/>
        </w:rPr>
        <w:t>Total Class A common stock and Class B common stock to be outstanding immediately after this offering</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1,665,000 shares</w:t>
      </w:r>
    </w:p>
    <w:p>
      <w:pPr>
        <w:spacing w:after="0" w:line="279" w:lineRule="exact"/>
        <w:rPr>
          <w:sz w:val="20"/>
          <w:szCs w:val="20"/>
          <w:color w:val="auto"/>
        </w:rPr>
      </w:pPr>
    </w:p>
    <w:p>
      <w:pPr>
        <w:ind w:left="180" w:right="440" w:hanging="174"/>
        <w:spacing w:after="0" w:line="267" w:lineRule="auto"/>
        <w:rPr>
          <w:sz w:val="20"/>
          <w:szCs w:val="20"/>
          <w:color w:val="auto"/>
        </w:rPr>
      </w:pPr>
      <w:r>
        <w:rPr>
          <w:rFonts w:ascii="Times New Roman" w:cs="Times New Roman" w:eastAsia="Times New Roman" w:hAnsi="Times New Roman"/>
          <w:sz w:val="18"/>
          <w:szCs w:val="18"/>
          <w:color w:val="auto"/>
        </w:rPr>
        <w:t>159,788,821 shares (or 161,453,821 shares if the underwriters’ over-allotment option is exercised in full)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5,043,789 shares</w:t>
      </w:r>
    </w:p>
    <w:p>
      <w:pPr>
        <w:spacing w:after="0" w:line="279" w:lineRule="exact"/>
        <w:rPr>
          <w:sz w:val="20"/>
          <w:szCs w:val="20"/>
          <w:color w:val="auto"/>
        </w:rPr>
      </w:pPr>
    </w:p>
    <w:p>
      <w:pPr>
        <w:ind w:left="180" w:right="440" w:hanging="174"/>
        <w:spacing w:after="0" w:line="267" w:lineRule="auto"/>
        <w:rPr>
          <w:sz w:val="20"/>
          <w:szCs w:val="20"/>
          <w:color w:val="auto"/>
        </w:rPr>
      </w:pPr>
      <w:r>
        <w:rPr>
          <w:rFonts w:ascii="Times New Roman" w:cs="Times New Roman" w:eastAsia="Times New Roman" w:hAnsi="Times New Roman"/>
          <w:sz w:val="18"/>
          <w:szCs w:val="18"/>
          <w:color w:val="auto"/>
        </w:rPr>
        <w:t>164,832,610 shares (or 166,497,610 shares if the underwriters’ over-allotment option is exercised in full)</w:t>
      </w:r>
    </w:p>
    <w:p>
      <w:pPr>
        <w:spacing w:after="0" w:line="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$371.5 million (or approximately $428.7 million if the underwriters’ over-allotment option is exercised in full), after deducting estimated underwriting discounts and commissions and estimated offering expenses.</w:t>
      </w:r>
    </w:p>
    <w:p>
      <w:pPr>
        <w:spacing w:after="0" w:line="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intend to use approximately $70.8 million of the net proceeds from this offering to pay federal and state tax withholding and remittance obligations related to the RSU Net Settlement (defined below). As of the date of this prospectus, we cannot specify with certainty all of the particular uses for the remaining net proceeds of this offering. However, we currently intend to use the remaining net proceeds of this offering for general corporate purposes, including working capital, operating expenses, remittance of federal and state tax withholding in connection with the net settlement of additional RSUs, repayment of debt and capital expenditures. We may also use a portion of the net proceeds to acquire complementary businesses, products, services or technologies. At this time, we do not have agreements or commitments to enter into any material acquisitions. See the section titled “Use of Proceeds” for additional information.</w:t>
      </w:r>
    </w:p>
    <w:p>
      <w:pPr>
        <w:spacing w:after="0" w:line="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will have two classes of common stock following this offering: Class A common stock and Class B common stock. Each share of Class A common stock is entitled to one vote and each share of Class B common stock is entitled to 30 votes and is convertible at any time into one share of Class A common stock. In addition, all shares of Class B</w:t>
      </w:r>
    </w:p>
    <w:p>
      <w:pPr>
        <w:spacing w:after="0" w:line="200" w:lineRule="exact"/>
        <w:rPr>
          <w:sz w:val="20"/>
          <w:szCs w:val="20"/>
          <w:color w:val="auto"/>
        </w:rPr>
      </w:pPr>
    </w:p>
    <w:p>
      <w:pPr>
        <w:sectPr>
          <w:pgSz w:w="11900" w:h="16838" w:orient="portrait"/>
          <w:cols w:equalWidth="0" w:num="2">
            <w:col w:w="5740" w:space="160"/>
            <w:col w:w="5260"/>
          </w:cols>
          <w:pgMar w:left="320" w:top="448" w:right="419" w:bottom="1440" w:gutter="0" w:footer="0" w:header="0"/>
          <w:type w:val="continuous"/>
        </w:sectPr>
      </w:pPr>
    </w:p>
    <w:p>
      <w:pPr>
        <w:spacing w:after="0" w:line="1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60"/>
          </w:cols>
          <w:pgMar w:left="320" w:top="448" w:right="4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022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9630" cy="50228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common stock will automatically convert into shares of Class A common</w:t>
      </w:r>
    </w:p>
    <w:p>
      <w:pPr>
        <w:spacing w:after="0" w:line="4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stock  in  certain  circumstances,  including  (1)  on  the  date  that  Eric</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Lefkofsky, our Chief Executive Officer, Founder and Chairman ceases to</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serve as an executive officer or member of our Board of Directors or</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(2) on the trading day that is no less than 90 days and no more than 150</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days following the date on which he ceases to own, together with his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controlled entities, at least 10,000,000 shares of our capital stock (as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adjusted for stock splits, stock dividends, combinations, subdivisions and</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recapitalizations). See the section titled “Description of Capital Stock—</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Class A Common Stock and Class B Common Stock.”</w:t>
      </w:r>
    </w:p>
    <w:p>
      <w:pPr>
        <w:spacing w:after="0" w:line="1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Holders of Class A common stock and Class B common stock will</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generally vote together as a single class, unless otherwise required by law</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or our amended and restated certificate of incorporation that will be in</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effect on the closing of this offering. Our Chief Executive Officer,</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Founder and Chairman, Eric Lefkofsky, will beneficially own 100% of our</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outstanding Class B common stock and will hold approximately 64.3% of</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the voting power of our outstanding shares immediately following this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offering. As a result, Mr. Lefkofsky will have the ability to control the</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outcome of matters submitted to our stockholders for approval, including</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the election of our directors and the approval of any change in control</w:t>
      </w:r>
    </w:p>
    <w:p>
      <w:pPr>
        <w:spacing w:after="0" w:line="3" w:lineRule="exact"/>
        <w:rPr>
          <w:sz w:val="20"/>
          <w:szCs w:val="20"/>
          <w:color w:val="auto"/>
        </w:rPr>
      </w:pPr>
    </w:p>
    <w:p>
      <w:pPr>
        <w:ind w:left="5900"/>
        <w:spacing w:after="0"/>
        <w:tabs>
          <w:tab w:leader="none" w:pos="6860" w:val="left"/>
          <w:tab w:leader="none" w:pos="7260" w:val="left"/>
          <w:tab w:leader="none" w:pos="7640" w:val="left"/>
          <w:tab w:leader="none" w:pos="8360" w:val="left"/>
          <w:tab w:leader="none" w:pos="8860" w:val="left"/>
          <w:tab w:leader="none" w:pos="9740" w:val="left"/>
          <w:tab w:leader="none" w:pos="10880" w:val="left"/>
        </w:tabs>
        <w:rPr>
          <w:sz w:val="20"/>
          <w:szCs w:val="20"/>
          <w:color w:val="auto"/>
        </w:rPr>
      </w:pPr>
      <w:r>
        <w:rPr>
          <w:rFonts w:ascii="Times New Roman" w:cs="Times New Roman" w:eastAsia="Times New Roman" w:hAnsi="Times New Roman"/>
          <w:sz w:val="18"/>
          <w:szCs w:val="18"/>
          <w:color w:val="auto"/>
        </w:rPr>
        <w:t>transaction.</w:t>
        <w:tab/>
        <w:t>See</w:t>
        <w:tab/>
        <w:t>the</w:t>
        <w:tab/>
        <w:t>sections</w:t>
        <w:tab/>
        <w:t>titled</w:t>
        <w:tab/>
        <w:t>“Principal</w:t>
        <w:tab/>
        <w:t>Stockholders”</w:t>
        <w:tab/>
        <w:t>and</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“Description of Capital Stock” for additional information.</w:t>
      </w:r>
    </w:p>
    <w:p>
      <w:pPr>
        <w:sectPr>
          <w:pgSz w:w="11900" w:h="16838" w:orient="portrait"/>
          <w:cols w:equalWidth="0" w:num="1">
            <w:col w:w="11160"/>
          </w:cols>
          <w:pgMar w:left="320" w:top="448" w:right="419" w:bottom="1440" w:gutter="0" w:footer="0" w:header="0"/>
        </w:sectPr>
      </w:pPr>
    </w:p>
    <w:p>
      <w:pPr>
        <w:spacing w:after="0" w:line="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Risk factors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carefully read the section titled “Risk Factors” beginning on page 28 and the other information included in this prospectus for a discussion of facts that you should consider before deciding to invest in</w:t>
      </w:r>
    </w:p>
    <w:p>
      <w:pPr>
        <w:spacing w:after="0" w:line="200" w:lineRule="exact"/>
        <w:rPr>
          <w:sz w:val="20"/>
          <w:szCs w:val="20"/>
          <w:color w:val="auto"/>
        </w:rPr>
      </w:pPr>
    </w:p>
    <w:p>
      <w:pPr>
        <w:sectPr>
          <w:pgSz w:w="11900" w:h="16838" w:orient="portrait"/>
          <w:cols w:equalWidth="0" w:num="2">
            <w:col w:w="5180" w:space="720"/>
            <w:col w:w="5260"/>
          </w:cols>
          <w:pgMar w:left="320" w:top="448" w:right="419" w:bottom="1440" w:gutter="0" w:footer="0" w:header="0"/>
          <w:type w:val="continuous"/>
        </w:sectPr>
      </w:pPr>
    </w:p>
    <w:p>
      <w:pPr>
        <w:spacing w:after="0" w:line="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Nasdaq Global Select trading symbol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w:t>
      </w:r>
    </w:p>
    <w:p>
      <w:pPr>
        <w:spacing w:after="0" w:line="200" w:lineRule="exact"/>
        <w:rPr>
          <w:sz w:val="20"/>
          <w:szCs w:val="20"/>
          <w:color w:val="auto"/>
        </w:rPr>
      </w:pPr>
    </w:p>
    <w:p>
      <w:pPr>
        <w:sectPr>
          <w:pgSz w:w="11900" w:h="16838" w:orient="portrait"/>
          <w:cols w:equalWidth="0" w:num="2">
            <w:col w:w="5180" w:space="720"/>
            <w:col w:w="5260"/>
          </w:cols>
          <w:pgMar w:left="320" w:top="448" w:right="419" w:bottom="1440" w:gutter="0" w:footer="0" w:header="0"/>
          <w:type w:val="continuous"/>
        </w:sectPr>
      </w:pPr>
    </w:p>
    <w:p>
      <w:pPr>
        <w:spacing w:after="0" w:line="13" w:lineRule="exact"/>
        <w:rPr>
          <w:sz w:val="20"/>
          <w:szCs w:val="20"/>
          <w:color w:val="auto"/>
        </w:rPr>
      </w:pPr>
    </w:p>
    <w:p>
      <w:pPr>
        <w:jc w:val="both"/>
        <w:ind w:left="200" w:firstLine="438"/>
        <w:spacing w:after="0" w:line="302" w:lineRule="auto"/>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 based on 148,688,821 shares of Class A common stock and 5,043,789 shares of Class B common stock outstanding as of March 31, 2024 on a pro forma basis, after giving effect to the adjustments set forth in footnote 2 to the table in “—Summary Consolidated Financial Data” below and excludes:</w:t>
      </w:r>
    </w:p>
    <w:p>
      <w:pPr>
        <w:spacing w:after="0" w:line="54" w:lineRule="exact"/>
        <w:rPr>
          <w:sz w:val="20"/>
          <w:szCs w:val="20"/>
          <w:color w:val="auto"/>
        </w:rPr>
      </w:pPr>
    </w:p>
    <w:p>
      <w:pPr>
        <w:jc w:val="both"/>
        <w:ind w:left="1160" w:hanging="535"/>
        <w:spacing w:after="0" w:line="302" w:lineRule="auto"/>
        <w:tabs>
          <w:tab w:leader="none" w:pos="11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5,472,557 shares of Class A common stock issuable on the vesting and settlement of restricted stock units, or RSUs, as of March 31, 2024 under our Third Amended and Restated 2015 Stock Plan, as amended, or 2015 Plan, for which the performance-based vesting condition will be satisfied in connection with this offering, but for which the service-based vesting condition will not be satisfied on or before June 14, 2024;</w:t>
      </w:r>
    </w:p>
    <w:p>
      <w:pPr>
        <w:spacing w:after="0" w:line="26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60"/>
          </w:cols>
          <w:pgMar w:left="320" w:top="448" w:right="4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3981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9630" cy="539813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hanging="535"/>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1,527,044 shares of Class A common stock issuable upon the settlement of RSUs granted after March 31, 2024 under the 2015 Plan;</w:t>
      </w:r>
    </w:p>
    <w:p>
      <w:pPr>
        <w:spacing w:after="0" w:line="121" w:lineRule="exact"/>
        <w:rPr>
          <w:rFonts w:ascii="Times New Roman" w:cs="Times New Roman" w:eastAsia="Times New Roman" w:hAnsi="Times New Roman"/>
          <w:sz w:val="18"/>
          <w:szCs w:val="18"/>
          <w:color w:val="auto"/>
        </w:rPr>
      </w:pPr>
    </w:p>
    <w:p>
      <w:pPr>
        <w:jc w:val="both"/>
        <w:ind w:left="1160" w:hanging="535"/>
        <w:spacing w:after="0" w:line="255"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7,430,000 shares of Class A common stock reserved for future issuance under our 2024 Equity Incentive Plan, or 2024 Plan, as well as any future increases, including annual automatic evergreen increases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as described in the section of this prospectus titled “Executive Compensation—Equity Incentive Plans”), in the number of shares of Class A common stock reserved for issuance under the 2024 Plan;</w:t>
      </w:r>
    </w:p>
    <w:p>
      <w:pPr>
        <w:spacing w:after="0" w:line="88" w:lineRule="exact"/>
        <w:rPr>
          <w:rFonts w:ascii="Times New Roman" w:cs="Times New Roman" w:eastAsia="Times New Roman" w:hAnsi="Times New Roman"/>
          <w:sz w:val="18"/>
          <w:szCs w:val="18"/>
          <w:color w:val="auto"/>
        </w:rPr>
      </w:pPr>
    </w:p>
    <w:p>
      <w:pPr>
        <w:jc w:val="both"/>
        <w:ind w:left="1160" w:hanging="535"/>
        <w:spacing w:after="0" w:line="302" w:lineRule="auto"/>
        <w:tabs>
          <w:tab w:leader="none" w:pos="11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3,000,000 shares of Class A common stock reserved for future issuance under our 2024 Employee Stock Purchase Plan, or the ESPP, as well as any future increases, including annual automatic evergreen increases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as described in the section of this prospectus titled “Executive Compensation—Equity Incentive Plans”), in the number of shares of Class A common stock reserved for issuance under the ESPP;</w:t>
      </w:r>
    </w:p>
    <w:p>
      <w:pPr>
        <w:spacing w:after="0" w:line="53" w:lineRule="exact"/>
        <w:rPr>
          <w:rFonts w:ascii="Times New Roman" w:cs="Times New Roman" w:eastAsia="Times New Roman" w:hAnsi="Times New Roman"/>
          <w:sz w:val="16"/>
          <w:szCs w:val="16"/>
          <w:color w:val="auto"/>
        </w:rPr>
      </w:pPr>
    </w:p>
    <w:p>
      <w:pPr>
        <w:ind w:left="1160" w:right="20" w:hanging="535"/>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March 31, 2024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160" w:hanging="535"/>
        <w:spacing w:after="0" w:line="249"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promissory note we issued to Google LLC, as amended, which note is convertible beginning in March 2026 into a number of shares determined by dividing (i) the then outstanding principal amount of such note (which was $186.7 million as of March 31, 2024) plus accrued and unpaid interest by (ii) the average of the last trading price of our Class A common stock on each trading day during the twenty-day period ending immediately prior to March 22, 2026, as more fully described in the section of this prospectus titled “Description of Capital Stock—Convertible Promissory Note”;</w:t>
      </w:r>
    </w:p>
    <w:p>
      <w:pPr>
        <w:spacing w:after="0" w:line="94" w:lineRule="exact"/>
        <w:rPr>
          <w:rFonts w:ascii="Times New Roman" w:cs="Times New Roman" w:eastAsia="Times New Roman" w:hAnsi="Times New Roman"/>
          <w:sz w:val="18"/>
          <w:szCs w:val="18"/>
          <w:color w:val="auto"/>
        </w:rPr>
      </w:pPr>
    </w:p>
    <w:p>
      <w:pPr>
        <w:jc w:val="both"/>
        <w:ind w:left="1160" w:right="20" w:hanging="535"/>
        <w:spacing w:after="0" w:line="255"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2,702,703 shares of Class A common stock issuable upon the exercise of the warrant issued to AstraZeneca AB, or AstraZeneca, with an exercise price equal to the initial public offering price of $37.00 per share, as more fully described in the section of this prospectus titled “Business—Operations—Our Strategic Collaboration—AstraZeneca Master Services Agreement”;</w:t>
      </w:r>
    </w:p>
    <w:p>
      <w:pPr>
        <w:spacing w:after="0" w:line="88"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$8.8 million in shares of Class A common stock issuable to one of our stockholders pursuant to a contingent payment right, which payment may be made in cash or shares of Class A common stock, upon mutual agreement of us and such stockholder;</w:t>
      </w:r>
    </w:p>
    <w:p>
      <w:pPr>
        <w:spacing w:after="0" w:line="77"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35,000 shares of Class A common stock issuable to former stockholders of SEngine based on the average of the trading prices of our Class A common stock for the seven trading days immediately after the effective date of this offering; and</w:t>
      </w:r>
    </w:p>
    <w:p>
      <w:pPr>
        <w:spacing w:after="0" w:line="77" w:lineRule="exact"/>
        <w:rPr>
          <w:rFonts w:ascii="Times New Roman" w:cs="Times New Roman" w:eastAsia="Times New Roman" w:hAnsi="Times New Roman"/>
          <w:sz w:val="18"/>
          <w:szCs w:val="18"/>
          <w:color w:val="auto"/>
        </w:rPr>
      </w:pPr>
    </w:p>
    <w:p>
      <w:pPr>
        <w:jc w:val="both"/>
        <w:ind w:left="1160" w:hanging="535"/>
        <w:spacing w:after="0" w:line="251"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Class A common stock in an amount up to 15.0% of the total number of shares of our common stock outstanding immediately following this offering, which we may issue in connection with acquisitions, joint ventures, commercial agreements and other similar arrangements pursuant to an exception from our lock-up during the 180-day period following the date of this prospectus, as further described in the section entitled “Underwriting.”</w:t>
      </w:r>
    </w:p>
    <w:p>
      <w:pPr>
        <w:spacing w:after="0" w:line="184" w:lineRule="exact"/>
        <w:rPr>
          <w:sz w:val="20"/>
          <w:szCs w:val="20"/>
          <w:color w:val="auto"/>
        </w:rPr>
      </w:pPr>
    </w:p>
    <w:p>
      <w:pPr>
        <w:ind w:left="200" w:firstLine="438"/>
        <w:spacing w:after="0" w:line="267" w:lineRule="auto"/>
        <w:rPr>
          <w:sz w:val="20"/>
          <w:szCs w:val="20"/>
          <w:color w:val="auto"/>
        </w:rPr>
      </w:pPr>
      <w:r>
        <w:rPr>
          <w:rFonts w:ascii="Times New Roman" w:cs="Times New Roman" w:eastAsia="Times New Roman" w:hAnsi="Times New Roman"/>
          <w:sz w:val="18"/>
          <w:szCs w:val="18"/>
          <w:color w:val="auto"/>
        </w:rPr>
        <w:t>In addition, unless we specifically state otherwise, the information in this prospectus (except for the historical financial statements and the related discussion of such financial information) assumes:</w:t>
      </w:r>
    </w:p>
    <w:p>
      <w:pPr>
        <w:spacing w:after="0" w:line="78" w:lineRule="exact"/>
        <w:rPr>
          <w:sz w:val="20"/>
          <w:szCs w:val="20"/>
          <w:color w:val="auto"/>
        </w:rPr>
      </w:pPr>
    </w:p>
    <w:p>
      <w:pPr>
        <w:ind w:left="1160" w:right="20" w:hanging="535"/>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our amended and restated certificate of incorporation and the effectiveness of our amended and restated bylaws, each of which will occur upon the closing of this offering;</w:t>
      </w:r>
    </w:p>
    <w:p>
      <w:pPr>
        <w:spacing w:after="0" w:line="77" w:lineRule="exact"/>
        <w:rPr>
          <w:rFonts w:ascii="Times New Roman" w:cs="Times New Roman" w:eastAsia="Times New Roman" w:hAnsi="Times New Roman"/>
          <w:sz w:val="18"/>
          <w:szCs w:val="18"/>
          <w:color w:val="auto"/>
        </w:rPr>
      </w:pPr>
    </w:p>
    <w:p>
      <w:pPr>
        <w:jc w:val="both"/>
        <w:ind w:left="1160" w:right="20" w:hanging="535"/>
        <w:spacing w:after="0" w:line="255"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on a one-for one basis of all outstanding shares of our Series B redeemable convertible preferred stock into an aggregate of 5,374,899 shares of Class B common stock, which will occur upon the closing of this offering, and the subsequent transfer of 331,110 shares of Class B common stock to entities not controlled by Mr. Lefkofsky resulting in their automatic conversion into shares of Class A</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60"/>
          </w:cols>
          <w:pgMar w:left="320" w:top="448"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3981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9630" cy="539813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80"/>
        <w:spacing w:after="0" w:line="267" w:lineRule="auto"/>
        <w:rPr>
          <w:sz w:val="20"/>
          <w:szCs w:val="20"/>
          <w:color w:val="auto"/>
        </w:rPr>
      </w:pPr>
      <w:r>
        <w:rPr>
          <w:rFonts w:ascii="Times New Roman" w:cs="Times New Roman" w:eastAsia="Times New Roman" w:hAnsi="Times New Roman"/>
          <w:sz w:val="18"/>
          <w:szCs w:val="18"/>
          <w:color w:val="auto"/>
        </w:rPr>
        <w:t>common stock, or the Class B Transfer, such that there will be 5,043,789 shares of Class B common stock outstanding immediately following the consummation of this offering, or the Series B Preferred Stock Conversion and Transfer;</w:t>
      </w:r>
    </w:p>
    <w:p>
      <w:pPr>
        <w:spacing w:after="0" w:line="78" w:lineRule="exact"/>
        <w:rPr>
          <w:sz w:val="20"/>
          <w:szCs w:val="20"/>
          <w:color w:val="auto"/>
        </w:rPr>
      </w:pPr>
    </w:p>
    <w:p>
      <w:pPr>
        <w:ind w:left="1160" w:right="20" w:hanging="535"/>
        <w:spacing w:after="0" w:line="267"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3,489,981 shares of Series G-5 convertible preferred stock in April 2024 as if such issuance and sale had occurred on March 31, 2024;</w:t>
      </w:r>
    </w:p>
    <w:p>
      <w:pPr>
        <w:spacing w:after="0" w:line="77" w:lineRule="exact"/>
        <w:rPr>
          <w:rFonts w:ascii="Times New Roman" w:cs="Times New Roman" w:eastAsia="Times New Roman" w:hAnsi="Times New Roman"/>
          <w:sz w:val="18"/>
          <w:szCs w:val="18"/>
          <w:color w:val="auto"/>
        </w:rPr>
      </w:pPr>
    </w:p>
    <w:p>
      <w:pPr>
        <w:jc w:val="both"/>
        <w:ind w:left="1160" w:hanging="535"/>
        <w:spacing w:after="0" w:line="247"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redeemable convertible preferred stock (including Series G-5 convertible preferred stock), other than our Series B redeemable convertible preferred stock, into an aggregate of 66,640,659 shares of Class A common stock (including 3,149,351 shares, 1,450,278 shares and 6,006,006 shares of Class A common stock as a result of the conversion of all outstanding shares of Series G-3 convertible preferred stock, Series G-4 convertible preferred stock and Series G-5 convertible preferred stock, respectively, the conversion terms of which are more fully described in the section titled “Management’s Discussion and Analysis of Financial Condition and Result of Operations—Liquidity and Capital Resources” appearing elsewhere in this prospectus), which will occur upon the closing of this offering, or the Preferred Stock Conversion;</w:t>
      </w:r>
    </w:p>
    <w:p>
      <w:pPr>
        <w:spacing w:after="0" w:line="97" w:lineRule="exact"/>
        <w:rPr>
          <w:rFonts w:ascii="Times New Roman" w:cs="Times New Roman" w:eastAsia="Times New Roman" w:hAnsi="Times New Roman"/>
          <w:sz w:val="18"/>
          <w:szCs w:val="18"/>
          <w:color w:val="auto"/>
        </w:rPr>
      </w:pPr>
    </w:p>
    <w:p>
      <w:pPr>
        <w:jc w:val="both"/>
        <w:ind w:left="1160" w:hanging="535"/>
        <w:spacing w:after="0" w:line="251"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5,093,641 additional shares of Class A common stock, which we refer to as the Additional Class A Conversion Shares, upon the conversion of all outstanding shares of our redeemable convertible preferred stock upon the closing of this offering (based on dividends accruing through June 16, 2024) pursuant to provisions of our certificate of incorporation as currently in effect, as more fully described below in the section titled “—Additional Class A Conversion Shares”, or the Additional Class A Conversion Share Issuance;</w:t>
      </w:r>
    </w:p>
    <w:p>
      <w:pPr>
        <w:spacing w:after="0" w:line="92"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$5.6 million of accrued cash dividends on June 4, 2024, as if such payment had occurred on March 31, 2024;</w:t>
      </w:r>
    </w:p>
    <w:p>
      <w:pPr>
        <w:spacing w:after="0" w:line="121"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our nonvoting common stock into 5,069,477 shares of Class A common stock, which will occur upon the closing of this offering;</w:t>
      </w:r>
    </w:p>
    <w:p>
      <w:pPr>
        <w:spacing w:after="0" w:line="77" w:lineRule="exact"/>
        <w:rPr>
          <w:rFonts w:ascii="Times New Roman" w:cs="Times New Roman" w:eastAsia="Times New Roman" w:hAnsi="Times New Roman"/>
          <w:sz w:val="18"/>
          <w:szCs w:val="18"/>
          <w:color w:val="auto"/>
        </w:rPr>
      </w:pPr>
    </w:p>
    <w:p>
      <w:pPr>
        <w:jc w:val="both"/>
        <w:ind w:left="1160" w:hanging="535"/>
        <w:spacing w:after="0" w:line="249"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issuance of 2,660,402 shares of Class A common stock upon the settlement of 4,573,526 RSUs outstanding as of March 31, 2024 under our 2015 Plan for which the performance-based vesting condition will be satisfied in connection with this offering and for which any service-based vesting condition will be satisfied on or before June 14, 2024, after giving effect to the withholding of 1,913,124 shares of Class A common stock to satisfy estimated federal and state tax withholding and remittance obligations, at an assumed estimated 42% tax withholding rate, as more fully described below in the section titled “—RSU Settlement,” or the RSU Net Settlement;</w:t>
      </w:r>
    </w:p>
    <w:p>
      <w:pPr>
        <w:spacing w:after="0" w:line="94" w:lineRule="exact"/>
        <w:rPr>
          <w:rFonts w:ascii="Times New Roman" w:cs="Times New Roman" w:eastAsia="Times New Roman" w:hAnsi="Times New Roman"/>
          <w:sz w:val="18"/>
          <w:szCs w:val="18"/>
          <w:color w:val="auto"/>
        </w:rPr>
      </w:pPr>
    </w:p>
    <w:p>
      <w:pPr>
        <w:jc w:val="both"/>
        <w:ind w:left="1160" w:hanging="535"/>
        <w:spacing w:after="0" w:line="251"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10,747,222 shares of Class A common stock upon the settlement of RSUs outstanding as of March 31, 2024 under our 2015 Plan for which the performance-based vesting condition will be satisfied in connection with this offering and for which any service-based vesting condition will be satisfied on or before June 14, 2024 that are not included in the RSU Net Settlement, as more fully described below in the section titled “—RSU Settlement,” or the Additional RSU Settlement;</w:t>
      </w:r>
    </w:p>
    <w:p>
      <w:pPr>
        <w:spacing w:after="0" w:line="92" w:lineRule="exact"/>
        <w:rPr>
          <w:rFonts w:ascii="Times New Roman" w:cs="Times New Roman" w:eastAsia="Times New Roman" w:hAnsi="Times New Roman"/>
          <w:sz w:val="18"/>
          <w:szCs w:val="18"/>
          <w:color w:val="auto"/>
        </w:rPr>
      </w:pPr>
    </w:p>
    <w:p>
      <w:pPr>
        <w:jc w:val="both"/>
        <w:ind w:left="1160" w:hanging="535"/>
        <w:spacing w:after="0" w:line="255"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109,459 shares of Class A common stock upon the automatic net exercise of an outstanding warrant held by Allen &amp; Company LLC, or Allen, an underwriter for this offering, as more fully described in the section of this prospectus titled “Description of Capital Stock— Warrants,” or the Warrant Net Exercise;</w:t>
      </w:r>
    </w:p>
    <w:p>
      <w:pPr>
        <w:spacing w:after="0" w:line="88"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up to 1,665,000 additional shares of Class A common stock from us in this offering to cover over-allotments, if any; and</w:t>
      </w:r>
    </w:p>
    <w:p>
      <w:pPr>
        <w:spacing w:after="0" w:line="77"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options or settlement of outstanding RSUs except as described above.</w:t>
      </w:r>
    </w:p>
    <w:p>
      <w:pPr>
        <w:spacing w:after="0" w:line="3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60"/>
          </w:cols>
          <w:pgMar w:left="320" w:top="448"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4063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9630" cy="54063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Additional Class A Conversion Shares</w:t>
      </w:r>
    </w:p>
    <w:p>
      <w:pPr>
        <w:spacing w:after="0" w:line="110" w:lineRule="exact"/>
        <w:rPr>
          <w:sz w:val="20"/>
          <w:szCs w:val="20"/>
          <w:color w:val="auto"/>
        </w:rPr>
      </w:pPr>
    </w:p>
    <w:p>
      <w:pPr>
        <w:jc w:val="both"/>
        <w:ind w:left="200" w:right="180" w:firstLine="438"/>
        <w:spacing w:after="0" w:line="283" w:lineRule="auto"/>
        <w:rPr>
          <w:sz w:val="20"/>
          <w:szCs w:val="20"/>
          <w:color w:val="auto"/>
        </w:rPr>
      </w:pPr>
      <w:r>
        <w:rPr>
          <w:rFonts w:ascii="Times New Roman" w:cs="Times New Roman" w:eastAsia="Times New Roman" w:hAnsi="Times New Roman"/>
          <w:sz w:val="16"/>
          <w:szCs w:val="16"/>
          <w:color w:val="auto"/>
        </w:rPr>
        <w:t>Upon any conversion of our redeemable convertible preferred stock into common stock, including in connection with the closing of this offering, we are obligated to pay declared or accrued dividends on shares of our redeemable convertible preferred stock, at our option, in cash or in shares of common stock. As of June 16, 2024, shares of redeemable convertible preferred stock will have accrued approximately $188.0 million in unpaid dividends, which we expect to pay in shares of our Class A common stock in connection with the closing of this offering. As a result, at the closing of this offering, we expect to issue the Additional Class A Conversion Shares to holders of shares of our redeemable convertible preferred stock. The number of Additional Class A Conversion Shares to be issued depends on the initial public offering price of our Class A common stock. Based on the initial public offering price of $37.00 per share, we will issue 5,093,641 Additional Class A Conversion Shares immediately prior to the closing of this offering.</w:t>
      </w:r>
    </w:p>
    <w:p>
      <w:pPr>
        <w:spacing w:after="0" w:line="2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RSU Settlement</w:t>
      </w:r>
    </w:p>
    <w:p>
      <w:pPr>
        <w:spacing w:after="0" w:line="110" w:lineRule="exact"/>
        <w:rPr>
          <w:sz w:val="20"/>
          <w:szCs w:val="20"/>
          <w:color w:val="auto"/>
        </w:rPr>
      </w:pPr>
    </w:p>
    <w:p>
      <w:pPr>
        <w:jc w:val="both"/>
        <w:ind w:left="200" w:right="200" w:firstLine="438"/>
        <w:spacing w:after="0" w:line="255" w:lineRule="auto"/>
        <w:rPr>
          <w:sz w:val="20"/>
          <w:szCs w:val="20"/>
          <w:color w:val="auto"/>
        </w:rPr>
      </w:pPr>
      <w:r>
        <w:rPr>
          <w:rFonts w:ascii="Times New Roman" w:cs="Times New Roman" w:eastAsia="Times New Roman" w:hAnsi="Times New Roman"/>
          <w:sz w:val="18"/>
          <w:szCs w:val="18"/>
          <w:color w:val="auto"/>
        </w:rPr>
        <w:t>There were 15,320,748 RSUs outstanding as of March 31, 2024 for which the performance-based vesting condition will be satisfied in connection with this offering and for which any service-based vesting condition will be satisfied on or before June 14, 2024. We expect to incur a stock-based compensation expense of $478.9 million in connection with the consummation of this offering related to such vesting.</w:t>
      </w:r>
    </w:p>
    <w:p>
      <w:pPr>
        <w:spacing w:after="0" w:line="180" w:lineRule="exact"/>
        <w:rPr>
          <w:sz w:val="20"/>
          <w:szCs w:val="20"/>
          <w:color w:val="auto"/>
        </w:rPr>
      </w:pPr>
    </w:p>
    <w:p>
      <w:pPr>
        <w:jc w:val="both"/>
        <w:ind w:left="200" w:right="180" w:firstLine="438"/>
        <w:spacing w:after="0" w:line="247" w:lineRule="auto"/>
        <w:rPr>
          <w:sz w:val="20"/>
          <w:szCs w:val="20"/>
          <w:color w:val="auto"/>
        </w:rPr>
      </w:pPr>
      <w:r>
        <w:rPr>
          <w:rFonts w:ascii="Times New Roman" w:cs="Times New Roman" w:eastAsia="Times New Roman" w:hAnsi="Times New Roman"/>
          <w:sz w:val="18"/>
          <w:szCs w:val="18"/>
          <w:color w:val="auto"/>
        </w:rPr>
        <w:t>A portion of these RSUs, including a portion of the RSUs held by our employees (including our Chief Executive Officer) and all RSUs held by our other executive officers, will be net settled pursuant to the RSU Net Settlement in which we intend to net issue 2,660,402 shares of Class A common stock upon settlement of 4,573,526 RSUs outstanding as of March 31, 2024 for which the performance-based vesting condition will be satisfied in connection with this offering and for which any service-based vesting condition will be satisfied on or before June 14, 2024, after giving effect to the withholding of 1,913,124 shares of Class A common stock to satisfy the estimated federal and state tax withholding and remittance obligations, at an assumed estimated 42% tax withholding rate. Approximately 55,329 of such net issued shares will be issued to our Chief Executive Officer and approximately 690,848 of such net issued shares will be issued to our other executive officers.</w:t>
      </w:r>
    </w:p>
    <w:p>
      <w:pPr>
        <w:spacing w:after="0" w:line="189" w:lineRule="exact"/>
        <w:rPr>
          <w:sz w:val="20"/>
          <w:szCs w:val="20"/>
          <w:color w:val="auto"/>
        </w:rPr>
      </w:pPr>
    </w:p>
    <w:p>
      <w:pPr>
        <w:jc w:val="both"/>
        <w:ind w:left="200" w:right="180" w:firstLine="438"/>
        <w:spacing w:after="0" w:line="249" w:lineRule="auto"/>
        <w:rPr>
          <w:sz w:val="20"/>
          <w:szCs w:val="20"/>
          <w:color w:val="auto"/>
        </w:rPr>
      </w:pPr>
      <w:r>
        <w:rPr>
          <w:rFonts w:ascii="Times New Roman" w:cs="Times New Roman" w:eastAsia="Times New Roman" w:hAnsi="Times New Roman"/>
          <w:sz w:val="18"/>
          <w:szCs w:val="18"/>
          <w:color w:val="auto"/>
        </w:rPr>
        <w:t>For the remaining 10,747,222 RSUs outstanding as of March 31, 2024 for which the performance-based vesting condition will be satisfied in connection with this offering and for which any service-based vesting condition will be satisfied on or before June 14, 2024, we intend to satisfy related federal and state tax withholding and remittance obligations through the Additional RSU Settlement, pursuant to which we will release such holders (including our Chief Executive Officer) from their market standoff agreements and require them to sell a portion of such shares of Class A common stock into the open market through brokers, or sell-to-cover, on the applicable settlement date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Approximate Number of</w:t>
            </w:r>
          </w:p>
        </w:tc>
      </w:tr>
      <w:tr>
        <w:trPr>
          <w:trHeight w:val="210"/>
        </w:trPr>
        <w:tc>
          <w:tcPr>
            <w:tcW w:w="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Shares of Class A</w:t>
            </w:r>
          </w:p>
        </w:tc>
      </w:tr>
      <w:tr>
        <w:trPr>
          <w:trHeight w:val="210"/>
        </w:trPr>
        <w:tc>
          <w:tcPr>
            <w:tcW w:w="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Common Stock</w:t>
            </w:r>
          </w:p>
        </w:tc>
      </w:tr>
      <w:tr>
        <w:trPr>
          <w:trHeight w:val="210"/>
        </w:trPr>
        <w:tc>
          <w:tcPr>
            <w:tcW w:w="180" w:type="dxa"/>
            <w:vAlign w:val="bottom"/>
          </w:tcPr>
          <w:p>
            <w:pPr>
              <w:spacing w:after="0"/>
              <w:rPr>
                <w:sz w:val="18"/>
                <w:szCs w:val="18"/>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Date First Available for Sale into the</w:t>
            </w:r>
          </w:p>
        </w:tc>
        <w:tc>
          <w:tcPr>
            <w:tcW w:w="29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3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Expected to be Sold in Sell-to-</w:t>
            </w:r>
          </w:p>
        </w:tc>
      </w:tr>
      <w:tr>
        <w:trPr>
          <w:trHeight w:val="250"/>
        </w:trPr>
        <w:tc>
          <w:tcPr>
            <w:tcW w:w="180" w:type="dxa"/>
            <w:vAlign w:val="bottom"/>
          </w:tcPr>
          <w:p>
            <w:pPr>
              <w:spacing w:after="0"/>
              <w:rPr>
                <w:sz w:val="21"/>
                <w:szCs w:val="21"/>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29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Expected to Settle</w:t>
            </w:r>
          </w:p>
        </w:tc>
        <w:tc>
          <w:tcPr>
            <w:tcW w:w="3360" w:type="dxa"/>
            <w:vAlign w:val="bottom"/>
            <w:gridSpan w:val="2"/>
          </w:tcPr>
          <w:p>
            <w:pPr>
              <w:jc w:val="center"/>
              <w:ind w:right="180"/>
              <w:spacing w:after="0" w:line="230" w:lineRule="exact"/>
              <w:rPr>
                <w:sz w:val="20"/>
                <w:szCs w:val="20"/>
                <w:color w:val="auto"/>
              </w:rPr>
            </w:pPr>
            <w:r>
              <w:rPr>
                <w:rFonts w:ascii="Times New Roman" w:cs="Times New Roman" w:eastAsia="Times New Roman" w:hAnsi="Times New Roman"/>
                <w:sz w:val="18"/>
                <w:szCs w:val="18"/>
                <w:b w:val="1"/>
                <w:bCs w:val="1"/>
                <w:color w:val="auto"/>
                <w:w w:val="94"/>
              </w:rPr>
              <w:t>Cover Transactions</w:t>
            </w:r>
            <w:r>
              <w:rPr>
                <w:rFonts w:ascii="Times New Roman" w:cs="Times New Roman" w:eastAsia="Times New Roman" w:hAnsi="Times New Roman"/>
                <w:sz w:val="26"/>
                <w:szCs w:val="26"/>
                <w:b w:val="1"/>
                <w:bCs w:val="1"/>
                <w:color w:val="auto"/>
                <w:w w:val="94"/>
                <w:vertAlign w:val="superscript"/>
              </w:rPr>
              <w:t>(1)</w:t>
            </w:r>
          </w:p>
        </w:tc>
      </w:tr>
      <w:tr>
        <w:trPr>
          <w:trHeight w:val="165"/>
        </w:trPr>
        <w:tc>
          <w:tcPr>
            <w:tcW w:w="180" w:type="dxa"/>
            <w:vAlign w:val="bottom"/>
          </w:tcPr>
          <w:p>
            <w:pPr>
              <w:spacing w:after="0"/>
              <w:rPr>
                <w:sz w:val="14"/>
                <w:szCs w:val="14"/>
                <w:color w:val="auto"/>
              </w:rPr>
            </w:pPr>
          </w:p>
        </w:tc>
        <w:tc>
          <w:tcPr>
            <w:tcW w:w="2740" w:type="dxa"/>
            <w:vAlign w:val="bottom"/>
            <w:tcBorders>
              <w:top w:val="single" w:sz="8" w:color="auto"/>
            </w:tcBorders>
          </w:tcPr>
          <w:p>
            <w:pPr>
              <w:ind w:left="20"/>
              <w:spacing w:after="0" w:line="165" w:lineRule="exact"/>
              <w:rPr>
                <w:sz w:val="20"/>
                <w:szCs w:val="20"/>
                <w:color w:val="auto"/>
              </w:rPr>
            </w:pPr>
            <w:r>
              <w:rPr>
                <w:rFonts w:ascii="Times New Roman" w:cs="Times New Roman" w:eastAsia="Times New Roman" w:hAnsi="Times New Roman"/>
                <w:sz w:val="18"/>
                <w:szCs w:val="18"/>
                <w:color w:val="auto"/>
                <w:w w:val="94"/>
              </w:rPr>
              <w:t>91 days after the date of this prospectus</w:t>
            </w:r>
          </w:p>
        </w:tc>
        <w:tc>
          <w:tcPr>
            <w:tcW w:w="2120" w:type="dxa"/>
            <w:vAlign w:val="bottom"/>
          </w:tcPr>
          <w:p>
            <w:pPr>
              <w:ind w:left="180"/>
              <w:spacing w:after="0" w:line="165" w:lineRule="exact"/>
              <w:rPr>
                <w:sz w:val="20"/>
                <w:szCs w:val="20"/>
                <w:color w:val="auto"/>
              </w:rPr>
            </w:pPr>
            <w:r>
              <w:rPr>
                <w:rFonts w:ascii="Times New Roman" w:cs="Times New Roman" w:eastAsia="Times New Roman" w:hAnsi="Times New Roman"/>
                <w:sz w:val="18"/>
                <w:szCs w:val="18"/>
                <w:color w:val="auto"/>
              </w:rPr>
              <w:t>(or the next trading day if</w:t>
            </w:r>
          </w:p>
        </w:tc>
        <w:tc>
          <w:tcPr>
            <w:tcW w:w="2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180" w:type="dxa"/>
            <w:vAlign w:val="bottom"/>
          </w:tcPr>
          <w:p>
            <w:pPr>
              <w:spacing w:after="0"/>
              <w:rPr>
                <w:sz w:val="18"/>
                <w:szCs w:val="18"/>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such date is not a trading day)</w:t>
            </w:r>
          </w:p>
        </w:tc>
        <w:tc>
          <w:tcPr>
            <w:tcW w:w="2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5,373,611</w:t>
            </w:r>
          </w:p>
        </w:tc>
        <w:tc>
          <w:tcPr>
            <w:tcW w:w="3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2,246,748</w:t>
            </w:r>
          </w:p>
        </w:tc>
      </w:tr>
      <w:tr>
        <w:trPr>
          <w:trHeight w:val="210"/>
        </w:trPr>
        <w:tc>
          <w:tcPr>
            <w:tcW w:w="180" w:type="dxa"/>
            <w:vAlign w:val="bottom"/>
          </w:tcPr>
          <w:p>
            <w:pPr>
              <w:spacing w:after="0"/>
              <w:rPr>
                <w:sz w:val="18"/>
                <w:szCs w:val="18"/>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120 days after the date of this prospectus (or the next trading day if</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8"/>
        </w:trPr>
        <w:tc>
          <w:tcPr>
            <w:tcW w:w="180" w:type="dxa"/>
            <w:vAlign w:val="bottom"/>
          </w:tcPr>
          <w:p>
            <w:pPr>
              <w:spacing w:after="0"/>
              <w:rPr>
                <w:sz w:val="19"/>
                <w:szCs w:val="19"/>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such date is not a trading day)</w:t>
            </w:r>
          </w:p>
        </w:tc>
        <w:tc>
          <w:tcPr>
            <w:tcW w:w="2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5,373,611</w:t>
            </w:r>
          </w:p>
        </w:tc>
        <w:tc>
          <w:tcPr>
            <w:tcW w:w="3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2,246,748</w:t>
            </w:r>
          </w:p>
        </w:tc>
      </w:tr>
      <w:tr>
        <w:trPr>
          <w:trHeight w:val="168"/>
        </w:trPr>
        <w:tc>
          <w:tcPr>
            <w:tcW w:w="1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351"/>
        </w:trPr>
        <w:tc>
          <w:tcPr>
            <w:tcW w:w="1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20" w:type="dxa"/>
            <w:vAlign w:val="bottom"/>
          </w:tcPr>
          <w:p>
            <w:pPr>
              <w:jc w:val="right"/>
              <w:ind w:right="201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1696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9630" cy="169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0" w:right="20" w:hanging="428"/>
        <w:spacing w:after="0" w:line="207"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an estimated 42% tax rate. Includes an estimated approximately 807,188 shares that may be sold on or after each of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date of this prospectus in respect of settlement of RSUs held by Mr. Lefkofsky.</w:t>
      </w:r>
    </w:p>
    <w:p>
      <w:pPr>
        <w:spacing w:after="0" w:line="194"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The dates and numbers above are estimates. We expect each settlement and sell-to-cover transaction to extend over a multi-day period based on trading volumes. Because the purpose of sell-to-cover transactions is to generate proceeds sufficient to satisfy tax withholding obligations, the exact number of shares sold will depend on the sale prices of the Class A common stock in such transactions and our stockholders’ personal tax rates. With respect to employees that are not executive officers, if sell-to-cover proceeds are not available at the time taxes must be remitted to the IRS, we would need to remit taxes to the relevant tax authorities using cash on hand, which may include cash proceeds generated from this offering, pending the receipt of such sell-to-cover proceeds. In addition, if additional net settlement transactions occur on or prior to the dates set forth above, the number of shares of Class A common stock to be sold in each sell-to-cover transaction will be reduced proportionally.</w:t>
      </w: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60"/>
          </w:cols>
          <w:pgMar w:left="320" w:top="448"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273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9630" cy="627316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15" w:lineRule="exact"/>
        <w:rPr>
          <w:sz w:val="20"/>
          <w:szCs w:val="20"/>
          <w:color w:val="auto"/>
        </w:rPr>
      </w:pPr>
    </w:p>
    <w:p>
      <w:pPr>
        <w:jc w:val="both"/>
        <w:ind w:left="200" w:right="180" w:firstLine="438"/>
        <w:spacing w:after="0" w:line="246" w:lineRule="auto"/>
        <w:rPr>
          <w:sz w:val="20"/>
          <w:szCs w:val="20"/>
          <w:color w:val="auto"/>
        </w:rPr>
      </w:pPr>
      <w:r>
        <w:rPr>
          <w:rFonts w:ascii="Times New Roman" w:cs="Times New Roman" w:eastAsia="Times New Roman" w:hAnsi="Times New Roman"/>
          <w:sz w:val="18"/>
          <w:szCs w:val="18"/>
          <w:color w:val="auto"/>
        </w:rPr>
        <w:t>The summary consolidated statement of operations data for the years ended December 31, 2022 and 2023 have been derived from our audited consolidated financial statements included elsewhere in this prospectus. The summary consolidated statement of operations data for the three months ended March 31, 2023 and 2024 and the summary consolidated balance sheet data as of March 31, 2024 have been derived from our unaudited interim consolidated financial statements included elsewhere in this prospectus. The unaudited interim consolidated financial statements have been prepared on the same basis as the audited consolidated financial statements, and in the opinion of management, reflect all adjustments, which include only normal recurring adjustments, necessary to present fairly our financial position and results of operations.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historical and interim results are not necessarily indicative of the results to be expected for the full year or any other period in the future.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4"/>
                <w:szCs w:val="14"/>
                <w:color w:val="auto"/>
              </w:rPr>
            </w:pPr>
          </w:p>
        </w:tc>
        <w:tc>
          <w:tcPr>
            <w:tcW w:w="17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3"/>
        </w:trPr>
        <w:tc>
          <w:tcPr>
            <w:tcW w:w="180" w:type="dxa"/>
            <w:vAlign w:val="bottom"/>
          </w:tcPr>
          <w:p>
            <w:pPr>
              <w:spacing w:after="0"/>
              <w:rPr>
                <w:sz w:val="9"/>
                <w:szCs w:val="9"/>
                <w:color w:val="auto"/>
              </w:rPr>
            </w:pPr>
          </w:p>
        </w:tc>
        <w:tc>
          <w:tcPr>
            <w:tcW w:w="7260" w:type="dxa"/>
            <w:vAlign w:val="bottom"/>
          </w:tcPr>
          <w:p>
            <w:pPr>
              <w:spacing w:after="0"/>
              <w:rPr>
                <w:sz w:val="9"/>
                <w:szCs w:val="9"/>
                <w:color w:val="auto"/>
              </w:rPr>
            </w:pPr>
          </w:p>
        </w:tc>
        <w:tc>
          <w:tcPr>
            <w:tcW w:w="1040" w:type="dxa"/>
            <w:vAlign w:val="bottom"/>
            <w:tcBorders>
              <w:top w:val="single" w:sz="8" w:color="auto"/>
            </w:tcBorders>
            <w:gridSpan w:val="3"/>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9"/>
                <w:szCs w:val="9"/>
                <w:color w:val="auto"/>
              </w:rPr>
            </w:pPr>
          </w:p>
        </w:tc>
        <w:tc>
          <w:tcPr>
            <w:tcW w:w="880" w:type="dxa"/>
            <w:vAlign w:val="bottom"/>
            <w:tcBorders>
              <w:top w:val="single" w:sz="8" w:color="auto"/>
            </w:tcBorders>
            <w:gridSpan w:val="3"/>
          </w:tcPr>
          <w:p>
            <w:pPr>
              <w:jc w:val="right"/>
              <w:ind w:right="152"/>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6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00" w:type="dxa"/>
            <w:vAlign w:val="bottom"/>
            <w:gridSpan w:val="2"/>
          </w:tcPr>
          <w:p>
            <w:pPr>
              <w:spacing w:after="0"/>
              <w:rPr>
                <w:sz w:val="9"/>
                <w:szCs w:val="9"/>
                <w:color w:val="auto"/>
              </w:rPr>
            </w:pPr>
          </w:p>
        </w:tc>
      </w:tr>
      <w:tr>
        <w:trPr>
          <w:trHeight w:val="169"/>
        </w:trPr>
        <w:tc>
          <w:tcPr>
            <w:tcW w:w="18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13"/>
        </w:trPr>
        <w:tc>
          <w:tcPr>
            <w:tcW w:w="180" w:type="dxa"/>
            <w:vAlign w:val="bottom"/>
          </w:tcPr>
          <w:p>
            <w:pPr>
              <w:spacing w:after="0"/>
              <w:rPr>
                <w:sz w:val="9"/>
                <w:szCs w:val="9"/>
                <w:color w:val="auto"/>
              </w:rPr>
            </w:pPr>
          </w:p>
        </w:tc>
        <w:tc>
          <w:tcPr>
            <w:tcW w:w="7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tcPr>
          <w:p>
            <w:pPr>
              <w:jc w:val="right"/>
              <w:ind w:right="333"/>
              <w:spacing w:after="0" w:line="113"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300" w:type="dxa"/>
            <w:vAlign w:val="bottom"/>
            <w:gridSpan w:val="2"/>
          </w:tcPr>
          <w:p>
            <w:pPr>
              <w:spacing w:after="0"/>
              <w:rPr>
                <w:sz w:val="9"/>
                <w:szCs w:val="9"/>
                <w:color w:val="auto"/>
              </w:rPr>
            </w:pPr>
          </w:p>
        </w:tc>
      </w:tr>
      <w:tr>
        <w:trPr>
          <w:trHeight w:val="169"/>
        </w:trPr>
        <w:tc>
          <w:tcPr>
            <w:tcW w:w="18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Genomics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197,984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363,022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82,058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5"/>
              </w:rPr>
              <w:t>102,569</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Data and services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122,684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168,800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33,566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43,251</w:t>
            </w:r>
          </w:p>
        </w:tc>
        <w:tc>
          <w:tcPr>
            <w:tcW w:w="1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531,822</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115,624</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145,820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60" w:type="dxa"/>
            <w:vAlign w:val="bottom"/>
          </w:tcPr>
          <w:p>
            <w:pPr>
              <w:spacing w:after="0"/>
              <w:rPr>
                <w:sz w:val="18"/>
                <w:szCs w:val="18"/>
                <w:color w:val="auto"/>
              </w:rPr>
            </w:pPr>
          </w:p>
        </w:tc>
        <w:tc>
          <w:tcPr>
            <w:tcW w:w="88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150,255</w:t>
            </w:r>
          </w:p>
        </w:tc>
        <w:tc>
          <w:tcPr>
            <w:tcW w:w="14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189,165</w:t>
            </w:r>
          </w:p>
        </w:tc>
        <w:tc>
          <w:tcPr>
            <w:tcW w:w="100" w:type="dxa"/>
            <w:vAlign w:val="bottom"/>
          </w:tcPr>
          <w:p>
            <w:pPr>
              <w:spacing w:after="0"/>
              <w:rPr>
                <w:sz w:val="18"/>
                <w:szCs w:val="18"/>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45,280</w:t>
            </w: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52,835</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40,227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56,482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11,393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15,288</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60" w:type="dxa"/>
            <w:vAlign w:val="bottom"/>
          </w:tcPr>
          <w:p>
            <w:pPr>
              <w:spacing w:after="0"/>
              <w:rPr>
                <w:sz w:val="18"/>
                <w:szCs w:val="18"/>
                <w:color w:val="auto"/>
              </w:rPr>
            </w:pPr>
          </w:p>
        </w:tc>
        <w:tc>
          <w:tcPr>
            <w:tcW w:w="88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79,093</w:t>
            </w:r>
          </w:p>
        </w:tc>
        <w:tc>
          <w:tcPr>
            <w:tcW w:w="14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95,155</w:t>
            </w:r>
          </w:p>
        </w:tc>
        <w:tc>
          <w:tcPr>
            <w:tcW w:w="100" w:type="dxa"/>
            <w:vAlign w:val="bottom"/>
          </w:tcPr>
          <w:p>
            <w:pPr>
              <w:spacing w:after="0"/>
              <w:rPr>
                <w:sz w:val="18"/>
                <w:szCs w:val="18"/>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22,902</w:t>
            </w: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27,067</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83,158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90,343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20,863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24,340</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88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233,377</w:t>
            </w:r>
          </w:p>
        </w:tc>
        <w:tc>
          <w:tcPr>
            <w:tcW w:w="14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296,760</w:t>
            </w:r>
          </w:p>
        </w:tc>
        <w:tc>
          <w:tcPr>
            <w:tcW w:w="100" w:type="dxa"/>
            <w:vAlign w:val="bottom"/>
          </w:tcPr>
          <w:p>
            <w:pPr>
              <w:spacing w:after="0"/>
              <w:rPr>
                <w:sz w:val="18"/>
                <w:szCs w:val="18"/>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69,047</w:t>
            </w: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79,564</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586,110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727,905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95"/>
              </w:rPr>
              <w:t>169,485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5"/>
              </w:rPr>
              <w:t>199,094</w:t>
            </w:r>
          </w:p>
        </w:tc>
        <w:tc>
          <w:tcPr>
            <w:tcW w:w="18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(265,442</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(196,083</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(53,861</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(53,274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88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3,032</w:t>
            </w:r>
          </w:p>
        </w:tc>
        <w:tc>
          <w:tcPr>
            <w:tcW w:w="14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7,601</w:t>
            </w:r>
          </w:p>
        </w:tc>
        <w:tc>
          <w:tcPr>
            <w:tcW w:w="100" w:type="dxa"/>
            <w:vAlign w:val="bottom"/>
          </w:tcPr>
          <w:p>
            <w:pPr>
              <w:spacing w:after="0"/>
              <w:rPr>
                <w:sz w:val="18"/>
                <w:szCs w:val="18"/>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(21,894)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(46,869)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(9,191)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Pr>
          <w:p>
            <w:pPr>
              <w:spacing w:after="0"/>
              <w:rPr>
                <w:sz w:val="18"/>
                <w:szCs w:val="18"/>
                <w:color w:val="auto"/>
              </w:rPr>
            </w:pPr>
          </w:p>
        </w:tc>
        <w:tc>
          <w:tcPr>
            <w:tcW w:w="88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(4,846)</w:t>
            </w:r>
          </w:p>
        </w:tc>
        <w:tc>
          <w:tcPr>
            <w:tcW w:w="14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21,822</w:t>
            </w:r>
          </w:p>
        </w:tc>
        <w:tc>
          <w:tcPr>
            <w:tcW w:w="100" w:type="dxa"/>
            <w:vAlign w:val="bottom"/>
          </w:tcPr>
          <w:p>
            <w:pPr>
              <w:spacing w:after="0"/>
              <w:rPr>
                <w:sz w:val="18"/>
                <w:szCs w:val="18"/>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749</w:t>
            </w:r>
          </w:p>
        </w:tc>
        <w:tc>
          <w:tcPr>
            <w:tcW w:w="180" w:type="dxa"/>
            <w:vAlign w:val="bottom"/>
          </w:tcPr>
          <w:p>
            <w:pPr>
              <w:spacing w:after="0"/>
              <w:rPr>
                <w:sz w:val="18"/>
                <w:szCs w:val="18"/>
                <w:color w:val="auto"/>
              </w:rPr>
            </w:pPr>
          </w:p>
        </w:tc>
      </w:tr>
      <w:tr>
        <w:trPr>
          <w:trHeight w:val="26"/>
        </w:trPr>
        <w:tc>
          <w:tcPr>
            <w:tcW w:w="1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99"/>
              </w:rPr>
              <w:t>(289,150)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(213,529)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(54,240)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(64,732)</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8"/>
                <w:szCs w:val="18"/>
                <w:color w:val="auto"/>
              </w:rPr>
            </w:pPr>
          </w:p>
        </w:tc>
        <w:tc>
          <w:tcPr>
            <w:tcW w:w="88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8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7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(289,811</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(214,118</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(54,377</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(64,743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7260" w:type="dxa"/>
            <w:vAlign w:val="bottom"/>
            <w:shd w:val="clear" w:color="auto" w:fill="CCEEFF"/>
          </w:tcPr>
          <w:p>
            <w:pPr>
              <w:ind w:left="720"/>
              <w:spacing w:after="0" w:line="202" w:lineRule="exact"/>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78"/>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2"/>
              <w:spacing w:after="0" w:line="202" w:lineRule="exact"/>
              <w:rPr>
                <w:sz w:val="20"/>
                <w:szCs w:val="20"/>
                <w:color w:val="auto"/>
              </w:rPr>
            </w:pPr>
            <w:r>
              <w:rPr>
                <w:rFonts w:ascii="Times New Roman" w:cs="Times New Roman" w:eastAsia="Times New Roman" w:hAnsi="Times New Roman"/>
                <w:sz w:val="18"/>
                <w:szCs w:val="18"/>
                <w:color w:val="auto"/>
              </w:rPr>
              <w:t>(4,338)</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72"/>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72"/>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7"/>
                <w:szCs w:val="17"/>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Dividends on Series A, B, B-1, B-2, C, D, E, F, G, G-3, and G-4 preferred shares</w:t>
            </w:r>
          </w:p>
        </w:tc>
        <w:tc>
          <w:tcPr>
            <w:tcW w:w="160" w:type="dxa"/>
            <w:vAlign w:val="bottom"/>
          </w:tcPr>
          <w:p>
            <w:pPr>
              <w:spacing w:after="0"/>
              <w:rPr>
                <w:sz w:val="18"/>
                <w:szCs w:val="18"/>
                <w:color w:val="auto"/>
              </w:rPr>
            </w:pPr>
          </w:p>
        </w:tc>
        <w:tc>
          <w:tcPr>
            <w:tcW w:w="88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(40,975)</w:t>
            </w:r>
          </w:p>
        </w:tc>
        <w:tc>
          <w:tcPr>
            <w:tcW w:w="140" w:type="dxa"/>
            <w:vAlign w:val="bottom"/>
          </w:tcPr>
          <w:p>
            <w:pPr>
              <w:spacing w:after="0"/>
              <w:rPr>
                <w:sz w:val="18"/>
                <w:szCs w:val="18"/>
                <w:color w:val="auto"/>
              </w:rPr>
            </w:pPr>
          </w:p>
        </w:tc>
        <w:tc>
          <w:tcPr>
            <w:tcW w:w="8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(44,497)</w:t>
            </w:r>
          </w:p>
        </w:tc>
        <w:tc>
          <w:tcPr>
            <w:tcW w:w="100" w:type="dxa"/>
            <w:vAlign w:val="bottom"/>
          </w:tcPr>
          <w:p>
            <w:pPr>
              <w:spacing w:after="0"/>
              <w:rPr>
                <w:sz w:val="18"/>
                <w:szCs w:val="18"/>
                <w:color w:val="auto"/>
              </w:rPr>
            </w:pPr>
          </w:p>
        </w:tc>
        <w:tc>
          <w:tcPr>
            <w:tcW w:w="7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(10,669)</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(27,807)</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(2,841)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available to common shareholders, basic and diluted</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(333,928)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(265,964)</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(65,767)</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(93,056)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Weighted-average shares outstanding used to compute net loss per share, basic and diluted</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88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63,032</w:t>
            </w:r>
          </w:p>
        </w:tc>
        <w:tc>
          <w:tcPr>
            <w:tcW w:w="14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63,306</w:t>
            </w:r>
          </w:p>
        </w:tc>
        <w:tc>
          <w:tcPr>
            <w:tcW w:w="100" w:type="dxa"/>
            <w:vAlign w:val="bottom"/>
          </w:tcPr>
          <w:p>
            <w:pPr>
              <w:spacing w:after="0"/>
              <w:rPr>
                <w:sz w:val="18"/>
                <w:szCs w:val="18"/>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63,229</w:t>
            </w: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63,430</w:t>
            </w:r>
          </w:p>
        </w:tc>
        <w:tc>
          <w:tcPr>
            <w:tcW w:w="18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726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6"/>
                <w:szCs w:val="16"/>
                <w:color w:val="auto"/>
              </w:rPr>
              <w:t>Pro forma net loss per share attributable to common stockholders, basic and diluted</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2"/>
              <w:spacing w:after="0" w:line="202" w:lineRule="exact"/>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(3.56)</w:t>
            </w:r>
          </w:p>
        </w:tc>
        <w:tc>
          <w:tcPr>
            <w:tcW w:w="180" w:type="dxa"/>
            <w:vAlign w:val="bottom"/>
          </w:tcPr>
          <w:p>
            <w:pPr>
              <w:spacing w:after="0"/>
              <w:rPr>
                <w:sz w:val="17"/>
                <w:szCs w:val="17"/>
                <w:color w:val="auto"/>
              </w:rPr>
            </w:pPr>
          </w:p>
        </w:tc>
      </w:tr>
      <w:tr>
        <w:trPr>
          <w:trHeight w:val="210"/>
        </w:trPr>
        <w:tc>
          <w:tcPr>
            <w:tcW w:w="180" w:type="dxa"/>
            <w:vAlign w:val="bottom"/>
          </w:tcPr>
          <w:p>
            <w:pPr>
              <w:spacing w:after="0"/>
              <w:rPr>
                <w:sz w:val="18"/>
                <w:szCs w:val="18"/>
                <w:color w:val="auto"/>
              </w:rPr>
            </w:pPr>
          </w:p>
        </w:tc>
        <w:tc>
          <w:tcPr>
            <w:tcW w:w="726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Weighted-average shares outstanding used to compute net loss per share, basic and diluted</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159,882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5"/>
              </w:rPr>
              <w:t>160,708</w:t>
            </w:r>
          </w:p>
        </w:tc>
        <w:tc>
          <w:tcPr>
            <w:tcW w:w="18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0"/>
        </w:trPr>
        <w:tc>
          <w:tcPr>
            <w:tcW w:w="180" w:type="dxa"/>
            <w:vAlign w:val="bottom"/>
            <w:tcBorders>
              <w:bottom w:val="single" w:sz="8" w:color="auto"/>
            </w:tcBorders>
          </w:tcPr>
          <w:p>
            <w:pPr>
              <w:spacing w:after="0"/>
              <w:rPr>
                <w:sz w:val="13"/>
                <w:szCs w:val="13"/>
                <w:color w:val="auto"/>
              </w:rPr>
            </w:pPr>
          </w:p>
        </w:tc>
        <w:tc>
          <w:tcPr>
            <w:tcW w:w="7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r>
      <w:tr>
        <w:trPr>
          <w:trHeight w:val="351"/>
        </w:trPr>
        <w:tc>
          <w:tcPr>
            <w:tcW w:w="7440" w:type="dxa"/>
            <w:vAlign w:val="bottom"/>
            <w:gridSpan w:val="2"/>
          </w:tcPr>
          <w:p>
            <w:pPr>
              <w:jc w:val="right"/>
              <w:ind w:right="1593"/>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689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9630" cy="568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0" w:hanging="428"/>
        <w:spacing w:after="0" w:line="253"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2 and 12 to our consolidated financial statements included elsewhere in this prospectus for an explanation of the calculations of our basic and diluted net loss per share attributable to common stockholders.</w:t>
      </w:r>
    </w:p>
    <w:p>
      <w:pPr>
        <w:spacing w:after="0" w:line="1" w:lineRule="exact"/>
        <w:rPr>
          <w:rFonts w:ascii="Times New Roman" w:cs="Times New Roman" w:eastAsia="Times New Roman" w:hAnsi="Times New Roman"/>
          <w:sz w:val="18"/>
          <w:szCs w:val="18"/>
          <w:color w:val="auto"/>
        </w:rPr>
      </w:pPr>
    </w:p>
    <w:p>
      <w:pPr>
        <w:jc w:val="both"/>
        <w:ind w:left="620" w:hanging="428"/>
        <w:spacing w:after="0" w:line="243"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net loss per share and the weighted-average number of shares used in the computation of the per share amounts for the year ended December 31, 2023 and the three months ended March 31, 2024 have been computed to give effect to (a) the Series B Preferred Stock Conversion and Transfer resulting in 5,043,789 shares of Class B common stock outstanding immediately following the consummation of this offering, (b) the issuance and sale of 3,489,981 shares of Series G-5 convertible preferred stock in April 2024 as if such issuance and sale had occurred on December 31, 2023 and March 31, 2024, as applicable, (c) the Preferred Stock Conversion resulting in the issuance of 66,640,659 shares of Class A common stock upon the closing of this offering, (d) the Additional Class A Conversion Share Issuance resulting in the issuance of 4,586,371 Additional Class A Conversion Shares and 5,093,641 Additional Class A Conversion Shares for the period ended December 31, 2023 and March 31, 2024, respectively, upon the closing of this offering, (e) the payment of $5.6 million of cash dividends on certain shares of our convertible preferred stock accrued through December 31, 2023 as if such payment had occurred on December 31, 2023 and March 31, 2024, as applicable, (f) the automatic conversion of all of our nonvoting common stock into 5,069,477 shares of Class A common stock, which will occur upon the closing of this offering, (g) the net issuance of 2,660,402 shares of Class A common stock for each of the periods ended December 31, 2023 and March 31, 2024, upon the RSU Net Settlement, the issuance of 10,552,773 shares and 10,747,222 shares of Class A Common Stock for the period ended December 31, 2023 and March 31, 2024, respectively, upon the Additional RSU Settlement and the recognition of associated stock-based compensation expense of approximately $475.3 million and $478.9 million related to the vesting of RSUs outstanding as of December 31, 2023 and March 31, 2024, respectively, as further described in Note 10 to our consolidated financial statements included elsewhere in this prospectus, (h) the Warrant Net Exercise, and (i) the filing and effectiveness of our amended and restated certificate of incorporation, which will occur upon the closing of this offering. See “Prospectus Summary—The Offering—Additional Class A Conversion Shares” for a description of the Additional Class A Conversion Shares.</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6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6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40" w:type="dxa"/>
            <w:vAlign w:val="bottom"/>
            <w:vMerge w:val="restart"/>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0"/>
                <w:szCs w:val="10"/>
                <w:b w:val="1"/>
                <w:bCs w:val="1"/>
                <w:color w:val="auto"/>
              </w:rPr>
              <w:t>(1)</w:t>
            </w:r>
          </w:p>
        </w:tc>
        <w:tc>
          <w:tcPr>
            <w:tcW w:w="820" w:type="dxa"/>
            <w:vAlign w:val="bottom"/>
            <w:vMerge w:val="restart"/>
          </w:tcPr>
          <w:p>
            <w:pPr>
              <w:spacing w:after="0"/>
              <w:rPr>
                <w:sz w:val="9"/>
                <w:szCs w:val="9"/>
                <w:color w:val="auto"/>
              </w:rPr>
            </w:pPr>
          </w:p>
        </w:tc>
        <w:tc>
          <w:tcPr>
            <w:tcW w:w="860" w:type="dxa"/>
            <w:vAlign w:val="bottom"/>
          </w:tcPr>
          <w:p>
            <w:pPr>
              <w:jc w:val="right"/>
              <w:ind w:right="18"/>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As Adjusted</w:t>
            </w:r>
            <w:r>
              <w:rPr>
                <w:rFonts w:ascii="Times New Roman" w:cs="Times New Roman" w:eastAsia="Times New Roman" w:hAnsi="Times New Roman"/>
                <w:sz w:val="10"/>
                <w:szCs w:val="10"/>
                <w:b w:val="1"/>
                <w:bCs w:val="1"/>
                <w:color w:val="auto"/>
                <w:w w:val="98"/>
              </w:rPr>
              <w:t>(2)</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3"/>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 (unaudited)</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80,792</w:t>
            </w:r>
          </w:p>
        </w:tc>
        <w:tc>
          <w:tcPr>
            <w:tcW w:w="218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  275,167</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580,012</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469,272</w:t>
            </w:r>
          </w:p>
        </w:tc>
        <w:tc>
          <w:tcPr>
            <w:tcW w:w="218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663,647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960,275</w:t>
            </w:r>
          </w:p>
        </w:tc>
        <w:tc>
          <w:tcPr>
            <w:tcW w:w="0" w:type="dxa"/>
            <w:vAlign w:val="bottom"/>
          </w:tcPr>
          <w:p>
            <w:pPr>
              <w:spacing w:after="0"/>
              <w:rPr>
                <w:sz w:val="1"/>
                <w:szCs w:val="1"/>
                <w:color w:val="auto"/>
              </w:rPr>
            </w:pPr>
          </w:p>
        </w:tc>
      </w:tr>
      <w:tr>
        <w:trPr>
          <w:trHeight w:val="210"/>
        </w:trPr>
        <w:tc>
          <w:tcPr>
            <w:tcW w:w="67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Working capital</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57,039</w:t>
            </w:r>
          </w:p>
        </w:tc>
        <w:tc>
          <w:tcPr>
            <w:tcW w:w="218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259,757</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560,456</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1,134,802</w:t>
            </w:r>
          </w:p>
        </w:tc>
        <w:tc>
          <w:tcPr>
            <w:tcW w:w="5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(1,474,425)</w:t>
            </w:r>
          </w:p>
        </w:tc>
        <w:tc>
          <w:tcPr>
            <w:tcW w:w="218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(136,904)</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163,795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20" w:hanging="428"/>
        <w:spacing w:after="0" w:line="246"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consolidated balance sheet data gives effect to (a) the Series B Preferred Stock Conversion and Transfer resulting in 5,043,789 shares of Class B common stock outstanding immediately following the consummation of this offering, (b) the issuance and sale of 3,489,981 shares of Series G-5 convertible preferred stock in April 2024 as if such issuance and sale had occurred on March 31, 2024, (c) the Preferred Stock Conversion resulting in the issuance of 66,640,659 shares of Class A common stock upon the closing of this offering, (d) the Additional Class A Conversion Share Issuance, resulting in the issuance of 5,093,641 Additional Class A Conversion Shares as of March 31, 2024, upon the closing of this offering, (e) the payment of $5.6 million of accrued cash dividends on certain shares of our convertible preferred stock on June 4, 2024 as if such payment had occurred on March 31, 2024, (f) the automatic conversion of all of our nonvoting common stock into 5,069,477 shares of Class A common stock, which will occur upon the closing of this offering, (g) the net issuance of 2,660,402 shares of Class A common stock upon the RSU Net Settlement as of March 31, 2024, the issuance of 10,747,222 shares of Class A common stock upon the</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60"/>
          </w:cols>
          <w:pgMar w:left="320" w:top="448"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1846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9630" cy="18465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620"/>
        <w:spacing w:after="0" w:line="247" w:lineRule="auto"/>
        <w:rPr>
          <w:sz w:val="20"/>
          <w:szCs w:val="20"/>
          <w:color w:val="auto"/>
        </w:rPr>
      </w:pPr>
      <w:r>
        <w:rPr>
          <w:rFonts w:ascii="Times New Roman" w:cs="Times New Roman" w:eastAsia="Times New Roman" w:hAnsi="Times New Roman"/>
          <w:sz w:val="18"/>
          <w:szCs w:val="18"/>
          <w:color w:val="auto"/>
        </w:rPr>
        <w:t>Additional RSU Settlement as of March 31, 2024, and the recognition of stock-based compensation expense of approximately $478.9 million related to the vesting of RSUs outstanding as of March 31, 2024, as further described in Note 10 to our consolidated financial statements included elsewhere in this prospectus, (h) the Warrant Net Exercise, and (i) the filing and effectiveness of our amended and restated certificate of incorporation, which will occur upon the closing of this offering, and See “Prospectus Summary—The Offering” for a description of the Additional Class A Conversion Shares.</w:t>
      </w:r>
    </w:p>
    <w:p>
      <w:pPr>
        <w:spacing w:after="0" w:line="3" w:lineRule="exact"/>
        <w:rPr>
          <w:sz w:val="20"/>
          <w:szCs w:val="20"/>
          <w:color w:val="auto"/>
        </w:rPr>
      </w:pPr>
    </w:p>
    <w:p>
      <w:pPr>
        <w:jc w:val="both"/>
        <w:ind w:left="620" w:hanging="428"/>
        <w:spacing w:after="0" w:line="243"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as adjusted consolidated balance sheet data reflects (a) the pro forma adjustments set forth in footnote (1) above, (b) our receipt of $375.6 million in estimated net proceeds from the sale of shares of Class A common stock that we are offering, after deducting underwriting discounts and commissions and estimated offering expenses payable by us (which offering expenses exclude $4.1 million of deferred offering costs that have been previously paid as of March 31, 2024, but include $4.1 million for deferred offering costs accrued and unpaid as of March 31, 2024 and $2.3 million of deferred offering costs not yet accrued or paid as of March 31, 2024) and (c) the use of approximately $70.8 million of the net proceeds from this offering to pay federal and state tax withholding and remittance obligations related to the RSU Net Settlement.</w:t>
      </w:r>
    </w:p>
    <w:p>
      <w:pPr>
        <w:spacing w:after="0" w:line="2" w:lineRule="exact"/>
        <w:rPr>
          <w:rFonts w:ascii="Times New Roman" w:cs="Times New Roman" w:eastAsia="Times New Roman" w:hAnsi="Times New Roman"/>
          <w:sz w:val="18"/>
          <w:szCs w:val="18"/>
          <w:color w:val="auto"/>
        </w:rPr>
      </w:pPr>
    </w:p>
    <w:p>
      <w:pPr>
        <w:ind w:left="620" w:hanging="42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60"/>
          </w:cols>
          <w:pgMar w:left="320" w:top="448"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consider and carefully read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06" w:lineRule="exact"/>
        <w:rPr>
          <w:sz w:val="20"/>
          <w:szCs w:val="20"/>
          <w:color w:val="auto"/>
        </w:rPr>
      </w:pPr>
    </w:p>
    <w:p>
      <w:pPr>
        <w:ind w:left="460" w:right="5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may continue to incur losses in the future, and we may not be able to generate sufficient revenue to achieve and maintain profitability.</w:t>
      </w:r>
    </w:p>
    <w:p>
      <w:pPr>
        <w:spacing w:after="0" w:line="6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incurred significant losses since our inception. For the years ended December 31, 2022 and 2023 and the three months ended March 31, 2023 and 2024, we incurred net losses of $289.8 million, $214.1 million, $54.4 million and $64.7 million, respectively. As of March 31, 2024, we had an accumulated deficit of $1.5 billion. To date, we have financed our operations principally from the sale of stock and convertible securities, and revenue from our Genomics and Data businesses.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for our diagnostic tests, and sales and marketing activities for our Genomics and Data businesses. We will need to generate substantial revenue to achieve and then sustain profitability, and even if we achieve profitability, we cannot be sure that we will remain profitable for any period of time.</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current or future products may not achieve or maintain sufficient commercial market acceptance.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our commercial success is dependent upon our ability to continue to successfully market and sell our current Genomic diagnostics products to continue to grow our Data business by expanding our current relationships and developing new relationships with clinicians and pharmaceutical and biotechnology customers, and to develop and commercialize new products based on our Platform, including by expanding our Genomics product line to new disease areas and by advancing our existing and future AI Applications. Our ability to achieve and maintain sufficient commercial market acceptance of our existing and future products will depend on a number of factors, including:</w:t>
      </w:r>
    </w:p>
    <w:p>
      <w:pPr>
        <w:spacing w:after="0" w:line="95" w:lineRule="exact"/>
        <w:rPr>
          <w:sz w:val="20"/>
          <w:szCs w:val="20"/>
          <w:color w:val="auto"/>
        </w:rPr>
      </w:pPr>
    </w:p>
    <w:p>
      <w:pPr>
        <w:ind w:left="1000" w:hanging="549"/>
        <w:spacing w:after="0" w:line="267"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Genomics and AI Applications diagnostic tests and other AI Applications, including new product offerings as they become available;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and/or endorsement of our Genomics and AI Applications diagnostic tests and AI Applications by clinicians, pharmaceutical and biotechnology companies, KOLs, and advocacy groups;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obtaining any necessary approvals by regulatory agencies, including the FDA, for our diagnostic tests, any software offerings, AI Applications, or any features of our Platform, in each case, that may be subject to regulatory oversight;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positive coverage decisions for our tests from additional commercial payers and to broaden the scope of indications included in such coverage decisions;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reimbursement and expanded coverage from government payers, including Medicare;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demand for our Data business, including by expanding our database of de-identified patient information and increasing the utility of our product offerings;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beyond oncology into neuropsychiatry, cardiology, radiology, and other indications;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40"/>
          </w:cols>
          <w:pgMar w:left="320" w:top="44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build and maintain robust data sets with respect to patient populations in geographic regions that we may seek to enter in the future;</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Platform development, product innovation and commercial growth;</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products, those of our competitors and the industry in which we operate, including our ability to avoid adverse publicity from defects or errors;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validate our Platform through clinical research and accompanying publications.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w:t>
      </w:r>
    </w:p>
    <w:p>
      <w:pPr>
        <w:spacing w:after="0" w:line="28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shorter-term focus. These fluctuations may occur due to a variety of factors, many of which are outside of our control, including, but not limited to:</w:t>
      </w:r>
    </w:p>
    <w:p>
      <w:pPr>
        <w:spacing w:after="0" w:line="89" w:lineRule="exact"/>
        <w:rPr>
          <w:sz w:val="20"/>
          <w:szCs w:val="20"/>
          <w:color w:val="auto"/>
        </w:rPr>
      </w:pPr>
    </w:p>
    <w:p>
      <w:pPr>
        <w:ind w:left="1000" w:hanging="549"/>
        <w:spacing w:after="0" w:line="267"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our Platform and products, which may change from time to time;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customer mix of our Genomics and AI Applications diagnostic testing, AI Applications, and other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and completion of projects in which our Data and Services products are utilized;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products and products that compete with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including with respect to privacy and data security and medical device regulation, and our compliance therewith, or in the status of our regulatory approvals or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disruptions in the business and operations of our clinical, commercial and other partners;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political and economic instability, including wars (such as the armed conflicts between Russia and Ukraine and the hostilities in the Middle East), terrorism, and political unrest, epidemics or pandemics, boycotts, curtailment of trade and other business restrictions; and</w:t>
      </w:r>
    </w:p>
    <w:p>
      <w:pPr>
        <w:spacing w:after="0" w:line="88"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market conditions, including high and rising inflation rates, high interest rates, government bank closures, liquidity concerns at other financial institutions, and other factors, including factors unrelated to our operating performance or the operating performance of our competitors.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Additionally, it is difficult to predict the amounts, if any, we will be able to collect for our diagnostic tests from commercial payers. We are a participating network provider in a small number of commercial payers from whom we receive reimbursement for our diagnostic tests. Payers determine the amount they are willing to reimburse us for tests. We have provided testing to patients with many disease types and indications, most of the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0"/>
          </w:cols>
          <w:pgMar w:left="320" w:top="44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 the amount they determine they overpaid against amounts they owe us on current claims. 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demand for our Genomics and Data and Services products will depend in part upon the research and development and clinical budgets of pharmaceutical and biotechnology customers, which are impacted by factors beyond our control, such as:</w:t>
      </w:r>
    </w:p>
    <w:p>
      <w:pPr>
        <w:spacing w:after="0" w:line="78" w:lineRule="exact"/>
        <w:rPr>
          <w:sz w:val="20"/>
          <w:szCs w:val="20"/>
          <w:color w:val="auto"/>
        </w:rPr>
      </w:pPr>
    </w:p>
    <w:p>
      <w:pPr>
        <w:ind w:left="1000" w:hanging="54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(such as the National Institutes of Health) that provide funding to research institutions and companies;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any impact of unforeseen events such as the armed conflicts between Russia and Ukraine and the hostilities in the Middle East), the political climate and the impact of public health emergencies such as the COVID-19 pandemic, high and rising inflation rates, high interest rates, government closures of banks and liquidity concerns at other financial institutions;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products or pricing;</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products.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operating results may fluctuate significantly due to reductions and delays in research and development or clinical expenditures by these customers. Further, many of our data licensing agreements allow us to deliver data to our customers over a period of time, which can span a year or longer. Revenue pursuant to our data licensing agreements is recognized upon delivery of the data to the customer, upon completion of performance obligations for related services, or ratably over time in the case of subscriptions. The actual timing of data deliveries can be based on a variety of factors, including, but not limited to, the customer’s requirements and/or our technological, operational, and human capital capacity; in addition, management assesses relevant contractual terms in contracts with customers and applies significant judgment in identifying and accounting for all terms and conditions in certain contracts.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continued access to, and ability to monetize, de-identified patient data.</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business relies on our ability to obtain, process, monetize and distribute highly regulated data in the healthcare industry, in a manner that complies with applicable laws, regulations and contractual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320" w:top="44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technological restrictions. The data that we collect through the provision of Genomics tests and through other sources is critical to our ability to offer our Data and AI Applications products and services. Our Platform also includes proprietary software and dedicated data pipelines that create a network of healthcare institutions that supply us with complex multimodal data. Further, we rely on certain collaborations and licensing agreements to access important data. The success of our business depends on our continued access to, and ability to monetize, this internal and external de-identified patient data. As we seek to expand our business into additional disease areas and geographies, we will also need to be successful in building and maintaining sufficiently large relevant data sets and obtaining the permissions necessary to de-identify and use that data for commercial purposes.</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Our ability to maintain, expand and monetize our datasets are subject to a number of factors, many of which are outside of our control. With respect to data included in our Data and AI Applications products, we rely on a combination of the statutory rights available to us as a HIPAA covered entity and as a HIPAA business associate. As a HIPAA covered entity, we utilize data generated through our provision of Genomic tests. As a HIPAA business associate, we may rely on healthcare providers to obtain the requisite consents from their patients, with whom we may have no direct contact, to use the de-identified data that we generate in the provision of our other offerings to the providers, or that we generate from the protected health information, or PHI, we obtain from providers. More broadly, the failure by us or our data suppliers and 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or otherwise limit data-driven activities that benefit us. Moreover, due to lack of valid notice, sufficient consents or waiver, we may be subject to claims or liability for use or disclosure of data or other information.</w:t>
      </w:r>
    </w:p>
    <w:p>
      <w:pPr>
        <w:spacing w:after="0" w:line="37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also dependent on the healthcare institutions within our network continuing to provide us with broad access to data to multimodal data to support the robustness of our Genomics tests and other offerings, as well as on maintaining our collaborations with ASCO, ONCare Alliance and similar organizations, and entering into similar collaborations with other organizations in the future,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Genomics testing along with corresponding clinical data we may have structured as part of providing testing also may allow those providers to use data in ways that may be harmful to our business interests.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use, processing and distribution of patient data is also the subject of complex, interconnected and frequently changing laws and regulations in the United States and globally. We have policies and procedures in place to address the proper handling and use of data, but could face claims that our practices are insufficient, or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continued adoption of our products and services is dependent on a number of factors, many of which are interrelated.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ability to execute our growth strategy and become profitable is highly dependent on a number of factors, many of which are interrelated.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40"/>
          </w:cols>
          <w:pgMar w:left="320" w:top="44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Continued adoption and use of our Genomics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 companies have existing relationships with companies that develop molecular diagnostic tests, including our competitors, and may continue to use their tests instead of ours. Despite our business development efforts, it could be difficult, expensive and/or time-consuming for healthcare providers to switch diagnostic tests for their patients, and our tests may not be widely accepted by physicians, if at all, which could in turn hinder the growth of sales of our tests. If we are unable to achieve commercial success for our tests, our business, financial condition and results of operations would be materially and adversely affected. We are also particularly dependent on our oncology tests, which accounted for 46% and 63% of our revenue in the years ended December 31, 2022 and 2023, respectively. We cannot assure that our oncology tests will continue to maintain or gain market acceptance, and any failure to do so would materially harm our business, financial condition and results of operations.</w:t>
      </w:r>
    </w:p>
    <w:p>
      <w:pPr>
        <w:spacing w:after="0" w:line="16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Continued adoption of and use of our Data and Services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w:t>
      </w:r>
    </w:p>
    <w:p>
      <w:pPr>
        <w:spacing w:after="0" w:line="19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scope and robustness of the Data and Services and AI Applications products that we can offer our customers also depend significantly on the continued success of our Genomics product line, as the data that we collect through genomic testing is an essential component of our Data and Services and AI Applications products. Further, we believe that growth in the use of our Data and Services products will help drive awareness and adoption of our Genomics product line, which in turn will drive further growth within our Data and Services and AI Applications product lines. However, there can be no assurance that we will realize these synergies.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rapid growth make it difficult to evaluate our future prospects and the risks and challenges we may encounter.</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evolved,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as contemplated elsewhere in this prospectus, including the section titled “Prospectus Summary—Long-Term Vision.”</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described elsewhere in this “Risk Factors” section, our business, financial condition and results of operations could be adversely affected. We have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320" w:top="44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We will need to raise additional capital to fund our existing operations, develop our Platform, commercialize new products or expand our operations.</w:t>
      </w:r>
    </w:p>
    <w:p>
      <w:pPr>
        <w:spacing w:after="0" w:line="13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need to raise additional capital in the future to expand our business, meet existing obligations, pursue acquisitions or strategic investments, or take advantage of financing opportunities or for other reasons, including to:</w:t>
      </w:r>
    </w:p>
    <w:p>
      <w:pPr>
        <w:spacing w:after="0" w:line="78" w:lineRule="exact"/>
        <w:rPr>
          <w:sz w:val="20"/>
          <w:szCs w:val="20"/>
          <w:color w:val="auto"/>
        </w:rPr>
      </w:pPr>
    </w:p>
    <w:p>
      <w:pPr>
        <w:ind w:left="1000" w:hanging="54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products and services, and address competitive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products under development or any other future products we may develop;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21" w:lineRule="exact"/>
        <w:rPr>
          <w:sz w:val="20"/>
          <w:szCs w:val="20"/>
          <w:color w:val="auto"/>
        </w:rPr>
      </w:pPr>
    </w:p>
    <w:p>
      <w:pPr>
        <w:ind w:left="1000" w:hanging="54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 and favorable gross profits;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payers and government payers;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product offerings, including our sales and marketing efforts;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costs of our sales and marketing activities associated with, establishing adoption of and reimbursement for our current products, including our diagnostic tests and our data analytics products;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choose to advance, rate of progress in, and costs of our research and development activities associated with, products in development;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international expansion;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and delays in product development as a result of any existing or new regulatory oversight applicable to our products.</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no committed sources of capital. We may seek to sell equity or convertible securities, enter into a credit facility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eliminate certain existing operations and could contribute to negative market perceptions about us or our securities.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320" w:top="44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AI Applications product line is nascent.</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As of March 31, 2024, we had limited commercialized algorithms within our AI Applications product line. Revenue generated from AI Applications is reported within our Data and Services product line and was $1.4 million and $5.5 million for the years ended December 31, 2022 and 2023, respectively, and less than $1.0 million for each of the three months ended March 31, 2023 and 2024, which represents less than 1.5% of our total revenue in each period. We have a number of additional Algos in development and we may not be successful in developing and commercializing these or future Algos, or in attaining our other development targets. Further, the scope and robustness of the AI Applications that we can offer our customers depend significantly on the continued success of our Genomics product line and access to third-party data, of which there can be no assurance. We also cannot accurately estimate how our future AI Applications will be priced, whether reimbursement can be obtained or whether we will generate any revenue from such AI Applications. Further, the use of diagnostics that are entirely algorithmic in nature is novel and today represents only a small proportion of the diagnostics market. The use of algorithmic diagnostics may also be subject to existing and entirely new regulations that may substantially impact their adoption, use, reimbursement and ongoing viability. While we believe AI Applications represent a significant long-term opportunity for us, there can be no assurances that a robust and sustained market for such diagnostics will develop or that we will successfully compete in any such market.</w:t>
      </w:r>
    </w:p>
    <w:p>
      <w:pPr>
        <w:spacing w:after="0" w:line="297"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and commercialization involve a lengthy and complex process and we may be unable to develop or commercialize new products on a timely basis, or at all.</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Products that are under development have taken time and considerable resources to develop, and we may not be able to complete the development and commercialization of such products on a timely basis, or at all.</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Before we can commercialize any new Genomics or AI Applications diagnostic products, we will need to expend significant funds in order to:</w:t>
      </w:r>
    </w:p>
    <w:p>
      <w:pPr>
        <w:spacing w:after="0" w:line="121" w:lineRule="exact"/>
        <w:rPr>
          <w:sz w:val="20"/>
          <w:szCs w:val="20"/>
          <w:color w:val="auto"/>
        </w:rPr>
      </w:pPr>
    </w:p>
    <w:p>
      <w:pPr>
        <w:ind w:left="1000" w:hanging="54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 including validation studies and, in some cases,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or algorithmic processes to accommodate diagnostic tests in additional disease areas;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 to be able to analyze increasingly large amounts of data.</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diagnostic product development process involves a high degree of risk, and product development efforts may fail for many reasons, including:</w:t>
      </w:r>
    </w:p>
    <w:p>
      <w:pPr>
        <w:spacing w:after="0" w:line="121" w:lineRule="exact"/>
        <w:rPr>
          <w:sz w:val="20"/>
          <w:szCs w:val="20"/>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diagnostic product to perform as expected, including defects and errors;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validation data or validation activities that subsequently may be challenged or questioned;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clinical utility of the diagnostic test.</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Expanding the offerings of our Data business is also a speculative and risky endeavor and may require us to:</w:t>
      </w:r>
    </w:p>
    <w:p>
      <w:pPr>
        <w:spacing w:after="0" w:line="121" w:lineRule="exact"/>
        <w:rPr>
          <w:sz w:val="20"/>
          <w:szCs w:val="20"/>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additional access to patient healthcare information that is relevant to the products we offer;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320" w:top="44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we develop our products, we have made and will have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AI Applications business, and we may exert limited or no control over such development efforts.</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our development and commercialization plans for our business lines, we may forego other opportunities that may provide greater revenue or be more profitable. For example, while we expect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updating or otherwise enhancing our Platform and products.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March 31, 2024, we had developed multiple genomics diagnostics tests across oncology, infectious diseases, and neuropsychiatry, as well as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w:t>
      </w:r>
    </w:p>
    <w:p>
      <w:pPr>
        <w:spacing w:after="0" w:line="184"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the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EMA’s and other regulatory bodies’ clearances, authorizations or approvals before we can market the updated product. The FDA’s and EMA’s clearance, authorization or approval pathways are likely to require significant time and expenditures. The FDA, EMA or other applicable regulatory authority may not clear, authorize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authorization or approval, we or our collaborators would need to commit substantial resources to commercialize, sell and market the updated product, which may never achieve significant market acceptance among various stakeholders and be commercially successful.</w:t>
      </w:r>
    </w:p>
    <w:p>
      <w:pPr>
        <w:spacing w:after="0" w:line="19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w:t>
      </w:r>
    </w:p>
    <w:p>
      <w:pPr>
        <w:spacing w:after="0" w:line="92" w:lineRule="exact"/>
        <w:rPr>
          <w:sz w:val="20"/>
          <w:szCs w:val="20"/>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w:t>
      </w:r>
    </w:p>
    <w:p>
      <w:pPr>
        <w:spacing w:after="0" w:line="121" w:lineRule="exact"/>
        <w:rPr>
          <w:rFonts w:ascii="Times New Roman" w:cs="Times New Roman" w:eastAsia="Times New Roman" w:hAnsi="Times New Roman"/>
          <w:sz w:val="18"/>
          <w:szCs w:val="18"/>
          <w:color w:val="auto"/>
        </w:rPr>
      </w:pPr>
    </w:p>
    <w:p>
      <w:pPr>
        <w:ind w:left="5580" w:right="3060" w:hanging="5129"/>
        <w:spacing w:after="0" w:line="435" w:lineRule="auto"/>
        <w:tabs>
          <w:tab w:leader="none" w:pos="9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 35</w:t>
      </w:r>
    </w:p>
    <w:p>
      <w:pPr>
        <w:sectPr>
          <w:pgSz w:w="11900" w:h="16838" w:orient="portrait"/>
          <w:cols w:equalWidth="0" w:num="1">
            <w:col w:w="11340"/>
          </w:cols>
          <w:pgMar w:left="320" w:top="44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develop new technologies and applications, and acquire or obtain rights to third-party technologies that may have valuable applications in the markets we serve;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commercialize new technologies and applications in a timely manner;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customers to adopt new technologies and applications.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expenses or losses associated with unsuccessful expansion of our Platform could adversely affect our business, financial condition and results of operations.</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leveraging our Platform to identify, develop and commercialize additional genomic and algorithmic tests, our ability to expand our business and achieve our strategic objectives would be impaired.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w:t>
      </w:r>
    </w:p>
    <w:p>
      <w:pPr>
        <w:spacing w:after="0" w:line="285" w:lineRule="exact"/>
        <w:rPr>
          <w:sz w:val="20"/>
          <w:szCs w:val="20"/>
          <w:color w:val="auto"/>
        </w:rPr>
      </w:pPr>
    </w:p>
    <w:p>
      <w:pPr>
        <w:ind w:left="460" w:right="2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and new products fail to achieve and sustain sufficient scientific acceptance, we will not generate expected revenue and our prospects may be harmed.</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life sciences scientific community is comprised of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peer-reviewed journal as a measure of success. In such journal publications, the researchers will describe not only their discoveries but also the methods and typically the products used to fuel such discoveries. Mentions in peer-reviewed journal publications is a good barometer for the general acceptance of our products as best practices. Ensuring that early adopters and key opinion leaders publish research involving the use of our products is critical to ensuring our products gain widespread acceptance and market growth. Continuing to maintain good relationships with such key opinion leaders is vital to growing our market. The number of times our products were mentioned in peer-reviewed publications has increased significantly in recent years. As of March 31, 2024, our products have been mentioned in 126 peer-reviewed articles published in major journals, including 93 that were Tempus-authored. We cannot assure investors, however, that our products will continue to be mentioned in peer-reviewed articles with any frequency or that any new products that we introduce in the future will be mentioned in peer-reviewed articles. In addition, self-authored journal publications that mention our products may present an actual, potential or perceived conflict of interest and, therefore, the number of publications in which our products are mentioned may not be indicative of the level of acceptance of our products.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or a decline in the quality of such publications, may negatively impact our prospects.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40"/>
          </w:cols>
          <w:pgMar w:left="320" w:top="44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3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diagnostic products, or our competitors’ diagnostic products, could have defects or errors or otherwise fail to meet the expectations of patients, physicians and third-party payers; in such cases our operating results, reputation and business could suffer.</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The success of our Genomics and AI Applications products depends in part on patients’, physicians’ and third-party payers’ confidence that our Platform can provide reliable, high-quality intelligent diagnostics that will improve clinical outcomes and lower healthcare costs, as well as our ability to comply with applicable privacy and data security requirements. We believe that patients, physicians and third-party payers are likely to be particularly sensitive to our use of data, as well as product defects and errors in the use of our products, including if our products fail to detect genomic alterations or other clinical relevant information with high accuracy from samples, if we fail to list or 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w:t>
      </w:r>
    </w:p>
    <w:p>
      <w:pPr>
        <w:spacing w:after="0" w:line="200" w:lineRule="exact"/>
        <w:rPr>
          <w:sz w:val="20"/>
          <w:szCs w:val="20"/>
          <w:color w:val="auto"/>
        </w:rPr>
      </w:pPr>
    </w:p>
    <w:p>
      <w:pPr>
        <w:spacing w:after="0" w:line="275" w:lineRule="exact"/>
        <w:rPr>
          <w:sz w:val="20"/>
          <w:szCs w:val="20"/>
          <w:color w:val="auto"/>
        </w:rPr>
      </w:pPr>
    </w:p>
    <w:p>
      <w:pPr>
        <w:ind w:left="460" w:right="4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current and future Genomics product line, including ensuring that we have adequate capacity to meet increased demand, or we are unable to successfully manage our anticipated growth, our business could suffer.</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the volume of our Genomics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Genomics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we commercialize additional Genomics products, we will need to incorporate new equipment, implement new technology systems and laboratory processes, and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ability to attract and retain candidates to support the expansion of our Genomics and other products may be influenced by factors outside our control, or factors that we can control but which we fail to execute. For example, global labor shortages, our compensation and benefits offerings, attempts at unionization by our employees, and other factors may impact our ability to recruit, hire, train, and retain employees, which will further impact our ability to meet our growth and expansion goals.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our ability to manage our growth properly will require us to continue to improve our operational, financial and management controls, as well as our reporting systems and procedures. The time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40"/>
          </w:cols>
          <w:pgMar w:left="320" w:top="44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resources required to implement these new systems and procedures is uncertain and could be demanding, and failure to complete this in a timely and efficient manner could adversely affect our business, financial condition and results of operations.</w:t>
      </w:r>
    </w:p>
    <w:p>
      <w:pPr>
        <w:spacing w:after="0" w:line="271" w:lineRule="exact"/>
        <w:rPr>
          <w:sz w:val="20"/>
          <w:szCs w:val="20"/>
          <w:color w:val="auto"/>
        </w:rPr>
      </w:pPr>
    </w:p>
    <w:p>
      <w:pPr>
        <w:ind w:left="460" w:right="140"/>
        <w:spacing w:after="0" w:line="336" w:lineRule="auto"/>
        <w:rPr>
          <w:sz w:val="20"/>
          <w:szCs w:val="20"/>
          <w:color w:val="auto"/>
        </w:rPr>
      </w:pPr>
      <w:r>
        <w:rPr>
          <w:rFonts w:ascii="Times New Roman" w:cs="Times New Roman" w:eastAsia="Times New Roman" w:hAnsi="Times New Roman"/>
          <w:sz w:val="16"/>
          <w:szCs w:val="16"/>
          <w:b w:val="1"/>
          <w:bCs w:val="1"/>
          <w:i w:val="1"/>
          <w:iCs w:val="1"/>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1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As of December 31, 2023, we had received payment on approximately 50% of our clinical oncology next generation sequencing, or NGS, tests across all payors performed from January 1, 2021 through December 31, 2022. We calculated this metric on a trailing basis based on payor adjudication timing. However, we continued to perform our NGS tests through December 31, 2023. For the years ended December 31, 2022 and 2023, our average reimbursement for NGS tests in oncology was approximately $916 and $1,452, respectively. In addition, we receive a substantial portion of our diagnostic revenue from a limited number of third-party commercial payers, most of which have not contracted with us to be a participating provider. We also receive reimbursement from Medicare for claims submitted with respect to our various diagnostic tests. Approximately 28% and 26% of our clinical tests were for Medicare beneficiaries in the years ended December 31, 2022 and 2023, respectively. 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because our Genomics and AI Applications diagnostic tests represent new approaches to the diagnosis of diseases,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 or as payers decide based on other factors to lower the reimbursement rate for our tests.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 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40"/>
          </w:cols>
          <w:pgMar w:left="320" w:top="44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Although we are a participating provider with several commercial payers, some large commercial payers have issued non-coverage policies that consider tissue and liquid comprehensive genomic profile testing, including certain of our Genomics tests, as experimental or investigational. If we are not successful in obtaining coverage from such payers, or if other payers issue similar non-coverage policies, our business, financial condition and results of operations could be materially and adversely affected.</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Coverage and reimbursement are ever changing, and we are not in control of how our competitors’ coverage and pricing strategies are established. Some of our competitors have widespread brand recognition and substantially greater financial and technical 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2023, Medicare claims represented 26% of our clinical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For example, Medicare’s NCD for NGS first established in 2018 and subsequently updated in 2020, states that NGS oncology tests (such as our Tempus|xT and Tempus|xF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will meet the criteria for reimbursement under the NCD. The NGS NCD also states that each MAC may provide local coverage of other next-generation sequencing tests for cancer patients only when the test is performed by a CLIA-certified laboratory, ordered 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0"/>
          </w:cols>
          <w:pgMar w:left="320" w:top="44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current procedural terminology, or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Subsequently, on July 23, 2021, the Local MAC issued revised instructions for CPT coding and further updated those instructions on July 29, 2021. Claims submitted under the March 2021 and July 2021 guidance were summarily denied and we are in the process of appealing these denials. The process is typically slow and costly, and multiple levels of appeal may be required for adjudication of outstanding claims.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however, the LCD has generally had a favorable impact on reimbursement for claims submitted after April 1, 2022.</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We requested that the Local MAC add the new CPT code to the LCD, which they did effective January 1, 2023.</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Palmettto is the MAC jurisdiction that determines reimbursement for tests conducted at our Raleigh and Atlanta laboratories through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on our xF assay in March 2024.</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Furthermore, on September 27, 2023, the Centers for Medicare and Medicaid Services (CMS) published calendar year 2024 preliminary payment determinations for new and reconsidered codes on the Medicare clinical laboratory fee schedule (CLFS), including new codes that may apply to tests we offer through our Genomics business. In doing so, CMS rejected the recommendations from experts on the Clinical Diagnostic Laboratory Test (CDLT) Advisory Panel and recommended reimbursement rates for several new procedure codes describing genomic profiling tests that are substantially below our costs to perform them. Following a comment period, CMS revised its preliminary determination and assigned each of the new codes to gapfill – a process by which each of the individual MACs prices the codes and the resulting median price across the MACs becomes the price on the Medicare CLFS. We are currently participating in the gapfill process with the MACs with which we operate. On May 1, 2024, CMS posted the MAC-specific payment recommendations which indicated that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40"/>
          </w:cols>
          <w:pgMar w:left="320" w:top="448"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codes applicable to our tests would be reimbursed at the same or a higher level than they were previously reimbursed. These recommendations are currently open for public comment and CMS will publish the final MAC-specific amounts in September. If CMS ultimately prices the new codes at lower rates than they have previously reimbursed our tests at, such pricing decision may have a significant impact on our business, results of operations, financial condition and prospects. National Government Services, Inc. revised its coding guidance on February 5, 2024, informing laboratories that they should begin using the new molecular diagnostic CPT codes effective January 1, 2024 even though those codes are not priced because they are going through the gapfill process.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w:t>
      </w:r>
    </w:p>
    <w:p>
      <w:pPr>
        <w:spacing w:after="0" w:line="290"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adequate reimbursement for our Genomics product line outside of the United States, our ability to expand internationally will be compromised.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substantial portion of our Genomics product line revenues come from third-party payer reimbursement. In many countries outside of the United States, various coverage, pricing and reimbursement approvals are required for our tests to be available to patients in significant volume. We expect that it will take several years to establish broad coverage and reimbursement for our tests with payers in countries outside of the United States, and our efforts may not be successful.</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Even if public or private reimbursement is obtained, it may cover competing tests, or the reimbursement may be limited to a subset of the eligible patient population or conditioned upon local performance of the tests or other requirements we may have difficulty satisfying.</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Labor relations matters could have a material adverse effect on our business, reputation, prospects, results of operations and financial condition.</w:t>
      </w:r>
    </w:p>
    <w:p>
      <w:pPr>
        <w:spacing w:after="0" w:line="11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On February 8, 2024, the International Association of Machinists and Aerospace Workers, or IAM, District Lodge 8, filed a Petition for Election with the National Labor Relations Board, or the NLRB, to serve as the collective bargaining representative of certain of our laboratory employees located in Chicago, Illinois. On March 6 and 7, 2024, the NLRB held an election, at which the defined collective bargaining unit voted to unionize and for the IAM to serve as the collective bargaining representative. We have begun the process of negotiating a collective bargaining agreement with the IAM. We are unable to predict whether we will be successful in reaching a collective bargaining agreement, or the incremental cost and expense that may result from such efforts. In addition, to the extent we are unsuccessful, or if such efforts take longer than anticipated, impacted employees may threaten and/or engage in work stoppages and strikes, and our labor costs may continue to increase as a result. Even though we are currently unaware of other unionization efforts, it is possible that other employees may also seek to unionize. The unavailability of laboratory staff, or our inability to control labor costs related to these matters and future efforts to</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40"/>
          </w:cols>
          <w:pgMar w:left="320" w:top="44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unionize, could have a material adverse effect on our business, reputation, prospects, results of operations and financial condition.</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use AI in our products and services which may result in operational challenges, legal liability, reputational concerns and competitive risks.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AI is enabled by or integrated into our Platform and, as a result, our diagnostic and data products, and is therefore a significant element of our current business and our future strategy. As with many developing technologies, AI presents risks and challenges that could affect its further development, adoption, and use, and therefore our business. Many known and unknown risks to AI exist. Some of the currently known risks include accuracy, bias, toxicity, intellectual property infringement or misappropriation, data privacy and cybersecurity and data provenance. For example, our development and use of AI may result in the incorporation of third-party data, including personal, proprietary or confidential data, into our AI. If we do not have sufficient rights to use the data on which AI relies, we may incur liability through the violation of such laws, third-party privacy or other rights or contracts to which we are a party.</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Additionally, regulation in the AI space is constantly changing, and may make it difficult to continue using our AI approach to diagnostics and data analysis. AI is the subject of evolving review by various U.S. governmental and regulatory agencies, including the SEC and the Federal Trade Commission, or the FTC, and various U.S. states and other foreign jurisdictions are applying, or are considering applying, their cybersecurity and data protection laws to AI, particularly generative AI, and/or are considering general legal frameworks on AI (such as proposals for the European Union to enact an Artificial Intelligence Act, or the AI Act, the latest proposed text of which provides for administrative fines of up to 35 million Euros or 7% of a company’s total worldwide annual turnover for the preceding financial year, whichever is the higher). In addition, the use and deployment of AI presents complexities and challenges with respect to compliance with applicable laws and regulations, particularly because we are both a technology company and a healthcare provider of diagnostic testing services. Life sciences companies may underwrite or fund, in part, the development of AI algorithms, which may require us to disclose applicable funding sources and which may, as a result, slow the adoption of such technologies. Further, to the extent the output of an algorithm we develop or deploy recommends, directly or indirectly, the potential ordering of a product or service reimbursable by a federal healthcare program, we may encounter enforcement challenges even when such recommendations are based on objective clinical guidelines and criteria. If any such event were to occur, it could have a materially adverse impact on our business operations and reputation.</w:t>
      </w:r>
    </w:p>
    <w:p>
      <w:pPr>
        <w:spacing w:after="0" w:line="19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Additionally,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determinations, recommendations, forecasts or analyses that our Platform’s AI applications assist in producing are deficient or inaccurate, we could be subjected to competitive harm, potential legal liability and brand or reputational harm. Further, content generated by AI may be offensive, biased, or harmful, or violate current or future laws and regulations, and our reliance on AI could pose ethical concerns and lead to a lack of human oversight and control.</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Inappropriate or controversial data practices by data scientists, engineers and end-users of our or our competitors’ products could also impair the acceptance of AI products. Though our business practices are designed to mitigate many of these risks, if we enable or offer AI products that are controversial because of their purported or real impact on human rights, privacy, employment, or other social issues, we may experience brand or reputational harm.</w:t>
      </w:r>
    </w:p>
    <w:p>
      <w:pPr>
        <w:spacing w:after="0" w:line="14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investments in deploying AI technologies may be substantial and may be more expensive than anticipated. If our Platform does not function reliably, fails to meet expectations in terms of performance, or cannot be fully utilized due to increasing regulation or reputational concerns, we may be unable to provide such services, our customers may stop using our products, or our competitors may incorporate AI technology into their products or services more successfully than we do, all of which may impair our ability to effectively compete in the market.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40"/>
          </w:cols>
          <w:pgMar w:left="320" w:top="448"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understand that the terms “AI,” “Machine Learning,” “Generative AI,” “Large Language Models” and other similar terms may mean different things to different people. Accordingly, when we use those terms, we ascribe to them their broadest, commonly accepted meanings. For example, AI is a scientific field that allows computer software to perform human-like intelligence tasks. At its core, AI is simply the sophisticated application of mathematics to help machines perform tasks similar to, or better than, humans. AI is an umbrella term that encompasses many other subfields and technologies, including those listed above and described below:</w:t>
      </w:r>
    </w:p>
    <w:p>
      <w:pPr>
        <w:spacing w:after="0" w:line="95" w:lineRule="exact"/>
        <w:rPr>
          <w:sz w:val="20"/>
          <w:szCs w:val="20"/>
          <w:color w:val="auto"/>
        </w:rPr>
      </w:pPr>
    </w:p>
    <w:p>
      <w:pPr>
        <w:ind w:left="1000" w:hanging="549"/>
        <w:spacing w:after="0" w:line="267"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 Learning is a type of AI where the computer software is tasked with learning without being explicitly programmed. Instead, the software learns and adapts through a combination of instruction from humans and self-experimentation.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is a type of AI that can take different types of inputs (such as text, image, audio, video, code, etc.) and generate new content using a variety of different modalities and based on a sophisticated and advanced set of rules.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Language Models are algorithms that can recognize, summarize, translate, predict, answer questions about, and generate content using very large datasets, such as our own multimodal clinical-molecular database.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Neural Networks are a type of machine learning that teach computers to process data in a way that is inspired by the human brain. Neural networks use interconnected nodes or neurons, much in the same way the human brain does.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use of generative AI tools may pose particular risks to our proprietary software and systems and subject us to legal liability.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use generative AI tools in our business and expect to use generative AI tools in the future. Using generative AI tools to produce content that can be indistinguishable from that generated by humans is a relatively novel development, with many of the benefits, risks and liabilities still unknown. Recent decisions of the U.S. Copyright Office suggest that we would not be able to claim copyright ownership in any source code, text, images, or other materials that we develop through use of generative AI tools, and the availability of such protections in other countries is unclear. As a result, we could have no remedy if third parties reused those same materials, or similar materials also generated by AI tools.</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face and expect to continue to face allegations, and we may face claims regarding such allegations, from third parties of infringement of their intellectual property rights, or mandatory compliance with open source software or other license terms, with respect to software, or other materials or content we believe to be available for use, and not subject to license terms or other third-party proprietary rights. We could also be subject to claims from providers of generative AI tools if, for example, we use any of the generated materials in a manner inconsistent with their terms of use. Any of these claims could result in legal proceedings and could require us to purchase a costly license, comply with the requirements of open source software license terms, or limit or cease using the implicated software, or other materials or content unless and until we can re-engineer such software, materials, or content to avoid infringement or change the use of, or remove, the implicated third-party materials, which could reduce or eliminate the value of our technologies and services. Our use of generative AI tools may also present additional security risks because the generated source code may have been modeled from publicly available code, or otherwise not subject to all of our standard internal controls, which may make it easier for hackers and other third parties to determine how to breach our website and systems that rely on the code. Any of these risks could be difficult to eliminate or manage, and, if not addressed, could have a material adverse effect on our business, results of operations, financial condition and future prospects.</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challenges with the acquisition, development, enhancement or deployment of technology necessary for our businesses.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requires sophisticated computer systems and software in order to accurately and efficiently capture, service and process increasing volumes of health data, in particular a growing number of genomic profiles generated by our customers through various NGS test kits, sequencers and sample materials from</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40"/>
          </w:cols>
          <w:pgMar w:left="320" w:top="448"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 genomics data into our Platform, that these new technologies will be effective and efficient, will meet our needs or achieve our expected goals or that we will be able to do so as quickly or cost effectively as our competitors.</w:t>
      </w:r>
    </w:p>
    <w:p>
      <w:pPr>
        <w:spacing w:after="0" w:line="285" w:lineRule="exact"/>
        <w:rPr>
          <w:sz w:val="20"/>
          <w:szCs w:val="20"/>
          <w:color w:val="auto"/>
        </w:rPr>
      </w:pPr>
    </w:p>
    <w:p>
      <w:pPr>
        <w:ind w:left="460" w:right="8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compete successfully with our competitors, we may be unable to increase or sustain our revenue or to achieve and then sustain profitability.</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Growing understanding of the importance of biomarkers linked with therapy selection and response is leading to more companies offering products in genomic testing, including NGS diagnostics and PCR profiling. In addition, there are a number of healthcare technology companies providing data analysis products, including AI-driven data platforms and diagnostic products.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competitors with respect to our Genomics products include certain diagnostics companies, such as Foundation Medicine, Inc., which was acquired by Roche Holdings, Inc., Caris Life Sciences, Guardant Health, Inc., Neogenomics, and ResolutionBio, which was acquired by Agilent, among others, with respect to our currently marketed precision oncology tests, and legacy diagnostic laboratories, such as Quest and LabCorp. In addition, our competitors for our pharmacogenetic test in neuropsychiatry include Myriad Genetics, Inc. and Genomind, Inc.</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competitors with respect to our Data and Services products include Flatiron Health, Inc., IQVIA Holdings Inc., and ConcertAI, among others. Furthermore, our Data and Services products also face competition from CROs, such as Fortrea, ICON, Syneos, PPD, and others, who provide data and clinical trial matching services to pharmaceutical and biotechnology companies.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competitors with respect to our AI Applications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and PaigeAI. In cardiology, we believe our competitors may include HeartFlow Inc., Anumana, Inc., and Eko Devices, Inc. In addition, we are aware that academic medical centers may be developing their own AI Applications and may decide to enter this market.</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40"/>
          </w:cols>
          <w:pgMar w:left="320" w:top="448"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 algorithmic testing products, the number of genomic and 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w:t>
      </w:r>
    </w:p>
    <w:p>
      <w:pPr>
        <w:spacing w:after="0" w:line="292"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subject to rapid change, which could make our Platform, our current products and any future products we may develop obsolete.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healthcare diagnostic and data industries are characterized by rapid changes, including technological and scientific breakthroughs, frequent new product introductions and enhancements and evolving industry standards, any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diagnostic testing, as well as advances in the application of AI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information about new therapies or relevant clinical trials, or insights regarding the current treatment landscape for applicable indications and advances in computational biology, software development, and AI,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w:t>
      </w:r>
    </w:p>
    <w:p>
      <w:pPr>
        <w:spacing w:after="0" w:line="297"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 and some of those deployments have not resulted in the customer’s adoption or expansion of its use of our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40"/>
          </w:cols>
          <w:pgMar w:left="320" w:top="44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products, or the generation of significant, or any, revenue or payments. In addition, as we continue to grow, including geographically, and as we develop a public company infrastructure, we may find it difficult to maintain our culture.</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culture also prioritizes patient care and customer satisfaction over short-term financial results, and we frequently make product decisions that may reduce our short-term revenue or cash flow if we believe that the 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w:t>
      </w:r>
    </w:p>
    <w:p>
      <w:pPr>
        <w:spacing w:after="0" w:line="285"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market, sell or distribute our products, and if we are unable to expand our sales organization to adequately address our customers’ needs, our business, financial condition and results of operations may be adversely affected.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may not be able to market, sell or distribute our data products and diagnostic tests, and other products we may develop effectively enough to support our planned growth. We currently sell our Genomics and AI Applications tests to clinicians and hospital systems in the United States through our own sales organization and may leverage distributors to help sell our Genomics diagnostic tests in international markets, and we sell our Data and Services products to pharmaceutical and biotechnology companies through our business development team.</w:t>
      </w:r>
    </w:p>
    <w:p>
      <w:pPr>
        <w:spacing w:after="0" w:line="18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Each of our target markets is large, distinct and diverse. As a result, we believe it is necessary for many of our sales representatives and business development managers to have established diagnostic- or healthcare data-focused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w:t>
      </w:r>
    </w:p>
    <w:p>
      <w:pPr>
        <w:spacing w:after="0" w:line="281"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executing our strategy to increase sales of our Data and Services products to large pharmaceutical and biotechnology customers, our results of operations may suffer.</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Data and Services products, and in particular our Insights product, to large pharmaceutical and biotechnology companies. Sales to large companies involve risks that may not be present (or that are present to a lesser extent) with sales to small-to-mid-sized entities. These risks include:</w:t>
      </w:r>
    </w:p>
    <w:p>
      <w:pPr>
        <w:spacing w:after="0" w:line="89" w:lineRule="exact"/>
        <w:rPr>
          <w:sz w:val="20"/>
          <w:szCs w:val="20"/>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leverage held by large customers in negotiating contractual arrangements with us;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decision makers within these organizations that may negatively impact our ability to negotiate in the future;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employees may perceive that our products pose a threat to their internal control and advocate for internally developed solutions over our product;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may be spent on a potential customer that ultimately elects not to purchase our products;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requirements in our service contracts, including stricter service response times, and increased penalties for any failure to meet service requirements;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40"/>
          </w:cols>
          <w:pgMar w:left="320" w:top="448"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larger competitors that traditionally target large enterprises and government entities;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predictability in completing some of our sales than we do with smaller customers;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advancements in AI allow our Data customers to develop models that serve as functional equivalents of our database and render our own products obsolete.</w:t>
      </w:r>
    </w:p>
    <w:p>
      <w:pPr>
        <w:spacing w:after="0" w:line="17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Selling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and Services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 sales. As a result, in the event a sale is not completed or is canceled or delayed, we may have incurred substantial expenses, making it more difficult for us to become profitable or otherwise negatively impacting our financial results.</w:t>
      </w:r>
    </w:p>
    <w:p>
      <w:pPr>
        <w:spacing w:after="0" w:line="37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w:t>
      </w:r>
    </w:p>
    <w:p>
      <w:pPr>
        <w:spacing w:after="0" w:line="271"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renew their licenses, do not buy additional products from us, or renew at lower prices, our business and operating results will suffer.</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the year ended December 31, 2023, we derived $67.9 million, or approximately 40% and 13%, of our Data and Services product line revenue and total revenue, respectively, from three customers. We expect to continue to derive a significant portion of our Data and Services product line revenue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w:t>
      </w:r>
    </w:p>
    <w:p>
      <w:pPr>
        <w:spacing w:after="0" w:line="92" w:lineRule="exact"/>
        <w:rPr>
          <w:sz w:val="20"/>
          <w:szCs w:val="20"/>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and functionality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performance, and functionality of competing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support services;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complementary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performance, and security of our technological infrastructure;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customers.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40"/>
          </w:cols>
          <w:pgMar w:left="320" w:top="448"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deliver our Insights product through license agreements that allow our customers to use de-identified datasets for a specified term or for specified uses. Our customers have no obligation to renew their licenses for our Data and Services products after the license ends, and many of our contracts may be terminated or reduced in scope either immediately or upon notice. In addition, our customers may negotiate terms less advantageous to us upon renewal, which may reduce our revenue from these customers. Factors that are not within our control may contribute to a reduction in our Data and Services product line revenue.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 may decline and our future revenue may be constrained.</w:t>
      </w:r>
    </w:p>
    <w:p>
      <w:pPr>
        <w:spacing w:after="0" w:line="288" w:lineRule="exact"/>
        <w:rPr>
          <w:sz w:val="20"/>
          <w:szCs w:val="20"/>
          <w:color w:val="auto"/>
        </w:rPr>
      </w:pPr>
    </w:p>
    <w:p>
      <w:pPr>
        <w:ind w:left="460" w:right="6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Data and Services product line revenue are generated by sales to life sciences industry customers, and factors that adversely affect this industry could also adversely affect our Data business sales.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 significant portion of our current Data and Services products sales are to customers in the life sciences industry, in particular the pharmaceutical and biotechnology industry. Demand for our Data and Services products could be affected by factors that adversely affect the life sciences industry, including macroeconomic and market conditions that may adversely impact earlier stage biotechnology companies. The life sciences industry is highly regulated and competitive and has experienced periods of considerable consolidation. Consolidation among our customers could cause us to lose customers, decrease the available market for our products, and adversely affect our 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and our ability to efficiently provide our products to life sciences companies and to grow or maintain our customer base could be adversely affected as a result of factors that affect the life sciences industry generally.</w:t>
      </w:r>
    </w:p>
    <w:p>
      <w:pPr>
        <w:spacing w:after="0" w:line="290" w:lineRule="exact"/>
        <w:rPr>
          <w:sz w:val="20"/>
          <w:szCs w:val="20"/>
          <w:color w:val="auto"/>
        </w:rPr>
      </w:pPr>
    </w:p>
    <w:p>
      <w:pPr>
        <w:jc w:val="both"/>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40"/>
          </w:cols>
          <w:pgMar w:left="320" w:top="448"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collect receivables from our customers, our operating results may be adversely affected.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While the majority of our current customers are well-established large companies and hospital systems, we also provide our Data and Services products to smaller institutions and companies and our Genomics product line 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debt may affect our flexibility in operating and developing our business and our ability to satisfy our obligations.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March 31, 2024, we had indebtedness of $452.5 million, comprised of $186.7 million under the convertible promissory note, as amended, or the Amended Note, that we issued to Google LLC, or Google, and $265.8 million pursuant to a credit agreement with Ares Capital Corporation, or Ares, as amended, for a senior secured loan, or the Term Loan Facility. Our current and future indebtedness, including the Amended Note and the Term Loan Facility may have significant negative effects on our operations, including:</w:t>
      </w:r>
    </w:p>
    <w:p>
      <w:pPr>
        <w:spacing w:after="0" w:line="92" w:lineRule="exact"/>
        <w:rPr>
          <w:sz w:val="20"/>
          <w:szCs w:val="20"/>
          <w:color w:val="auto"/>
        </w:rPr>
      </w:pPr>
    </w:p>
    <w:p>
      <w:pPr>
        <w:jc w:val="both"/>
        <w:ind w:left="1000" w:hanging="549"/>
        <w:spacing w:after="0" w:line="255"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(or to obtain such financing on acceptable terms) for working capital, capital expenditures, acquisitions or other important needs, and subjecting us to other restrictive covenants that may reduce our ability to take certain corporate actions;</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reducing money available to fund working capital, capital expenditures, potential acquisitions, international expansion, new product development, new enterprise relationships and other general corporate purposes;</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repay the principal and accrued interest on the Amended Note if we terminate our agreement with Google for use of Google Cloud or as a result of an event of default under the operating covenants in the Amended Note, or requiring us to repay the principal and accrued interest on the Term Loan Facility in an event of default under the covenants of the Term Loan Facility, either of which could impair our liquidity and reduce the availability of our cash flow to fund working capital, capital expenditures, acquisitions and other important needs;</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in certain circumstances, to obtain approval from Ares before embarking on certain mergers, acquisitions, capital expenditures, or other operational issues.</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then existing cash and cash equivalents. However, we may not have sufficient funds, and may be unable to arrange for additional financing, to pay the amounts due under the Term Loan Facility, the Amended Note or any other debt instruments. In addition, the Term Loan Facility and Amended Note contain, and the agreements governing our future indebtedness may contain, restrictive covenants that may limit our ability to engage in activities that may be in our long-term best interest. These restrictive covenants include, among others, financial reporting requirements, limitations on indebtedness, liens, mergers, consolidations, liquidations and dissolutions, sales of assets, investments (including acquisitions), dividends and other restricted payments and transactions with affiliates. Our failure to make payments under or comply with other covenants contained in the documents governing our indebtedness could result in an event of default which, if not cured or waived, could result in the acceleration of substantially all of our debt and potentially the foreclosure on our assets in the event we are unable to repay all amounts owed.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40"/>
          </w:cols>
          <w:pgMar w:left="320" w:top="448"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sole suppliers, for some of our laboratory instruments and materials and may not be able to find replacements or promptly transition to alternative suppliers.</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including Illumina Inc., or Illumina, for certain sequencers, reagents, blood tubes and other equipment, instruments and materials that we use in our laboratory operations. Purchases from this supplier accounted for approximately 35%, 33%, 37% and 41% of total vendor payments for the years ended December 31, 2022 and 2023 and the three months ended March 31, 2023 and 2024, respectively. Amounts due to this supplier were approximately $8.2 million, $11.8 million and $8.6 million at December 31, 2022 and 2023 and March 31, 2024, respectively.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and results of operations. We rely on Illumina as the sole supplier of the sequencers and as the sole provider of maintenance and repair services for these sequencers. 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 These limited or sole suppliers could engage in diverse types of businesses, including selling products in competition with us, and there can be no assurance that we can continue to receive required equipment, instruments or materials from them.</w:t>
      </w:r>
    </w:p>
    <w:p>
      <w:pPr>
        <w:spacing w:after="0" w:line="196"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w:t>
      </w:r>
    </w:p>
    <w:p>
      <w:pPr>
        <w:spacing w:after="0" w:line="263" w:lineRule="exact"/>
        <w:rPr>
          <w:sz w:val="20"/>
          <w:szCs w:val="20"/>
          <w:color w:val="auto"/>
        </w:rPr>
      </w:pPr>
    </w:p>
    <w:p>
      <w:pPr>
        <w:ind w:left="460" w:right="1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disruptions in supply of, and changes in the competitive environment for, raw materials and components integral to the manufacturing of our products may adversely affect our ability to achieve and maintain profitability.</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use a broad range of materials and supplies, including chemicals and other electronic components, in our Genomics product line. A significant disruption in the supply of these materials, including disruptions like those stemming from the COVID-19 pandemic, could decrease production and shipping levels, materially increase our operating costs and materially adversely affect our profit margins. Shortages of materials or interruptions in transportation systems, labor strikes, work stoppages, infectious disease, epidemics or pandemics including COVID-19, outbreaks, conflicts (including the armed conflicts between Russia and Ukraine and the hostilities in the Middle East), civil unrest, acts of terrorism or other interruptions to or difficulties in the employment of labor (such as strikes by unionized workforces) or transportation in the markets in which we 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40"/>
          </w:cols>
          <w:pgMar w:left="320" w:top="448"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currently derive nearly all of our diagnostic revenue from tests performed at laboratory facilities located in Chicago, Illinois, Atlanta, Georgia, and Raleigh, North Carolina, and these facilities generally do not have completely redundant capabilities. Further, while we are currently in the process of expanding the number and type of diagnostic tests within our laboratory facility in Raleigh, North Carolina, there is no assurance that we will successfully transition in a timely manner or at all, and we may not be able to fully operationalize this facility to its capacity. Our facilities and equipment could be harmed or rendered inoperable by natural or man-made disasters, including war, fire, earthquake, power loss, communications failure or terrorism, which may render it difficult or impossible for us to operate our Genomics product line for some period of time and which may also cause us to lose valuable stored tissue samples, including organoids. The inability to perform our tests or to reduce the backlog that could 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 and time-consuming to repair or replace. It would be difficult, time-consuming and expensive to rebuild a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 Our physical laboratory facilities are also subject to regulatory oversight, such by the federal Occupational Safety and Health Administration, or OSHA, and certain state analogs. On occasion, certain safety issues are reported directly to OSHA. While we have been successful in promptly remediating any such issues, there is no guarantee we will be able to do so in the future, and these regulatory bodies could intervene and suspend our operations, which could have a material impact on our business.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281" w:lineRule="exact"/>
        <w:rPr>
          <w:sz w:val="20"/>
          <w:szCs w:val="20"/>
          <w:color w:val="auto"/>
        </w:rPr>
      </w:pPr>
    </w:p>
    <w:p>
      <w:pPr>
        <w:ind w:left="460" w:right="5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samples to our laboratory facility in a timely and cost-efficient manner and if these delivery services are disrupted, our business will be harmed.</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business depends on our ability to deliver test results quickly and reliably to our customers. Blood and tissue samples sent from the United States by patients, physicians or hospital pathology departments are typically received within days for analysis at our Chicago, Atlanta, or Raleigh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business, financial condition and results of operations may be adversely affected.</w:t>
      </w:r>
    </w:p>
    <w:p>
      <w:pPr>
        <w:spacing w:after="0" w:line="288" w:lineRule="exact"/>
        <w:rPr>
          <w:sz w:val="20"/>
          <w:szCs w:val="20"/>
          <w:color w:val="auto"/>
        </w:rPr>
      </w:pPr>
    </w:p>
    <w:p>
      <w:pPr>
        <w:ind w:left="460" w:right="6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provide quality technical support and services for our Data and Services products, we could lose customers and our business and prospects will suffer.</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ability to provide relevant information to customers of our Data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40"/>
          </w:cols>
          <w:pgMar w:left="320" w:top="448"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revenue and results of operations.</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 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and results of operations.</w:t>
      </w:r>
    </w:p>
    <w:p>
      <w:pPr>
        <w:spacing w:after="0" w:line="263"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business to pharmaceutical and biotechnology customers outside of the United States. Doing business internationally involves a number of risks, including:</w:t>
      </w:r>
    </w:p>
    <w:p>
      <w:pPr>
        <w:spacing w:after="0" w:line="89" w:lineRule="exact"/>
        <w:rPr>
          <w:sz w:val="20"/>
          <w:szCs w:val="20"/>
          <w:color w:val="auto"/>
        </w:rPr>
      </w:pPr>
    </w:p>
    <w:p>
      <w:pPr>
        <w:jc w:val="both"/>
        <w:ind w:left="1000" w:hanging="549"/>
        <w:spacing w:after="0" w:line="251"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including regulations that limit our ability to collect and distribute and otherwise process de-identified patient data, tax laws, export and import restrictions, economic sanctions and embargoes, employment laws, healthcare regulatory requirements, including those governing diagnostic testing and reimbursement, and other governmental approvals, permits and licenses;</w:t>
      </w:r>
    </w:p>
    <w:p>
      <w:pPr>
        <w:spacing w:after="0" w:line="92"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distributors, our local partners to obtain regulatory approvals for the use of our products in various countries;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blocking or relevant third-party patent or other intellectual property rights;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maintaining and enforcing our intellectual property rights;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blood samples, including infrastructure conditions and transportation delays;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populations that are underrepresented in our databases;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perform our tests locally;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40"/>
          </w:cols>
          <w:pgMar w:left="320" w:top="448"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331" w:lineRule="auto"/>
        <w:tabs>
          <w:tab w:leader="none" w:pos="10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(such as the armed conflicts between Russia and Ukraine and the hostilities in the Middle East), terrorism, and political unrest, boycotts, curtailment of trade and other business restrictions;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or similar issues, such as epidemics or pandemics, including the current outbreak of COVID-19, that could cause business disruption;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or FCPA, its books and records provisions, or its anti-bribery provisions.</w:t>
      </w:r>
    </w:p>
    <w:p>
      <w:pPr>
        <w:spacing w:after="0" w:line="11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late February 2022, Russian military forces launched a significant military action against Ukraine. In October 2023, following a series of coordinated attacks in Israel conducted by the Palestinian Islamist militant group Hamas, Israel began air strikes and a subsequent ground war against Hamas. The Israel/Hamas conflict is threatening to spread, and may in the future spread, into other Middle Eastern countries. While our business and operations are currently not impacted, including in Israel where we sell certain molecular tests through a third party and perform certain testing services, it is not possible to predict consequences of these crises, or any other conflicts that may arise, which could include further sanctions, embargoes, regional instability, geopolitical shifts and adverse effects on macroeconomic conditions, security conditions, currency exchange rates and financial markets, any of which could have a material adverse impact on our future operations and results.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Any of these factors could significantly harm our future international expansion and operations and, consequently, our revenue and results of operations.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Highly Regulated Industry</w:t>
      </w:r>
    </w:p>
    <w:p>
      <w:pPr>
        <w:spacing w:after="0" w:line="106"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7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and/or protected health information stored, maintained, received or transmitted, including electronically, is a major issue in the United States and abroad. We collect, process, maintain, retain, evaluate, utilize and distribute large amounts of personal health and financial information and other confidential and sensitive data about our customers, employees and others in the ordinary course of our business. Concerns about and claims challenging our practices with regard to the collection, use, retention, disclosure or security of personally identifiable information, protected health information, or other privacy-related matters, even if unfounded and even if we are in compliance with applicable laws, could damage our reputation and harm our business, financial condition and results of operations.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Numerous federal, state and foreign laws and regulations govern collection, dissemination, use and confidentiality of personally identifiable information and protected health information, including HIPAA; state privacy and confidentiality laws (including state laws requiring disclosure of breaches); federal and state consumer protection and employment laws; and European and other foreign data protection laws. A range of enforcement agencies exist at both the state and federal levels that can enforce these laws and regulations. New privacy legislation may create additional rights for consumers and impose additional requirements on businesses. As these laws and regulations increase in complexity and number, they may change frequently, sometimes conflict and increase our compliance efforts, costs and risks.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establishes a set of national privacy and security standards for the protection of PHI by health plans,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40"/>
          </w:cols>
          <w:pgMar w:left="320" w:top="448"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also routinely receive large amounts of PHI as a business associate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same requirements.</w:t>
      </w:r>
    </w:p>
    <w:p>
      <w:pPr>
        <w:spacing w:after="0" w:line="189"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Penalties for violations of these laws vary. For instance, a single breach incident can result in findings of violations of multiple HIPAA provisions. Penalties for failure to comply with a requirement of HIPAA and HITECH vary significantly, and include civil monetary penalties for each provision of HIPAA that is violated and, in certain circumstances, criminal penalties, including imprisonment and/or additional fines. A person who knowingly obtains or discloses individually identifiable health information in violation of HIPAA may face additional fines and up to one-year imprisonment. The criminal penalties increase if the wrongful conduct involves false pretenses or the intent to sell, transfer, or use identifiable health information for commercial advantage, personal gain, or malicious harm. In addition, any allegation that we have violated HIPAA, regardless of its merit, could harm our reputation and consume significant internal resources.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61" w:lineRule="exact"/>
        <w:rPr>
          <w:sz w:val="20"/>
          <w:szCs w:val="20"/>
          <w:color w:val="auto"/>
        </w:rPr>
      </w:pPr>
    </w:p>
    <w:p>
      <w:pPr>
        <w:jc w:val="both"/>
        <w:ind w:firstLine="454"/>
        <w:spacing w:after="0" w:line="244"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regulations coming into effect. For example, various states, such as California, Massachusetts, and others, have implemented similar privacy laws and regulations, such as the California Confidentiality of Medical Information Act, that impose restrictive requirements regulating the use and disclosure of health information and other personally identifiable information, and the California Consumer Privacy Act, which went into effect on January 1, 2020, and creates new data privacy rights for users.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(that is expected to increase data breach class action litigation and result in significant exposure to costly legal judgements and settlements). Aspects of the CCPA and its interpretation and enforcement remain uncertain. In addition, the CCPA was expanded on January 1, 2023, when the California Privacy Rights Act of 2020, or CPRA, became operative.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establishes a new California Privacy Protection Agency to implement and enforce the CPRA. Although there are limited exemptions for clinical trial data under the CCPA, the CCPA and other similar laws could impact our business activities depending on how they are interpreted. New legislation proposed or enacted in various other states will continue to shape the data privacy environment nationally. For example, Virginia recently passed its Consumer Data Protection Act, and Colorado recently passed the Colorado Privacy Act, both of which differ from the CPRA and became effective in 2023. Additional states have since also passed comprehensive privacy laws with additional obligations and requirements on businesses.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40"/>
          </w:cols>
          <w:pgMar w:left="320" w:top="448"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all 50 U.S.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These laws and regulations are not necessarily preempted by HIPAA, particularly if a state affords greater protection to individuals than HIPAA. Where state laws are more protective, we may have to comply with the stricter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or increased demands for enhanced data security infrastructure applied to personally identifiable information, could greatly increase our costs of providing our products, decrease demand for our products, reduce our revenue and/or subject us to additional risks.</w:t>
      </w:r>
    </w:p>
    <w:p>
      <w:pPr>
        <w:spacing w:after="0" w:line="191"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In addition, the interpretation and application of consumer, health-related, and data protection laws, especially with respect to genetic samples and data, in the United States, the EU (including all countries in the EEA), and elsewhere are often uncertain, contradictory, and in flux. We may operate in a number of countries outside of the United States whose laws may in some cases be more stringent than the requirements in the United States. For example, EU member countries have specific requirements relating to cross-border transfers of personal data to certain jurisdictions, including to the United States where our laboratories reside. In addition, some countries have stricter consumer notice and/or consent requirements relating to personal data collection, use or sharing, more stringent requirements relating to organizations’ privacy programs and provide stronger individual rights. Moreover, international privacy and data security regulations continue to become more complex and have greater consequences. For instance,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 categories of personal sequencing and pseudonymized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 Failure to</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40"/>
          </w:cols>
          <w:pgMar w:left="320" w:top="448"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comply with the requirements of GDPR may result in significant fines of up to €20,000,000 or up to 4% of the total worldwide annual turnover of the preceding financial year, whichever is higher, and other administrative penalties. European data protection authorities have already imposed fines for GDPR violations up to, in some cases, hundreds of millions of Euros. The GDPR also confers a private right of action on data subjects and consumer associations to lodge complaints with supervisory authorities, seek judicial remedies, and obtain compensation for damages resulting from violations of the GDPR. Failure to comply with the GDPR and other applicable privacy or data security-related laws, rules or regulations could result in material penalties imposed by regulators, affect our compliance with client contracts and have an adverse effect on our business, financial condition and results of operations.</w:t>
      </w:r>
    </w:p>
    <w:p>
      <w:pPr>
        <w:spacing w:after="0" w:line="187"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European data protection law, including the GDPR, also imposes strict rules on the transfer of personal data from Europe to the United States and other countries unless the parties to the transfer have implemented specific safeguards to protect the transferred personal data. These obligations may be interpreted and applied in a manner that is inconsistent from one jurisdiction to another and may conflict with other requirements or our practices. In addition, these rules are constantly under scrutiny. For example, the EU-US Privacy Shield and the Swiss-US Privacy Shield were both invalidated by the Court of Justice of the EU, or CJEU, in a case known colloquially as “Schrems II,” and the Swiss Commissioner, respectively. Further, the EU Standard Contractual Clauses are the subject of legal challenges in European courts and the Standard Contractual Clauses as well as any successor version(s) of those clauses may face additional challenges in the future and be found similarly invalidated, and the absence of successor safeguards for continued data transfer could require us to create duplicative, and potentially expensive, information technology infrastructure and business operations in Europe or limit our ability to collect and use personal information collected in Europe. Notwithstanding the foregoing challenges, the use of the EU Standard Contractual Clauses has also been called into question by the European courts.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On July 11, 2023, the European Commission entered into force its adequacy decision for the EU-US Data Privacy Framework, or EU-US DPF, (a new framework for transferring personal information from the EEA to the United States), having determined that such framework ensures that the protection of personal information transferred from the EEA to the United States will be comparable to the protection offered in the EU. However, this decision will likely face legal challenges and ultimately may be invalidated by the CJEU just as the EU-US Privacy Shield was. On October 12, 2023, a UK-U.S. Data Bridge came into force to operate as an extension of the EU-US DPF to facilitate transfers of personal data between the United Kingdom and certified entities in the United States. Such Data Bridge could not only be challenged, but also may be affected by any challenges to the EU-US DPF. If we are unable to implement a valid compliance mechanism for cross-border personal data transfers, we may face increased exposure to regulatory actions, substantial fines and injunctions against processing or transferring personal data outside of the EEA and the United Kingdom, including to the United States.</w:t>
      </w:r>
    </w:p>
    <w:p>
      <w:pPr>
        <w:spacing w:after="0" w:line="200" w:lineRule="exact"/>
        <w:rPr>
          <w:sz w:val="20"/>
          <w:szCs w:val="20"/>
          <w:color w:val="auto"/>
        </w:rPr>
      </w:pPr>
    </w:p>
    <w:p>
      <w:pPr>
        <w:spacing w:after="0" w:line="391"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Furthermore, in June 2021, the European Commission adopted new standard contractual clauses under the GDPR for transfers of personal data outside the EEA to countries that the European Commission has not deemed to provide an adequate level of protection for such personal data. If we elect to rely on the new standard contractual clauses for personal data transfers out of Europe, we may be required to expend significant resources to update our contractual arrangements and to meet the obligations the new standard contractual clauses impose; for example, we may be required to conduct transfer impact assessments for such cross-border personal data transfers and implement additional security measures. In addition, the EU Commission has proposed a new ePrivacy Regulation that would address various matters, including provisions specifically aimed at the use of cookies to identify an individual’s online behavior, and any such ePrivacy Regulation may provide for new compliance obligations and significant penalties. Any of these changes to EU data protection law or its interpretation could disrupt and harm our business. We rely on a mixture of safeguards to transfer personal data from the EU to the United States, and could be impacted by changes in law as a result of a future review of these transfer mechanisms by European regulators or current challenges to these mechanisms in the European courts.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40"/>
          </w:cols>
          <w:pgMar w:left="320" w:top="448"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On June 28, 2021, the European Commission issued an adequacy decision under the GDPR which allows personal data transfers (other than those carried out for the purposes of United Kingdom immigration control) from the EEA to the United Kingdom to continue without restriction for four years (ending June 27, 2025). After that period, the adequacy decision may be renewed, only if the United Kingdom continues to ensure an adequate level of data protection. During these four years, the European Commission will continue to monitor the situation in the United Kingdom and could intervene at any point if the United Kingdom deviates from the level of data protection in place at the time of the issuance of the adequacy decision. If the adequacy decision is withdrawn or not renewed, transfers of personal data from the EEA to the United Kingdom will require a valid ‘transfer mechanism’ and we may be required to implement new processes and put new agreements in place, such as standard contractual clauses, to enable transfers of personal data from the EEA to the United Kingdom to continue.</w:t>
      </w:r>
    </w:p>
    <w:p>
      <w:pPr>
        <w:spacing w:after="0" w:line="19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current practices could be challenged under one or more of such laws, or that we will have to modify our business practices substantially to begin operating in these areas. The scope and enforcement of each of these 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and settlements in the healthcare industry.</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With the GDPR, CCPA, CPRA,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 financial condition and results of operations. Any failure or perceived failure by us or our service providers to comply with our applicable policies or notices relating to privacy or data protection, our contractual or other obligations to third parties, or any of our other legal obligations relating to privacy or data protection, may result in governmental investigations or enforcement actions, litigation, claims and other proceedings, harm our reputation, and could result in significant liability.</w:t>
      </w:r>
    </w:p>
    <w:p>
      <w:pPr>
        <w:spacing w:after="0" w:line="287"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6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31" w:lineRule="exact"/>
        <w:rPr>
          <w:sz w:val="20"/>
          <w:szCs w:val="20"/>
          <w:color w:val="auto"/>
        </w:rPr>
      </w:pPr>
    </w:p>
    <w:p>
      <w:pPr>
        <w:ind w:left="1000" w:hanging="549"/>
        <w:spacing w:after="0" w:line="267"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applicable to test ordering, documentation of tests ordered, billing practices and claims payment and/or regulatory agencies enforcing those laws and regulations;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 care fraud and abuse laws;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40"/>
          </w:cols>
          <w:pgMar w:left="320" w:top="448"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laboratory anti-mark-up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levels by Medicare, Medicaid, other governmental payers and private insurers;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of and reimbursement for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laboratory testing, including CLIA, and state licensing laws;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development, use and distribution of diagnostic medical devices, including laboratory developed tests, or LDTs;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use of AI in analyzing data, including data in healthcare related areas;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laws governing the handling and disposal of medical and hazardous waste;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Occupational Safety and Health Administration rules and regulations;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and similar state data privacy and security laws;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 laws.</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particular, the laws and regulations governing the marketing of diagnostic tests are complex, and there are often no sufficient regulatory or judicial interpretations of these laws and regulations. For example, some of our diagnostic tests are actively regulated by the FDA pursuant to the medical device provisions of the Federal Food, Drug and Cosmetic Act, or FDCA. The FDA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 safety, labeling, storage, recordkeeping,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 If we do not comply with these requirements or fail to adequately comply, our business, financial condition and results of operations may be harmed.</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Changes in the current regulatory framework for algorithmic diagnostic products and services can impose additional regulatory burdens on us. The FDA is also currently considering the development of novel regulatory pathways for AI technologies and other software. As the regulatory 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w:t>
      </w:r>
    </w:p>
    <w:p>
      <w:pPr>
        <w:spacing w:after="0" w:line="288"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tests are currently marketed as LDTs, and future changes in FDA enforcement discretion for LDTs could subject our operations to much more significant regulatory requirements.</w:t>
      </w:r>
    </w:p>
    <w:p>
      <w:pPr>
        <w:spacing w:after="0" w:line="6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FDA has historically operated under a policy of enforcement discretion with respect to LDTs whereby the FDA did not actively enforce its regulatory requirements for such tests. On May 6, 2024, the FDA published final regulations taking effect on July 5, 2024 that will phase-out enforcement discretion over a period of four years and require compliance with device registration and listing requirements, medical device reporting requirements, 510(k) clearance, denovo authorization or Premarket Approval and the requirements of the FDA’s Quality System Regulation. If we fail to phase-in our compliance with these regulations we may be required to stop selling our existing tests or launching any other tests we may develop and to conduct additional clinical</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40"/>
          </w:cols>
          <w:pgMar w:left="320" w:top="448"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trials or take other actions prior to continuing to market our tests. This could significantly increase the costs and expenses of conducting, or otherwise harm, our business, financial condition and results of operations. Even if such tests are authorized for marketing by the FDA, the agency could limit the test’s indications for use, which may significantly limit the market for that product and may adversely affect our business and financial condition.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 results of the LDTs to our customers and this may require costly modifications, additional development or the reduction in functionality in our offerings which could, in turn, make them less attractive to our customers.</w:t>
      </w:r>
    </w:p>
    <w:p>
      <w:pPr>
        <w:spacing w:after="0" w:line="261"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FDA will grant 510(k) clearance or a premarket approval of our products and failure to obtain necessary clearances or approvals for our products would adversely affect our ability to grow our business.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process of obtaining regulatory clearance or approval can be a rigorous, costly, lengthy and uncertain process. In the PMA process, the FDA must determine that a proposed device is safe and effective for its intended use based, in part, on extensive data, including, but not limited to, technical, pre-clinical, clinical trial, 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21" w:lineRule="exact"/>
        <w:rPr>
          <w:sz w:val="20"/>
          <w:szCs w:val="20"/>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safe or effective for their intended uses;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conduct or implementation of our clinical trials or the analysis or interpretation of data from our pre-clinical studies or clinical trials;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effects experienced by participants in our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any of our tests outweigh the risks;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marketing application, and in our manufacturing processes, facilities or analytical methods or those of our third-party contract manufacturers;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change significantly in a manner rendering our clinical data or regulatory filings insufficient for the clearance or approval;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audit our clinical trial data and conclude that the data is not sufficiently reliable to support a PMA application.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40"/>
          </w:cols>
          <w:pgMar w:left="320" w:top="448"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foreign jurisdictions, we may be required to procure similar regulatory approvals or clearances prior to marketing our diagnostic products. For example, in the Europe Union, we need to comply with the new Medical Device Regulation 2017/745 and In Vitro Diagnostic Regulation 2017/746, which became effective May 26, 2017, with application dates of May 26, 2021 (postponed from 2020) and May 26, 2022, respectively. Obtaining the requisite regulatory approvals or clearances in foreign jurisdictions can be expensive and may involve considerable delay.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delay or failure to obtain necessary regulatory approvals or clearances would have a material adverse effect on our business, financial condition and results of operations.</w:t>
      </w:r>
    </w:p>
    <w:p>
      <w:pPr>
        <w:spacing w:after="0" w:line="27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FDA-cleared or approved products may require new 510(k) clearances or premarket approvals, or may require us to cease marketing or recall the modified products until clearances are obtained.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 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w:t>
      </w:r>
    </w:p>
    <w:p>
      <w:pPr>
        <w:spacing w:after="0" w:line="290"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A recall of our products, either voluntarily or at the direction of the FDA or another governmental authority, or the discovery of serious safety issues with our products, could have a significant adverse impact on us.</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The FDA and international regulatory bodies have the authority to require the recall of commercialized products that are subject to FDA regulation in the event of material deficiencies or defects in design or manufacture. We may also, on our own initiative, recall a product. The FDA, for example, requires that certain classifications of recalls be reported to the FDA within ten working days after the recall is initiated. In the case of FDA-approved tests,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 voluntary recalls involving our products in the future that we determine do not require notification to the FDA. If the FDA disagrees with our determinations, the FDA could require us to report those actions and take enforcement action for failing to report the recalls when they were conducted. A future recall announcement could harm our reputation with customers and negatively affect our business, financial condition and results of operations.</w:t>
      </w:r>
    </w:p>
    <w:p>
      <w:pPr>
        <w:spacing w:after="0" w:line="16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If we initiate a correction or removal for one of our tests, issue a safety alert or undertake a field action or recall to reduce a risk to health imposed by the test, this could lead to increased scrutiny by the FDA and our customers regarding the quality and safety of our tests and to 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Arterys, Inc., a company we acquired in 2022, has developed several medical devices that are regulated by the FDA and its European equivalents. Arterys also distributes devices developed by third parties. If we identify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40"/>
          </w:cols>
          <w:pgMar w:left="320" w:top="448"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an issue with, or propose changes to, one of these devices that impacts patient safety or causes us to undertake a field action or implement a recall, our business operations and reputation could be harmed in a meaningful way.</w:t>
      </w:r>
    </w:p>
    <w:p>
      <w:pPr>
        <w:spacing w:after="0" w:line="271" w:lineRule="exact"/>
        <w:rPr>
          <w:sz w:val="20"/>
          <w:szCs w:val="20"/>
          <w:color w:val="auto"/>
        </w:rPr>
      </w:pPr>
    </w:p>
    <w:p>
      <w:pPr>
        <w:jc w:val="both"/>
        <w:ind w:left="460" w:right="1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use only” and any potential “investigational use only” products could become subject to more onerous regulation by the FDA or other regulatory agencies in the future, which could increase our costs and delay our commercialization efforts, thereby materially and adversely affecting our business, financial condition and results of operations.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 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w:t>
      </w:r>
    </w:p>
    <w:p>
      <w:pPr>
        <w:spacing w:after="0" w:line="189"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products, we will continue to be subject to extensive regulatory oversight.</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Medical devices are subject to extensive regulation by the FDA in the United States, the European Commission, European Economic Area, or EEA, Competent Authorities, and comparable regulatory agencies in other territories where we do or may do business. If any of our products are approved by the FDA, the European Commission, EEA Competent Authorities, or other comparable foreign regulatory agencies,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financial condition and results of operations.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40"/>
          </w:cols>
          <w:pgMar w:left="320" w:top="448"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FDA and the FTC also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w:t>
      </w:r>
    </w:p>
    <w:p>
      <w:pPr>
        <w:spacing w:after="0" w:line="15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state and foreign authorities have broad enforcement powers. Our failure to comply with applicable regulatory requirements could result in enforcement action by the FDA, state or foreign regulatory agencies, which may include any of the following sanctions:</w:t>
      </w:r>
    </w:p>
    <w:p>
      <w:pPr>
        <w:spacing w:after="0" w:line="78" w:lineRule="exact"/>
        <w:rPr>
          <w:sz w:val="20"/>
          <w:szCs w:val="20"/>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clearances or approvals of new products, new intended uses or modifications to existing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current clearances or approvals, resulting in prohibitions on sales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issue certificates needed to export products for sale in other countries;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of these sanctions could also result in higher than anticipated costs or lower than anticipated sales of our products and have a material adverse effect on our business, financial condition and results of operations.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40"/>
          </w:cols>
          <w:pgMar w:left="320" w:top="448"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or approval of our diagnostic tests.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w:t>
      </w:r>
    </w:p>
    <w:p>
      <w:pPr>
        <w:spacing w:after="0" w:line="271" w:lineRule="exact"/>
        <w:rPr>
          <w:sz w:val="20"/>
          <w:szCs w:val="20"/>
          <w:color w:val="auto"/>
        </w:rPr>
      </w:pPr>
    </w:p>
    <w:p>
      <w:pPr>
        <w:ind w:left="460" w:right="1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in foreign jurisdictions for any of our products and, even if we do, we may never be able to commercialize them in any other jurisdiction, which would limit our ability to realize their full market potential.</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processes vary among countries and can involve additional product testing and validation and additional administrative review periods.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Seeking foreign regulatory clearance, authorization or approval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will be unrealized.</w:t>
      </w:r>
    </w:p>
    <w:p>
      <w:pPr>
        <w:spacing w:after="0" w:line="288" w:lineRule="exact"/>
        <w:rPr>
          <w:sz w:val="20"/>
          <w:szCs w:val="20"/>
          <w:color w:val="auto"/>
        </w:rPr>
      </w:pPr>
    </w:p>
    <w:p>
      <w:pPr>
        <w:ind w:left="460" w:right="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Any testing subject to CLIA regulation must be performed in a CLIA certified laboratory. CLIA certification is also required in order for us to be eligible to bill state and federal healthcare programs, as well as commercial payers, for our tests. We have a current CLIA certificate to perform our tests at our laboratories in Chicago, Illinois, Atlanta, Georgia and Raleigh, North Carolina. To maintain this certificate, we are subject to survey and inspection every two years. Moreover, CLIA inspectors may make random inspections of our laboratory from time to time.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are also required to maintain clinical laboratory licenses to perform testing in Illinois, Georgia, and North Carolina. State laboratory laws establish standards for day-to-day operation of our clinical laboratories, including the training and skills required of personnel and quality control. In addition, some other states require our laboratories to be licensed in the state in order to test specimens from those states. In addition to Illinois and Georgia, our laboratories are licensed in California, Rhode Island, Pennsylvania, New York and Maryland.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may also be subject to regulations in foreign jurisdictions as we seek to expand international utilization of our tests or as such jurisdictions adopt new licensure requirements, which may require review of our tests in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40"/>
          </w:cols>
          <w:pgMar w:left="320" w:top="448"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order to offer them or may have other 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order to test specimens from New York, LDTs must be approved by the New York State Department of Health, or NYSDOH, on a product-by-product basis before they are offered, and versions of our xT and xF tests have been approved by NYSDOH. We will need to seek NYSDOH approval of any future LDTs we develop, or for modifications to our existing LDTs, and want to offer for clinical testing to New York residents, and there can be no assurance that we will be able to obtain such approval. As a result, we are subject to periodic inspection by the NYSDOH and are required to demonstrate ongoing compliance with NYSDOH regulations and standards. To the extent NYSDOH identifies any non-compliance and we are unable to implement satisfactory corrective actions to remedy such non-compliance, the State of New York could withdraw approval for our tests.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Atlanta and Raleigh, North Carolina laboratories.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federal and state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may include, among others:</w:t>
      </w:r>
    </w:p>
    <w:p>
      <w:pPr>
        <w:spacing w:after="0" w:line="78" w:lineRule="exact"/>
        <w:rPr>
          <w:sz w:val="20"/>
          <w:szCs w:val="20"/>
          <w:color w:val="auto"/>
        </w:rPr>
      </w:pPr>
    </w:p>
    <w:p>
      <w:pPr>
        <w:jc w:val="both"/>
        <w:ind w:left="1000" w:hanging="549"/>
        <w:spacing w:after="0" w:line="24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 lease, order, arrange for or recommend purchasing, leasing or ordering, any good, facility, item or service that is reimbursable, in whole or in part, under a federal healthcare program. The term ‘‘remuneration’’ has been broadly interpreted to include anything of value, such as phlebotomy kits.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referrals, purchases or recommendations of covered items or services may be subject to scrutiny if they do not qualify for an exception or safe harbor. Failure to meet all of the requirements of a particular applicable statutory exception or regulatory safe harbor does not make the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40"/>
          </w:cols>
          <w:pgMar w:left="320" w:top="448"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left="1020"/>
        <w:spacing w:after="0" w:line="248" w:lineRule="auto"/>
        <w:rPr>
          <w:sz w:val="20"/>
          <w:szCs w:val="20"/>
          <w:color w:val="auto"/>
        </w:rPr>
      </w:pPr>
      <w:r>
        <w:rPr>
          <w:rFonts w:ascii="Times New Roman" w:cs="Times New Roman" w:eastAsia="Times New Roman" w:hAnsi="Times New Roman"/>
          <w:sz w:val="18"/>
          <w:szCs w:val="18"/>
          <w:color w:val="auto"/>
        </w:rPr>
        <w:t xml:space="preserve">conduct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 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w:t>
      </w:r>
    </w:p>
    <w:p>
      <w:pPr>
        <w:spacing w:after="0" w:line="97" w:lineRule="exact"/>
        <w:rPr>
          <w:sz w:val="20"/>
          <w:szCs w:val="20"/>
          <w:color w:val="auto"/>
        </w:rPr>
      </w:pPr>
    </w:p>
    <w:p>
      <w:pPr>
        <w:jc w:val="both"/>
        <w:ind w:left="1000" w:hanging="549"/>
        <w:spacing w:after="0" w:line="24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10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w:t>
      </w:r>
    </w:p>
    <w:p>
      <w:pPr>
        <w:spacing w:after="0" w:line="104"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of value to physicians (defined to include doctors, dentists, optometrists, podiatrists and chiropractors), other healthcare professionals (such as physician assistants and nurse practitioners), and teaching hospitals; and (ii) ownership and investment interests in such manufacturers held by physicians and their immediate family members. Failure to submit required information may result in significant civil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40"/>
          </w:cols>
          <w:pgMar w:left="320" w:top="448"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20"/>
        <w:spacing w:after="0" w:line="267" w:lineRule="auto"/>
        <w:rPr>
          <w:sz w:val="20"/>
          <w:szCs w:val="20"/>
          <w:color w:val="auto"/>
        </w:rPr>
      </w:pPr>
      <w:r>
        <w:rPr>
          <w:rFonts w:ascii="Times New Roman" w:cs="Times New Roman" w:eastAsia="Times New Roman" w:hAnsi="Times New Roman"/>
          <w:sz w:val="18"/>
          <w:szCs w:val="18"/>
          <w:color w:val="auto"/>
        </w:rPr>
        <w:t>monetary penalties for any payments, transfers of value or ownership or investment interests that are not timely, accurately, and completely reported in an annual submission, and may result in liability under other federal laws or regulations;</w:t>
      </w:r>
    </w:p>
    <w:p>
      <w:pPr>
        <w:spacing w:after="0" w:line="78" w:lineRule="exact"/>
        <w:rPr>
          <w:sz w:val="20"/>
          <w:szCs w:val="20"/>
          <w:color w:val="auto"/>
        </w:rPr>
      </w:pPr>
    </w:p>
    <w:p>
      <w:pPr>
        <w:jc w:val="both"/>
        <w:ind w:left="1000" w:hanging="549"/>
        <w:spacing w:after="0" w:line="245"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w:t>
      </w:r>
    </w:p>
    <w:p>
      <w:pPr>
        <w:spacing w:after="0" w:line="104"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and their covered subcontractors;</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state anti-kickback, self-referrals, false claims and anti-markup laws, any of which may extend to services reimbursable by any payer, including private insurers;</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302" w:lineRule="auto"/>
        <w:tabs>
          <w:tab w:leader="none" w:pos="10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payers; or employing, exercising control over or splitting fees with licensed medical professionals; and</w:t>
      </w:r>
    </w:p>
    <w:p>
      <w:pPr>
        <w:spacing w:after="0" w:line="53"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in the countries in which we operate or may operate in the future.</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As a clinical laboratory, our business practices may face additional scrutiny from various government agencies such as the Department of Justice, the U.S. Department of Health and Human Services Office of</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40"/>
          </w:cols>
          <w:pgMar w:left="320" w:top="448"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Inspector General, or OIG, and CMS. Certain arrangements between clinical laboratories and referring 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a small number of whom may receive stock or stock options as compensation for services provided, do not comply with current or future corporate practice of medicine statutes, regulations, agency guidance or case law.</w:t>
      </w:r>
    </w:p>
    <w:p>
      <w:pPr>
        <w:spacing w:after="0" w:line="19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w:t>
      </w:r>
    </w:p>
    <w:p>
      <w:pPr>
        <w:spacing w:after="0" w:line="19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received requests for medical records and billing information from certain Unified Program Integrity Contractors, or UPICs, regarding clinical diagnostic services provided by Tempus to patients enrolled in the Medicare and Medicaid programs. Federal and state governments continue to pursue enforcement policies resulting in a significant number of investigations, inspections, audits, citations of regulatory deficiencies, and other regulatory sanctions including demands for refund of overpayments, terminations from the Medicare and Medicaid programs, bans on Medicare and Medicaid payments for new admissions, and civil monetary penalties or criminal penalties. These policies may impact our business. For example, 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any additional inquiry since that time. Similarly, on March 4, 2024, we received a Civil Investigative Demand, or CID, from the U.S.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40"/>
          </w:cols>
          <w:pgMar w:left="320" w:top="448"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Attorney’s Office for the Eastern District of New York. The CID requested documents and other information related to our compliance with the False Claims Act, the Anti-Kickback statute, and in particular 42 C.F.R. § 414.510(b), which is commonly referred to as the Medicare 14-Day Rule. We provided an initial production on April 4, 2024, and expect to continue producing responsive documents on a rolling basis over the next several months. While the Company believes its programs and payments comply with the Anti-Kickback statute, no assurance can be given as to the timing or outcome of the government’s investigation, or that it will not result in a material adverse effect on the Company’s business.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we expect audits under the CMS Recovery Audit Contractor, or RAC, program, the CMS Targeted Probe and Educate, or TPE, program, the UPIC program and other federal and state audits evaluating the medical necessity of services to further intensify the regulatory environment surrounding the healthcare industry as third-party firms engaged by CMS and others conduct extensive reviews of Tempus’ claims data and medical and other records to identify improper payments to healthcare providers under the Medicare and Medicaid programs. If we fail to comply with the extensive laws, regulations and prohibitions applicable to our businesses, we could become ineligible to receive government program reimbursement, suffer civil or criminal penalties, or be required to make significant changes to our operations and refund certain payments we have received. In addition, we could be forced to expend considerable resources responding to investigations, audits or other enforcement actions related to these laws, regulations or prohibitions.</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status as both a healthcare company and a technology company presents unique complexities when attempting to comply with these myriad laws and regulations. For example, certain data services we provide as a technology company may result in compensating other healthcare providers for access to data or the right to commercialize de-identified data. While such services, standing alone, appear routine, the compliance issues become more complex when considering our status as a healthcare provider that performs clinical diagnostic testing on behalf of healthcare providers. We have implemented programs to ensure we comply with all applicable laws and regulations notwithstanding these complexities; however, we cannot guarantee we will be successful in doing so, or that government enforcement agencies will agree that our efforts have been sufficient. Accordingly, we may be subject to enforcement actions that could materially impact our reputation, operations, and results.</w:t>
      </w:r>
    </w:p>
    <w:p>
      <w:pPr>
        <w:spacing w:after="0" w:line="290" w:lineRule="exact"/>
        <w:rPr>
          <w:sz w:val="20"/>
          <w:szCs w:val="20"/>
          <w:color w:val="auto"/>
        </w:rPr>
      </w:pPr>
    </w:p>
    <w:p>
      <w:pPr>
        <w:ind w:left="460" w:right="1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the validity of an informed consent from patients regarding our tests was challenged, we could be forced to stop offering our products or using our resources, and our business, financial condition and results of operations could be negatively affected.</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seek to ensure that all data and biological samples that we receive have been collected from patients, subjects or participants who have provided the necessary informed consent for purposes that extend to our development activities. In many instances, our ability to obtain these consents requires the physician or hospital system ordering the diagnostic system to obtain the consent of the patient and to attest that they have done so on our requisition forms. We also have certain relationships where data and samples, and certain data licensed to us by third parties, are provided to us in a de-identified manner. The collection and analysis of data and samples in many different jurisdictions results in complex legal questions regarding the adequacy of informed consent and the status of genetic material. Therefore, with respect to data and samples received from our customers, we rely on physicians 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40"/>
          </w:cols>
          <w:pgMar w:left="320" w:top="448"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licensure requirements, or legal liability, if it is determined that through our test reports we are practicing medicine without a license.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Many of our test reports delivered to physicians provide information regarding therapies and clinical trials that physicians may use in making treatment decisions for their patients and certain other reports provide 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 us to fines, penalties, or licensure requirements. Any determination that we are practicing medicine without a license may result in significant liability to us, and our business, financial condition and results of operations would be harmed.</w:t>
      </w:r>
    </w:p>
    <w:p>
      <w:pPr>
        <w:spacing w:after="0" w:line="287" w:lineRule="exact"/>
        <w:rPr>
          <w:sz w:val="20"/>
          <w:szCs w:val="20"/>
          <w:color w:val="auto"/>
        </w:rPr>
      </w:pPr>
    </w:p>
    <w:p>
      <w:pPr>
        <w:ind w:left="460" w:right="3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w:t>
      </w:r>
    </w:p>
    <w:p>
      <w:pPr>
        <w:spacing w:after="0" w:line="89" w:lineRule="exact"/>
        <w:rPr>
          <w:sz w:val="20"/>
          <w:szCs w:val="20"/>
          <w:color w:val="auto"/>
        </w:rPr>
      </w:pPr>
    </w:p>
    <w:p>
      <w:pPr>
        <w:ind w:left="1000" w:hanging="549"/>
        <w:spacing w:after="0" w:line="267"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prices for our test, the reimbursement rates of payers, the amounts we charge healthcare institutions directly, and the cost to patients who pay for our tests out-of-pocket;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pre-authorization and other billing requirements among payers;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 appeals process.</w:t>
      </w:r>
    </w:p>
    <w:p>
      <w:pPr>
        <w:spacing w:after="0" w:line="213"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w:t>
      </w:r>
    </w:p>
    <w:p>
      <w:pPr>
        <w:spacing w:after="0" w:line="14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the coding procedure used by third-party payers to identify various procedures, including our tests, during the billing process is complex, does not adapt well to our tests and may not enable coverage and adequate reimbursement rates. Third-party payers usually require us to identify the test for which we are seeking reimbursement using a CPT code. CPT coding plays a significant role in how our diagnostic tests are reimbursed both from commercial and governmental payers. For example, historically, no CPT code comprehensively describes our NGS oncology tests. In the past, we submitted claims using individual codes or combinations of codes based on the cancer subtype profiled. Over time, in response to guidance from payers and our local MAC, we transitioned from using individual gene codes, or combinations of individual gene codes, to using “panel” CPT codes. With the introduction of new codes that are potentially applicable to comprehensive genomic profiling tests like the ones we offer, we are in the process of updating our approach again. Despite our diligence in developing a comprehensive billing strategy that accurately describes the tests we provide, payers, such as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40"/>
          </w:cols>
          <w:pgMar w:left="320" w:top="448"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Local MACs,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w:t>
      </w:r>
    </w:p>
    <w:p>
      <w:pPr>
        <w:spacing w:after="0" w:line="18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Use of coding for billing our products that does not describe a specific test, requires the claim to be examined to determine what test was provided, whether the test was appropriate and medically necessary, and whether payment should be rendered, which may require a letter of medical necessity from the ordering physician. This process has in the past and may in the future result in a delay in processing the claim, a lower reimbursement amount or denial of the claim. For example, we continue to appeal the denials of certain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w:t>
      </w:r>
    </w:p>
    <w:p>
      <w:pPr>
        <w:spacing w:after="0" w:line="15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Because next generation genomic sequencing is a rapidly evolving area of medicine, and because clinical treatment guidelines continue to develop, any changes to, or interpretations of, applicable billing and coding guidance, rules, policies, and procedures may impact our business. Tempus offers multiple diagnostic tests, which enable ordering healthcare providers to sequence both a cancer patient’s tissue and blood. Healthcare providers may order multiple tests, either concurrently or longitudinally, even when those distinct tests cover similar genes. Similarly, when a treating healthcare provider orders our tissue-based test, we can provide, and historically have provided when available, distinct test results for DNA and RNA. Effective January 1, 2023, we began billing these tests under separate codes based on American Medical Association guidance and the National Correct Coding Initiative Manual Provider instructions. As of December 31, 2023, approximately 50% of the liquid biopsy tests we provide are ordered in proximity to a solid tissue-based test, and over 85% of our solid tissue-based tests include both RNA and DNA results. In each case, while the ordering physician attests to each distinct test’s medical necessity, there is no guarantee that our retrospective or prospective billing practices will not be challenged or reversed, such as by a demand for repayment, recoupment, or prospective billing policies. Any such attempts could adversely affect our results and operations.</w:t>
      </w:r>
    </w:p>
    <w:p>
      <w:pPr>
        <w:spacing w:after="0" w:line="290"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laws, regulations and policies could increase our costs, decrease our sales and revenue and negatively impact reimbursement for our tests.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 Our business, financial condition and results of operations have been and will continue to be affected by the ACA, including in ways we cannot currently predict.</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Further, on August 16, 2022, President Biden signed the Inflation Reduction Act of 2022, or IRA, into law, which among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40"/>
          </w:cols>
          <w:pgMar w:left="320" w:top="448"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other things extends enhanced subsidies for individuals purchasing health insurance coverage in the ACA marketplaces through plan year 2025. The IRA also eliminates the “donut hole” under the Medicare Part D program beginning in 2025 by significantly lowering the beneficiary maximum out-of-pocket cost and establishing a new manufacturer discount program. It is unclear how any additional healthcare reform measures of the Biden administration will impact the ACA and our business.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anticipate there will continue to be proposals by legislators at both the federal and state levels, regulators and commercial and government payers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handling of hazardous materials and other regulations governing environmental safety.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FCPA and other anti-bribery laws.</w:t>
      </w:r>
    </w:p>
    <w:p>
      <w:pPr>
        <w:spacing w:after="0" w:line="11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 material adverse effect on our business, financial condition and results of operations. We could also suffer severe penalties, including criminal and civil penalties, disgorgement and other remedial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6" w:lineRule="exact"/>
        <w:rPr>
          <w:sz w:val="20"/>
          <w:szCs w:val="20"/>
          <w:color w:val="auto"/>
        </w:rPr>
      </w:pPr>
    </w:p>
    <w:p>
      <w:pPr>
        <w:ind w:left="460" w:right="3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Platform, products and other proprietary technologies,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40"/>
          </w:cols>
          <w:pgMar w:left="320" w:top="448"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 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w:t>
      </w:r>
    </w:p>
    <w:p>
      <w:pPr>
        <w:spacing w:after="0" w:line="189"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 patents, is costly, time-consuming and complex, 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 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w:t>
      </w:r>
    </w:p>
    <w:p>
      <w:pPr>
        <w:spacing w:after="0" w:line="37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40"/>
          </w:cols>
          <w:pgMar w:left="320" w:top="448"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 possible that certain aspects of genetic or algorithmic diagnostics tests would be found not patentable. Accordingly, the evolving legal and administrative standards around the world, including in the United States 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w:t>
      </w:r>
    </w:p>
    <w:p>
      <w:pPr>
        <w:spacing w:after="0" w:line="200" w:lineRule="exact"/>
        <w:rPr>
          <w:sz w:val="20"/>
          <w:szCs w:val="20"/>
          <w:color w:val="auto"/>
        </w:rPr>
      </w:pPr>
    </w:p>
    <w:p>
      <w:pPr>
        <w:spacing w:after="0" w:line="279"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Platform and products.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40"/>
          </w:cols>
          <w:pgMar w:left="320" w:top="448"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 xml:space="preserve">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biotechnology and software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Platform or products could be found invalid or unenforceable if challenged.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 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and other similar proceedings in foreign jurisdictions. Any successful third-party challenge to our patent rights in this or any other proceeding could result in the narrowing, unenforceability or invalidity, in whole or in part, of such patent rights, which may lead to increased competition to our business, which could harm our business, financial condition and results of operations. In addition, if the breadth or strength of protection provided by our patents and patent applications is threatened, regardless of the outcome, it could dissuade companies from collaborating with us to license, develop or commercialize our current or future products.</w:t>
      </w:r>
    </w:p>
    <w:p>
      <w:pPr>
        <w:spacing w:after="0" w:line="189"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40"/>
          </w:cols>
          <w:pgMar w:left="320" w:top="448"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Platform and products. The outcome of patent litigation or patent office proceedings following assertions of invalidity and unenforceability is unpredictable. With respect to the validity question, for 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w:t>
      </w:r>
    </w:p>
    <w:p>
      <w:pPr>
        <w:spacing w:after="0" w:line="19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intellectual property landscape in the next generation sequencing, generative AI, and other fields in which we operate continues to evolve in ways that may impact our business. For example, we are aware of patent litigation involving certain disciplines in which we operate, such as liquid biopsy sequencing methods and minimal residual disease testing methods. Many of our competitors are or have been party to these suits, including Guardant Health, Inc., or Guardant, Haystack Oncology, Inc., Invitae Corp., Illumina, Inc., Natera, Inc., NeoGenomics Laboratories, Inc., Personalis, Inc., TwinStrand Biosciences, Inc., and others, and, as a result, we have monitored and continue to monitor their developments and their potential impact on the Company. In addition, on June 11, 2024, Guardant filed a complaint for patent infringement against us alleging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We intend to vigorously defend ourselves in this matter, however, there can be no assurance that our defense will be successful. Given the uncertainty of outcomes of patent litigation disputes, we have not determined whether our products and services could be subject to potential additional claims of patent infringement based on the patents at issue in these or other cases, whether we may need to modify or change any existing or planned sequencing procedures, or whether any of the patents at issue are valid or enforceable against us. However, it is possible that we will be subject to additional claims of patent infringement and that we may need to either modify our existing or future sequencing methods or license intellectual property from third parties, both of which could be time consuming and expensive.</w:t>
      </w:r>
    </w:p>
    <w:p>
      <w:pPr>
        <w:spacing w:after="0" w:line="19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From time to time the Company may receive notifications from third parties purportedly asserting certain intellectual property rights with respect to the Company’s products and services. For example, on September 21,</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40"/>
          </w:cols>
          <w:pgMar w:left="320" w:top="448"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2023, SEngine Precision Medicine LLC (including its predecessor corporation SEngine Precision Medicine, Inc.), or SEngine, a company we acquired on October 3, 2023, received a letter from an attorney representing HUB Organoids IP B.V., or HUB Organoids, which states that SEngine’s PARIS® test methodologies “appear to share similarities with methods that the HUB has used in its own organoid work.” Similarly, on January 30, 2024, we received a letter from an attorney representing Molecular Loop Biosciences, Inc., which states that “[a]fter reviewing specific products made, used or sold by Tempus, Molecular Loop believes that Tempus requires a license to several of the patents in Molecular Loop’s patent portfolio.” While the letter received on behalf of HUB Organoids contains no specific allegations that SEngine infringes certain patents controlled by HUB Organoids referenced in the letter, and while the letter received on behalf of Molecular Loop contains only generalized allegations that Tempus may infringe certain patents controlled by Molecular Loop referenced in the letter, if any claims against us were made by these parties, including any claim that any portion of our products and services infringes any of the referenced patents, we would defend against such claims, however, there can be no assurances that any such defense would be successful. Moreover, if we are subject to claims of patent infringement, we may need to modify existing methods governing use of our products and services, or license third party intellectual property, at some point in the future, which may be time consuming and expensive or may not be technically feasible.</w:t>
      </w:r>
    </w:p>
    <w:p>
      <w:pPr>
        <w:spacing w:after="0" w:line="297"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to provide certain products, and if we lose these licenses or if our rights under these licenses are limited, then our business will be adversely impacted.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and we may acquire companies that are, party to various license agreements that grant us rights to use certain intellectual property, including de-identified patient data, AI software, and certain patents and patent applications, typically in certain specified fields of use. Such license agreements impose, and future agreements may impose, various obligations, such as diligence, development, payment, royalty, sublicensing and other obligations on us in order to maintain the licenses.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If these licenses are terminated, or if the underlying intellectual property rights fail to provide the intended rights and protections, our ability to develop and commercialize products and technology covered by these license agreements would be limited or lost, and our competitors or other third parties might have the freedom to develop, produce, seek regulatory approval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disputes could arise with respect to any aspect of our license agreements, including:</w:t>
      </w:r>
    </w:p>
    <w:p>
      <w:pPr>
        <w:spacing w:after="0" w:line="121" w:lineRule="exact"/>
        <w:rPr>
          <w:sz w:val="20"/>
          <w:szCs w:val="20"/>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Platform, products, and processes infringe, misappropriate, or otherwise violate the intellectual property of the licensor that is not subject to the licensing agreement;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patent and other rights controlled by our licensors or developed under our collaborative development relationships to others;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licensed to us or resulting from the joint creation or use of intellectual property by our licensors, us and/or our partners;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40"/>
          </w:cols>
          <w:pgMar w:left="320" w:top="448"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enforceability or priority of licensed patent rights.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we do not prevail in such disputes, we may lose any of such license agreements, the license agreements may not be meaningful for our business and operations, and we may be subject to unnecessary or additional payment obligations.</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 Moreover, if disputes over licensed intellectual property impair our ability to enforce licensed intellectual property against third parties or use it to defend ourselves in litigation, the value of such licensed intellectual property may be diminished.</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 subject to litigation by the licensor. Litigation could result in substantial costs and be a distraction to management. If we do not prevail, we may be required to pay damages, including treble damages, attorneys’ fees, costs and expenses, royalties or, be enjoined from selling our products and services, including our tests, which could adversely affect our ability to offer products and our business, financial condition and results of operations.</w:t>
      </w:r>
    </w:p>
    <w:p>
      <w:pPr>
        <w:spacing w:after="0" w:line="200" w:lineRule="exact"/>
        <w:rPr>
          <w:sz w:val="20"/>
          <w:szCs w:val="20"/>
          <w:color w:val="auto"/>
        </w:rPr>
      </w:pPr>
    </w:p>
    <w:p>
      <w:pPr>
        <w:spacing w:after="0" w:line="279"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intellectual property on reasonable terms, we may not be able to successfully commercialize our products. Our licensed or acquired technology may lose value or utility over time.</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320" w:top="448"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 terms or at all, if any necessary licenses are subsequently terminated, if the licensors fail to abide by the terms of the licenses or fail to prevent infringement, misappropriation, or other violations by third parties, or if the 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 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enforce our intellectual property rights adequately throughout the world.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 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 the United States may not be effective or sufficient to prevent them from competing. Similarly, intellectual property rights may be exhausted in certain situations, and others could import our products sold abroad and compete with us domestically.</w:t>
      </w:r>
    </w:p>
    <w:p>
      <w:pPr>
        <w:spacing w:after="0" w:line="19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 protection, particularly those relating to biotechnology products, which could make it difficult for us to stop the 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40"/>
          </w:cols>
          <w:pgMar w:left="320" w:top="448"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materially diminish the value of such patent. If we or any of our licensors is forced to grant a license to third parties with respect to any patents relevant to our business, our business, financial condition and results of operations could be materially and adversely affected.</w:t>
      </w:r>
    </w:p>
    <w:p>
      <w:pPr>
        <w:spacing w:after="0" w:line="27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Platform and other technology could be materially adversely affected and our business could be harmed.</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w:t>
      </w:r>
    </w:p>
    <w:p>
      <w:pPr>
        <w:spacing w:after="0" w:line="37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trade secrets can be difficult to protect and some courts inside and outside the United States are less willing or unwilling to protect trade secrets.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288"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 subject to claims that our employees, consultants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40"/>
          </w:cols>
          <w:pgMar w:left="320" w:top="448"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we could infringe or otherwise violate others’ trademarks and if our trademarks are not adequately protected, then we may not be able to build name recognition in our markets of interest.</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290"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owned or licensed intellectual property or claims asserting ownership of what we regard as our own intellectual property.</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 In addition, former employees may refuse to assign certain intellectual property rights to us, even though we have agreements requiring them to do so. Our ability to enforce our contractual rights may require us to seek legal action, which could be costly and time-intensive.</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or right to our owned or licensed patents, trade secrets or other intellectual property. For example, we or our licensors may have inventorship disputes arise from conflicting obligations of employees, consultants or others who are involved in 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 from successfully commercializing our products or at all. In addition, we may lose personnel as a result of such</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40"/>
          </w:cols>
          <w:pgMar w:left="320" w:top="448"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claims and any such litigation or the threat thereof may adversely affect our ability to hire employees or contract 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w:t>
      </w:r>
    </w:p>
    <w:p>
      <w:pPr>
        <w:spacing w:after="0" w:line="285" w:lineRule="exact"/>
        <w:rPr>
          <w:sz w:val="20"/>
          <w:szCs w:val="20"/>
          <w:color w:val="auto"/>
        </w:rPr>
      </w:pPr>
    </w:p>
    <w:p>
      <w:pPr>
        <w:ind w:left="460" w:right="1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72"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We are and may become involved with litigation or USPTO actions with various third parties. For example, on June 11, 2024, Guardant filed a complaint for patent infringement against us alleging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We expect that the number of such types of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face and expect to continue to face allegations of patent infringement, and we may face claims regarding such allegations,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w:t>
      </w:r>
    </w:p>
    <w:p>
      <w:pPr>
        <w:spacing w:after="0" w:line="3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 Further, we could encounter delays in product introductions, or interruptions in the sale of products, as we develop alternative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we move into new markets and applications for our Platform or products, incumbent participants in such markets may assert their patents and other intellectual property or proprietary rights against us as a means of 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40"/>
          </w:cols>
          <w:pgMar w:left="320" w:top="448"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 patent holding companies or other patent owners who have no relevant product or service revenue. Therefore, our commercial success may depend in part on our non-infringement of the patents or other rights of third parties and on our success in defending ourselves in litigation.</w:t>
      </w:r>
    </w:p>
    <w:p>
      <w:pPr>
        <w:spacing w:after="0" w:line="184"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w:t>
      </w:r>
    </w:p>
    <w:p>
      <w:pPr>
        <w:spacing w:after="0" w:line="37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Even if we believe such claims are without merit, a court of competent jurisdiction could hold that these third-party patents are valid, enforceable and infringed, which could adversely affect our ability to commercialize our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If any third-party patent were to be asserted against us, there can be no assurance that any defenses will be successful. If our defenses to such assertion were unsuccessful, the third-party making claims against us may be 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40"/>
          </w:cols>
          <w:pgMar w:left="320" w:top="448"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royalties, and obtain one or more licenses from third parties, or be prohibited from selling certain products. Further, we may be required to redesign our technology in a non-infringing manner which may not be 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 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and trademarks and trademark applications will be due to be paid to the USPTO and various governmental patent agencies outside of the United States at several stages over the lifetime of the patents and/or applications and trademarks and trademark applications. We have systems in place to remind us to pay these fees, and we rely on our 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thus the partial or complete loss of patent or trademark rights in the relevant jurisdiction. Such an event would allow our competitors to enter the unprotected market and have a material adverse effect on our business, financial condition and results of operations.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for an adequate amount of time.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40"/>
          </w:cols>
          <w:pgMar w:left="320" w:top="448"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Platform or products are obtained, once the patent life has expired, we may be open to competition. Given the amount of time required for the development, testing and regulatory review of our new products, patents protecting them might expire before or shortly after they are commercialized. As a result, our owned and licensed patent portfolio may not provide us with a sufficient exclusivity period to exclude others from commercializing products similar or identical to ours.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8" w:lineRule="exact"/>
        <w:rPr>
          <w:sz w:val="20"/>
          <w:szCs w:val="20"/>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ours, but that are not covered by the claims of the patents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make the inventions covered by the issued patent or pending patent applications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file patent applications covering certain of our or their inventions;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or</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104"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or may require us to publicly disclose our proprietary software.</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40"/>
          </w:cols>
          <w:pgMar w:left="320" w:top="448"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16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to the extent we use open source technologies or licensed third-party technologies in our AI Applications product line, those products may be subject to similar concerns or even unanticipated or unknown risks given the nascency of the industry and the types of products we intend to develop and deploy. For example, developers of open source technologies and third-party licensors may not adhere to the same or similar standards that we adhere to in the development, validation, training and maintenance of AI models. To the extent such third parties’ standards fall below a certain level and go undetected during our diligence and evaluation of such technologies, our business could suffer unintended consequences, including a detrimental impact on the patients we serve or the introduction of malware or other information security vulnerabilities into our network architecture.</w:t>
      </w:r>
    </w:p>
    <w:p>
      <w:pPr>
        <w:spacing w:after="0" w:line="288" w:lineRule="exact"/>
        <w:rPr>
          <w:sz w:val="20"/>
          <w:szCs w:val="20"/>
          <w:color w:val="auto"/>
        </w:rPr>
      </w:pPr>
    </w:p>
    <w:p>
      <w:pPr>
        <w:ind w:left="460" w:right="5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legislative, judicial and regulatory landscapes relating to AI are evolving and may impact our ability to use AI, and could limit our ability to operate and expand our business, cause revenue to decline and adversely affect our business.</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Uncertainty in the legal regulatory regime relating to AI may require significant resources to modify and maintain business practices to comply with U.S. and non-U.S. laws, the nature of which cannot be determined at this time. Several jurisdictions around the globe, including Europe and certain U.S. states, have already proposed or enacted laws governing AI. For example, on May 17, 2024, Colorado became the first state in the United States to pass a law that requires developers of high-risk AI systems to avoid algorithmic discrimination involving certain AI decisions and to extensively document how the high-risk AI system was evaluated for performance and mitigation of algorithmic discrimination. The law also requires documentation of data governance measures used with the training data sets, the intended outputs of the high-risk AI system, how the AI system should and should not be used, and other aspects of the system. The law could require us to significantly alter our use of AI or how we train our algorithms, which could lead to increased costs. The law does not go into effect until February 1, 2026. Further, on March 13, 2024, the European Parliament formally adopted a draft of the AI Act, which is currently expected to be enacted in mid-2024, pending formal endorsement by the Council of the European Union and publication in the Official Journal of the European Union. The current draft of the AI Act, if enacted, would establish, among other things, a risk-based governance framework for regulating AI systems operating in the EU. This framework would categorize AI systems, based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40"/>
          </w:cols>
          <w:pgMar w:left="320" w:top="448"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the risks associated with such AI systems’ intended purposes, for example, prohibiting certain “unacceptable” AI practices, classifying certain AI systems as “high-risk” systems that must meet stringent compliance requirements, introducing specific compliance obligations for certain “general-purpose AI systems” (more commonly known as foundation models) with all other AI systems being considered either limited or low risk. While the AI Act has not yet been enacted or enforced, there is a risk that our use of AI may obligate us to comply with the applicable requirements of the AI Act, which may impose additional costs on us, increase our risk of liability or adversely affect our business.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Other jurisdictions may decide to adopt similar or more restrictive legislation that may render the use of such technologies challenging. We may not be able to adequately anticipate or respond to these evolving laws and regulations, and we may need to expend additional resources to adjust our offerings in certain jurisdictions if applicable legal frameworks are inconsistent across jurisdictions.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health pandemics or epidemics, including the COVID-19 global pandemic.</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including the COVID-19 global pandemic. For example, the COVID-19 global pandemic and the various attempts throughout the world to contain it created significant volatility, uncertainty and disruption.</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healthcare customers divert medical resources and priorities toward the treatment of the virus. To the extent the COVID-19 pandemic causes severe disruption again in the future, vendors of equipment and reagents for our operations could also reduce production or even go out of business, resulting in supply constraints for us. The COVID-19 pandemic resulted in, and could continue to cause, increased costs or delays to production and development of our products.</w:t>
      </w:r>
    </w:p>
    <w:p>
      <w:pPr>
        <w:spacing w:after="0" w:line="187"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COVID-19 pandemic has also led to uncertainties related to our growth, forecast and trends. Our historic results such as revenue, operating margins, cash flows, tests performed, and other financial and operating metrics, may not be indicative of our results for future periods. For example, following a reduced demand for COVID-19 testing, we stopped offering COVID-19 PCR diagnostic tests in the first quarter of 2023. Increases in the number of diagnostic tests performed by us prior to the COVID-19 pandemic may reflect an acceleration of growth that we may not see during or after the COVID-19 pandemic.</w:t>
      </w:r>
    </w:p>
    <w:p>
      <w:pPr>
        <w:spacing w:after="0" w:line="15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While these effects have subsided and continue to subside, the full extent to which the COVID-19 pandemic may continue to impact our performance, financial condition, volume of business, results of operations and cash flows will depend on future developments that are uncertain and cannot be accurately predicted. We cannot assure you that these effects will remain reduced in the future, including due to potential new public health outbreaks. To the extent future public health outbreaks adversely affect our business and financial results, they may also have the effect of heightening many of the other risks described in this “Risk Factors” section.</w:t>
      </w:r>
    </w:p>
    <w:p>
      <w:pPr>
        <w:spacing w:after="0" w:line="288"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7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made acquisitions of businesses, technologies and assets and may pursue additional acquisitions in the future, one or more of which may be substantial. We also may pursue strategic alliances and additional joint ventures that leverage our Platform and industry experience to expand our product offerings or distribution. We have limited experience with acquisitions, joint ventures and forming strategic partnerships. We compete for those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40"/>
          </w:cols>
          <w:pgMar w:left="320" w:top="448"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various functional areas, reorganization or closures of 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w:t>
      </w:r>
    </w:p>
    <w:p>
      <w:pPr>
        <w:spacing w:after="0" w:line="37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evaluate opportunities for transactions of these types from time to time. For example, on May 18, 2024, we entered into the Joint Venture Agreement related to the Joint Venture in Japan. See “Prospectus Summary—Recent Developments—Japan Joint Venture and Related Agreements” for additional information regarding the Joint Venture. We have limited experience forming joint ventures and we may not realize the anticipated benefits of the Joint Venture. We may also realize losses related to our investment in the Joint Venture, which could have a material negative effect on our business, financial condition and results of operations.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To finance any acquisitions, joint ventures or investments, we may choose to issue shares of our common stock as consideration, which would dilute the ownership of our stockholders. As further described in the section entitled “Underwriting,” during the 180-day period following the date of this prospectus, we are permitted to issue up to 15.0% of the total number of shares of our common stock outstanding immediately following this offering in connection with acquisitions, joint ventures, commercial agreements or other similar arrangements. Additional funds may not be available on terms that are favorable to us, or at all. If the price of our common stock is low or volatile, we may not be able to acquire other companies or fund a joint venture project using our stock as consideration.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never achieve or sustain profitability. Generally, losses incurred will carry forward until such losses expire (for losses generated prior to January 1, 2018) or are used to offset future taxable income, if any. Under current law, U.S. federal net operating losses, or NOLs, incurred in taxable years beginning after December 31, 2017, can be carried forward indefinitely to offset future taxable income, but the deductibility of such U.S. federal NOL carryforwards in a taxable year is limited to 80% of taxable income in such year.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carryforwards and other pre-change tax attributes (such as research tax credits) to offset its post-change income or taxes may be limited. We have not completed a study to assess whether one or more ownership change for purposes of Section 382 or 383 have occurred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These changes may adversely affect our future cash flow.</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40"/>
          </w:cols>
          <w:pgMar w:left="320" w:top="448"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288" w:lineRule="exact"/>
        <w:rPr>
          <w:sz w:val="20"/>
          <w:szCs w:val="20"/>
          <w:color w:val="auto"/>
        </w:rPr>
      </w:pPr>
    </w:p>
    <w:p>
      <w:pPr>
        <w:jc w:val="both"/>
        <w:ind w:left="460" w:right="1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w:t>
      </w:r>
    </w:p>
    <w:p>
      <w:pPr>
        <w:spacing w:after="0" w:line="287" w:lineRule="exact"/>
        <w:rPr>
          <w:sz w:val="20"/>
          <w:szCs w:val="20"/>
          <w:color w:val="auto"/>
        </w:rPr>
      </w:pPr>
    </w:p>
    <w:p>
      <w:pPr>
        <w:jc w:val="both"/>
        <w:ind w:left="460" w:right="4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Eric Lefkofksy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an AI-enabled drug development company that has entered into an agreement with us, is the managing partner and co-founder of Lightbank LLC, a private venture capital firm specializing in investments in technology companies that has invested in us, and is a trustee of the Lefkofsky Family Foundation. Mr. Lefkofsky’s participation in and attention to these other endeavors may impact our business. In October 2022, for example, Lightbank and the Lefkofsky Family Foundation experienced a cybersecurity incident in which third party hackers gained access to Lightbank’s internal computer services and were able to exfiltrate data regarding Lightbank’s historical business practices and Mr. Lefkofsky’s personal financial information. While the incident did not involve or impact Tempus’ systems, this security breach or others like it could indirectly impact Tempus.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we depend on the services of our Chief Operating Officer, Ryan Fukushima. Mr. Fukushima is a co-Founder of Pathos AI, Inc. and currently serves as its interim Chief Executive Officer. Under the terms of his employment agreement with Tempus, Mr. Fukushima devotes no less than 50% of his professional activities to Tempus.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40"/>
          </w:cols>
          <w:pgMar w:left="320" w:top="448"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The individual and collective efforts of Mr. Lefkofsky, Mr. Fukushima and our other employees will be important as we continue to develop our Platform and additional products, and as we expand our commercial activities. The loss or incapacity of existing members of our executive management team, or the inability of such individuals to devote sufficient time to our endeavors, could adversely affect our operations if we experience difficulties in hiring qualified successors. While our executive officers have entered into employment agreements with us, they are at-will employees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w:t>
      </w:r>
    </w:p>
    <w:p>
      <w:pPr>
        <w:spacing w:after="0" w:line="16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Atlanta and Raleigh. We also face competition from universities and public and private research institutions in recruiting and retaining highly qualified scientific personnel. In addition, we may have difficulties locating, recruiting or retaining qualified 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 Our employees also are subject to certain post-employment noncompete obligations; however, on April 23, 2024, the FTC voted to finalize a rule banning almost all post-employment noncompetes, subject to narrow exceptions, including existing non-compete agreements with “senior executives” (as defined under the rule). If the FTC ban becomes effective, as expected, and is implemented and these noncompete obligations are therefore deemed to be unenforceable, our competitors may be more successful in recruiting our employees.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Further, certain macroeconomic conditions, which have been referred to as the Great Resignation, may result in higher than normal attrition in the sectors in which we operate, and in our business in particular. Our ability to manage human capital, and attract and retain the resources necessary to operate our business successfully, may suffer as a result.</w:t>
      </w:r>
    </w:p>
    <w:p>
      <w:pPr>
        <w:spacing w:after="0" w:line="176"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If we fail to maintain an effective system of internal control over financial reporting, we may not be able to accurately report our financial results or prevent fraud.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Upon completion of this offering, we will be required to document and test our internal controls over financial reporting pursuant to Section 404 of Sarbanes-Oxley Act of 2002, or Section 404, so that our management can certify as to the effectiveness of our internal controls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Jumpstart our Business Startups Act of 2012, or the JOBS Act. At such time, our independent registered public accounting firm may issue a report that is adverse if a material weakness is identified.</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we identified a material weakness in our internal control over financial reporting as of December 31, 2021, as described below.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did not design or maintain an effective control environment due to an insufficient complement of personnel with the appropriate level of technical accounting and financial reporting knowledge and experience commensurate with our financial reporting requirements.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40"/>
          </w:cols>
          <w:pgMar w:left="320" w:top="448"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determined the material weakness described above has been remediated as of December 31, 2022 as management has completed the design and implementation of controls over technical accounting and financial reporting, including the hiring of a Chief Accounting Officer and other key technical accounting and financial reporting roles to further develop and document our accounting policies and financial reporting procedures, including ongoing senior management review.</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remediating the material weakness described above, we can give no assurance that any additional material weaknesses or restatements of financial results will not arise in the future due to a failure to implement and maintain adequate internal control over financial reporting or circumvention of these controls. If our management is unable to conclude that we have effective internal controls over financial reporting, or to certify the effectiveness of such controls, or if our independent registered public accounting firm cannot render an unqualified opinion on management’s assessment and the effectiveness of our internal control over financial reporting, or if material weaknesses in our internal controls are identified in the future, we could be subject to regulatory scrutiny and a loss of public confidence, which could have a material adverse effect on our business and our stock price.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1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5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47"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from coverage of</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40"/>
          </w:cols>
          <w:pgMar w:left="320" w:top="448"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For example, we have received a demand from a significant stockholder to provide certain of our books and records pursuant to Section 220 of the Delaware Corporation Law, and any future litigation related to this request could materially adversely affect us.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w:t>
      </w:r>
    </w:p>
    <w:p>
      <w:pPr>
        <w:spacing w:after="0" w:line="263"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officers, directors and principal stockholders may pursue corporate opportunities independent of us that could present conflicts with our and our stockholders’ interests.</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 customers of ours. These persons may also pursue acquisitions that may be complementary to our business or enter into lines that we may otherwise be well positioned to enter, and, as a result, those acquisition opportunities may not be available to us. For example our Chief Executive Officer, Founder, and Chairman, Eric Lefkofsky, is a co-founder and serves as Executive Chairman of the board of Pathos AI, Inc., a company engaged in the discovery and development of therapeutics and with whom we have a commercial relationship, as well as Lightbank LLC, a private venture capital firm specializing in investments in technology companies. Our charter provides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 acquires a corporate opportunity for its own account or the account of an affiliate, as applicable, instead of us, directs a corporate opportunity to any other person, instead of us or does not communicate information regarding a corporate opportunity to us.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or professional liability, we could face substantial liabilities that exceed our resources.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40"/>
          </w:cols>
          <w:pgMar w:left="320" w:top="448"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could damage our reputation or cause current clinical customers to terminate existing agreements with us and potential clinical customers to seek other partners, any of which could adversely impact our results of operations.</w:t>
      </w:r>
    </w:p>
    <w:p>
      <w:pPr>
        <w:spacing w:after="0" w:line="271"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for significant elements of our operations, including our laboratory information management system, our computational biology system, our AI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also rely on on-premises, co-located and third-party infrastructure throughout the United States to perform computationally demanding analysis tasks for our algorithmic diagnostic products and our data business, as well as for our research and development program and for other business purposes. Information technology and telecommunications systems are vulnerable to damage from a variety of sources, including telecommunications or network failures, malicious human acts and natural disasters. Moreover, despite network security and back-up measures, some of the servers upon which we rely are potentially vulnerable to physical or electronic break-ins, computer viruses and similar disruptive problems. Despite the precautionary measures we 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 payers, processing reimbursement appeals, handling patient or physician inquiries, conducting research and development activities and managing the administrative aspects of our business.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Google has broad discretion to change and interpret the terms of service and other policies with respect to us, and those actions may be unfavorable to our business operations. Google may also take actions beyond our control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40"/>
          </w:cols>
          <w:pgMar w:left="320" w:top="448"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 with Google Cloud were terminated, or we are forced to transition to a new cloud provider,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 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w:t>
      </w:r>
    </w:p>
    <w:p>
      <w:pPr>
        <w:spacing w:after="0" w:line="290" w:lineRule="exact"/>
        <w:rPr>
          <w:sz w:val="20"/>
          <w:szCs w:val="20"/>
          <w:color w:val="auto"/>
        </w:rPr>
      </w:pPr>
    </w:p>
    <w:p>
      <w:pPr>
        <w:ind w:left="460" w:right="3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p>
    <w:p>
      <w:pPr>
        <w:spacing w:after="0" w:line="72"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Cyber-attacks, security breaches, computer virus infections, malware execution, and other incidents could cause misappropriation, exposure, loss or other unauthorized disclosure of confidential data, personal information, materials or information, including those concerning our customers and employees. Increasingly complex methods have been used in cyber-attacks, including ransomware, phishing, supply chain attacks, structured query language injections and distributed denial-of-service attacks. A cyber-attack can also be in the form of unauthorized access to our network resources (or a blocking of authorized access).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Despite the security controls we have in place, such attacks are difficult to avoid. Although we are not aware of any such breaches or incidents of our or our third-party vendors’ systems or information, we can provide no assurance that we or our vendors will be able to detect, prevent or contain the effects of such attacks or other information security risks, vulnerabilities or threats in the future. The costs of attempting to protect against the foregoing risks and the costs of responding to and remediating systems from a cyber-attack are significant. Large scale data breaches at other entities increase the challenge we and our vendors face in maintaining the security of our information technology systems and of our customers’ sensitive information. Following a cyber-attack, our and/or our vendors’ remediation efforts may not be successful, and a cyber-attack could result in interruptions, delays or cessation of service, and loss of existing or potential customers. In addition, breaches of our and/or our vendors’ security measures and the unauthorized dissemination or availability of sensitive personal information or proprietary information or confidential information about us, our customers or other third parties, could expose our customers’ private information and our customers to the risk of financial or medical identity theft, or expose us or other third parties to a risk of loss or misuse of this information, and result in investigations, regulatory enforcement actions, material fines and penalties, loss of customers, litigation or other actions which could have a material adverse effect on our business, financial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340"/>
          </w:cols>
          <w:pgMar w:left="320" w:top="448"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condition and results of operations. In addition, if we fail to adhere to our privacy policy and other published statements about our privacy or cybersecurity practices, or applicable laws concerning our processing, use, transmission and disclosure of protected information, or if our statements or practices are found to be deceptive or misrepresentative, we could face regulatory actions, fines and other liability. See “Risk Factors—Risks Related to Our Highly Regulated Industry.”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187"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In the ordinary course of our business, we collect and store sensitive data, including PHI, personally identifiable information, credit card and other financial information, intellectual property and proprietary business information owned or controlled by us or other parties such as customers and payers. We manage and maintain our applications and data utilizing a combination of on-site systems and cloud-based data centers. We utilize external security and infrastructure vendors to manage parts of our data centers. We also communicate sensitive data, including patient data, through phone, Internet, facsimile, multiple third-party vendors and their subcontractors or integrations with third-party electronic medical records. These applications and data encompass a wide variety of information critical to our business, including research and development information, patient data, commercial information and business and financial information. We face a number of risks related to protecting this critical information, including loss of access, intentional or accidental inappropriate use or disclosure, unauthorized access, inappropriate modification and the risk of our being unable to adequately monitor, audit or modify our controls over such critical information. This risk extends to the third-party vendors and subcontractors we use to manage this sensitive data or otherwise process it on our behalf.</w:t>
      </w:r>
    </w:p>
    <w:p>
      <w:pPr>
        <w:spacing w:after="0" w:line="16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secure processing, storage, maintenance and transmission of this critical information are vital to our operations and business strategy, and we devote significant resources to a variety of mechanisms, including administrative, physical and technical measures, intended to protect such information. Although we take measures designed to protect sensitive data from unauthorized access, use, modification or disclosure, no security measures can be perfect or protect against all threats or vulnerabilities and our information technology infrastructure could be vulnerable to hackers, phishing scams, malware, viruses, security flaws, errors by employees or others who have authorized access to our network, and other malfeasance or inadvertent disruptions. Any breach or interruption of our security measures or information technology infrastructure could compromise our networks, and the information stored there could be accessed by unauthorized parties, publicly disclosed, lost or stolen. Any such access, breach, or other loss of information could result in legal claims or proceedings, and liability under federal, state or foreign laws that protect the privacy of personal information, such as HIPAA or HITECH, and regulatory penalties.</w:t>
      </w:r>
    </w:p>
    <w:p>
      <w:pPr>
        <w:spacing w:after="0" w:line="16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Notice of HIPAA breaches must be made to affected individuals, the Secretary of the Department of Health and Human Services or other state, federal or foreign regulators, including State Attorneys General, and for extensive breaches, notice may need to be made to the media. Such a notice could harm our reputation and our ability to compete. Although we have implemented security measures and an enterprise security program to prevent unauthorized access to patient data, such data is currently accessible through multiple channels, and there is no guarantee we can protect all data from breach or exposure. Unauthorized access, loss or dissemination could disrupt our operations (including our ability to perform our analysis, provide test results, bill payers or patients, process claims and appeals, provide customer assistance, conduct research and development, develop intellectual property, collect, process and prepare financial information, provide information about our tests and continue other patient and physician education and outreach efforts, and manage our business) and damage our reputation, any of which could adversely affect our business, financial condition and results of operations. For example, the loss of clinical trial data from completed or future clinical trials could result in delays in or cancellation of our regulatory approval efforts and significantly increase our costs to recover or reproduce the lost data. We may also rely on third parties for their products or services on which we depend, and similar events relating to their computer systems could also have a material adverse effect on our business, financial condition and results of operations. To the extent that any disruption or security incident were to result in any loss, destruction, or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40"/>
          </w:cols>
          <w:pgMar w:left="320" w:top="448"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alteration of, or damage or unauthorized access to, our data or other information that is processed or maintained on our behalf, or inappropriate disclosure of or dissemination of any such information, the further development and commercialization of our product candidates could be delayed. We continue to prioritize security and the development of practices and controls to protect our systems. As cyber threats evolve, we may be required to expend significant additional resources to continue to modify or enhance our protective measures or to investigate and remediate any information security vulnerabilities, and these efforts may not be successful.</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It could be difficult to predict the ultimate resolution of any such incidents or to estimate the amounts or ranges of potential loss, if any, that could result therefrom. If we cannot successfully resolve a security incident or contain any potential loss, it could materially impact our business, financial condition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06"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Class B common stock has 30 votes per share and our Class A common stock, which is the stock we are offering hereby, has one vote per share. Our Chief Executive Officer, Founder, and Chairman, Eric Lefkofsky, who, collectively with his controlled entities, holds all our outstanding shares of Class B common stock, will beneficially own shares representing approximately 64.3% of the voting power of our outstanding capital stock following the completion of this offering. As a result, Mr. Lefkofsky will have the ability to control the outcome of matters requiring stockholder approval, including the election of directors and approval of significant corporate transactions, such as a merger, other sale of our company or our assets or significant acquisitions, even if his stock ownership represents less than 50% of the outstanding aggregate number of shares of our capital stock. This concentration of voting control will limit the ability of other stockholders to influence corporate matters and may cause us to make strategic decisions that could involve risks to you or that may not be aligned with your interests. In addition, Mr. Lefkofsky will serve as an observer on our nominating and corporate governance committee, and accordingly, may have substantial influence over the individuals nominated to serve as directors.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w:t>
      </w:r>
    </w:p>
    <w:p>
      <w:pPr>
        <w:spacing w:after="0" w:line="296"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not elected to take advantage of the “controlled company” exemption to the corporate governance rules for publicly listed companies but may do so in the future.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Chief Executive Officer, Founder, and Chairman, Eric Lefkofsky, who, collectively with his controlled entities, holds all our outstanding shares of Class B common stock, will beneficially own shares representing in excess of 50% of the voting power of our outstanding capital stock following the completion of this offering, we are eligible to elect the “controlled company” exemption to the 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340"/>
          </w:cols>
          <w:pgMar w:left="320" w:top="448"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Chief Executive Officer, Founder and Chairman, who beneficially owns all of the outstanding shares of our Class B common stock, will result in a lower or 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87"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88"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anticipate incurring substantial federal and state tax withholding and remittance obligations in connection with the settlement of RSUs that vest in connection with this offering. The manner in which we fund these tax liabilities may have an adverse effect on our financial condition.</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anticipate that we will incur substantial federal and state tax obligations in light of the large number of RSUs that will vest in connection with this offering, a portion of which will settle at the time of this offering and the remainder of which will settle during the 180-day period following the date of this prospectus (or, subject to certain conditions described in the section titled “Underwriting”, a shorter period), or the restricted period, as further described in the section titled “Prospectus Summary—RSU Settlement.” The RSUs granted prior to the date of this prospectus vest upon the satisfaction of service-based and performance-based vesting conditions. We anticipate that we will use approximately $70.8 million of the net proceeds from this offering to satisfy federal and state tax withholding and remittance obligations in connection with the net settlement of a portion of the RSUs outstanding as of March 31, 2024 for which the service-based vesting condition will be satisfied before June 14, 2024 and for which the performance-based vesting condition will be satisfied in connection with this offering. In connection with the settlement of these RSUs, we plan to withhold certain shares underlying RSUs and remit federal and state taxes on behalf of the holders of such RSUs at applicable statutory tax withholding rates based on the initial public offering price per share in this offering. See “Use of Proceeds.” For vested RSUs that will not be settled in connection with this offering, we will satisfy related federal and state tax withholding and remittance obligations by requiring such RSU holders to sell a portion of such shares into the market during the restricted period utilizing sell-to-cover, through brokers on the applicable settlement date, with the proceeds of such sales to be delivered to us for remittance to the relevant taxing authorities. See “Shares Eligible for Future Sale.” We expect each settlement and sell-to-cover transaction to extend over a multi-day period based on trading volumes. Because the purpose of sell-to-cover transactions is to generate proceeds sufficient to satisfy federal and state tax withholding obligations, the exact number of shares sold will depend on the sale prices of the Class A common stock in such transactions and our stockholders’ personal tax rates. However, with respect to employees that are not executive officers, if sell-to-cover proceeds are not available at the time taxes must be remitted to state and federal tax authorities, we would need to remit taxes to the relevant tax authorities using</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340"/>
          </w:cols>
          <w:pgMar w:left="320" w:top="448"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cash on hand, which may include cash proceeds generated from this offering, pending the receipt of such sell-to-cover proceeds. If we are required to remit tax obligations on behalf of our employees without having first received proceeds from their sell-to-cover transactions, we could have significant cash outlays that could have an adverse effect on our financial condition. In addition, shares sold by our Chief Executive Officer and other employees in sell-to-cover transactions may have an adverse effect on the market price of our Class A common stock.</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will have broad discretion in the application of the net proceeds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We may use a portion of the net proceeds to acquire complementary businesses, products, services, or technologies, or to pay down existing or future debt obligations. At this time, we do not have agreements or commitments to enter into any material acquisitions. If we do not use the net proceeds that we receive in this offering effectively, our business, financial condition and results of operations could be harmed and the market price of our Class A common stock could decline.</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this offering,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or Rule 144, and shares subject to lock-up and market standoff agreements described below.</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all of our directors, executive officers, and the holders of substantially all of our common stock and securities exercisable for or convertible into our common stock outstanding immediately prior to the closing of this offering (except for the RSUs previously issued to our employees other than our executive officers, including the RSUs that will settle in connection with the RSU Net Settlement or the Additional RSU Settlement, and the warrants issued to Allen and AstraZeneca), have agreed with the underwriters that, during the restricted period, we and they will not, without the prior written consent of Morgan Stanley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In addition, the restricted period may be shortened with respect to a portion of the locked-up securities under certain circumstances and the lock-up agreements are subject to a number of important exceptions. These agreements and such exceptions are described in the section titled “Underwriting.” Morgan Stanley &amp; Co. LLC</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340"/>
          </w:cols>
          <w:pgMar w:left="320" w:top="448"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and J.P. Morgan Securities LLC may release any of the securities subject to these lock-up agreements at any time, subject to applicable notice requirements. In addition to the restrictions contained in the lock-up agreements, we have entered into market standoff agreements with substantially all of our RSU holders, including holders of the RSUs that will settle in connection with the RSU Net Settlement and the Additional RSU Settlement, imposing restrictions on the ability of such security holders to offer, sell, contract to sell, pledge, hypothecate, grant any option to purchase or make any short sale of, or otherwise dispose of any shares of our common stock or any rights to acquire our common stock during the restricted period, subject to earlier release at any time by us. If not earlier released, all of the shares of Class A common stock not sold in this offering will become eligible for sale upon the expiration of the restricted period, except for any shares held by our affiliates as defined in Rule 144.</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certain exceptions in the lock-up agreements and because of our ability to release RSU holders early under the market standoff agreements, certain shares of our Class A common stock may be sold in the open market by our employees, including our Chief Executive Officer, during the restricted period described above in sell-to-cover transactions in order to satisfy tax withholding obligations in connection with the settlement of RSUs for shares of our Class A common stock as follows:</w:t>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Date First Available for Sale into the Market</w:t>
      </w:r>
    </w:p>
    <w:p>
      <w:pPr>
        <w:spacing w:after="0" w:line="2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91 days after the date of this prospectus (or the next trading day if such date is not a trading day)</w:t>
      </w:r>
    </w:p>
    <w:p>
      <w:pPr>
        <w:spacing w:after="0" w:line="247" w:lineRule="auto"/>
        <w:rPr>
          <w:sz w:val="20"/>
          <w:szCs w:val="20"/>
          <w:color w:val="auto"/>
        </w:rPr>
      </w:pPr>
      <w:r>
        <w:rPr>
          <w:rFonts w:ascii="Times New Roman" w:cs="Times New Roman" w:eastAsia="Times New Roman" w:hAnsi="Times New Roman"/>
          <w:sz w:val="18"/>
          <w:szCs w:val="18"/>
          <w:color w:val="auto"/>
        </w:rPr>
        <w:t>120 days after the date of this prospectus (or the next trading day if such date is not a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918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Approximate Number</w:t>
            </w:r>
          </w:p>
        </w:tc>
      </w:tr>
      <w:tr>
        <w:trPr>
          <w:trHeight w:val="210"/>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 Shares of Class A</w:t>
            </w:r>
          </w:p>
        </w:tc>
      </w:tr>
      <w:tr>
        <w:trPr>
          <w:trHeight w:val="210"/>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Common Stock</w:t>
            </w:r>
          </w:p>
        </w:tc>
      </w:tr>
      <w:tr>
        <w:trPr>
          <w:trHeight w:val="210"/>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Expected to be Sold</w:t>
            </w:r>
          </w:p>
        </w:tc>
      </w:tr>
      <w:tr>
        <w:trPr>
          <w:trHeight w:val="210"/>
        </w:trPr>
        <w:tc>
          <w:tcPr>
            <w:tcW w:w="20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 Sell-to-Cover</w:t>
            </w:r>
          </w:p>
        </w:tc>
      </w:tr>
      <w:tr>
        <w:trPr>
          <w:trHeight w:val="244"/>
        </w:trPr>
        <w:tc>
          <w:tcPr>
            <w:tcW w:w="19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Expected to Settle</w:t>
            </w:r>
          </w:p>
        </w:tc>
        <w:tc>
          <w:tcPr>
            <w:tcW w:w="100" w:type="dxa"/>
            <w:vAlign w:val="bottom"/>
          </w:tcPr>
          <w:p>
            <w:pPr>
              <w:spacing w:after="0"/>
              <w:rPr>
                <w:sz w:val="21"/>
                <w:szCs w:val="21"/>
                <w:color w:val="auto"/>
              </w:rPr>
            </w:pPr>
          </w:p>
        </w:tc>
        <w:tc>
          <w:tcPr>
            <w:tcW w:w="24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3"/>
              </w:rPr>
              <w:t>Transactions</w:t>
            </w:r>
            <w:r>
              <w:rPr>
                <w:rFonts w:ascii="Times New Roman" w:cs="Times New Roman" w:eastAsia="Times New Roman" w:hAnsi="Times New Roman"/>
                <w:sz w:val="26"/>
                <w:szCs w:val="26"/>
                <w:b w:val="1"/>
                <w:bCs w:val="1"/>
                <w:color w:val="auto"/>
                <w:w w:val="93"/>
                <w:vertAlign w:val="superscript"/>
              </w:rPr>
              <w:t>(1)</w:t>
            </w:r>
          </w:p>
        </w:tc>
      </w:tr>
      <w:tr>
        <w:trPr>
          <w:trHeight w:val="386"/>
        </w:trPr>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5,373,611</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2,246,748</w:t>
            </w:r>
          </w:p>
        </w:tc>
      </w:tr>
      <w:tr>
        <w:trPr>
          <w:trHeight w:val="420"/>
        </w:trPr>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5,373,611</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2,246,748</w:t>
            </w:r>
          </w:p>
        </w:tc>
      </w:tr>
    </w:tbl>
    <w:p>
      <w:pPr>
        <w:spacing w:after="0" w:line="192" w:lineRule="exact"/>
        <w:rPr>
          <w:sz w:val="20"/>
          <w:szCs w:val="20"/>
          <w:color w:val="auto"/>
        </w:rPr>
      </w:pPr>
    </w:p>
    <w:p>
      <w:pPr>
        <w:sectPr>
          <w:pgSz w:w="11900" w:h="16838" w:orient="portrait"/>
          <w:cols w:equalWidth="0" w:num="2">
            <w:col w:w="6680" w:space="120"/>
            <w:col w:w="4540"/>
          </w:cols>
          <w:pgMar w:left="320" w:top="448" w:right="239" w:bottom="1440" w:gutter="0" w:footer="0" w:header="0"/>
          <w:type w:val="continuous"/>
        </w:sectPr>
      </w:pPr>
    </w:p>
    <w:p>
      <w:pPr>
        <w:ind w:left="460" w:hanging="455"/>
        <w:spacing w:after="0" w:line="207"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an estimated 42% tax rate. Includes an estimated approximately 807,188 shares that may be sold on or after each of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date of this prospectus in respect of settlement of RSUs held by our Chief Executive Officer.</w:t>
      </w:r>
    </w:p>
    <w:p>
      <w:pPr>
        <w:spacing w:after="0" w:line="19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dates and numbers above are estimates. We expect each settlement and sell-to-cover transaction to extend over a multi-day period based on trading volumes. Because the purpose of sell-to-cover transactions is to generate proceeds sufficient to satisfy tax withholding obligations, the exact number of shares sold will depend on the sale prices of the Class A common stock in such transactions and our stockholders’ personal tax rates. In addition, if additional net settlement transactions occur on or prior to the dates set forth above, the number of shares of Class A common stock to be sold in each sell-to-cover transaction will be reduced proportionally.</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there were 210,000 shares of Class A common stock issuable upon the exercise of a stock option outstanding as of March 31, 2024. We intend to register all of the shares of Class A common stock issuable upon the exercise of the outstanding option, settlement of outstanding RSUs and other equity incentives we may grant in the future for public resale under the Securities Act.</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AstraZeneca holds an outstanding warrant, pursuant to which AstraZeneca has the right to purchase $100 million in shares of our Class A common stock at an exercise price equal to the public offering price in this offering. The shares of Class A common stock will become eligible for sale in the public market to the extent such warrant is exercised, subject to the market standoff provision included in such agreement and described in the section titled “Underwriting” and compliance with applicable securities laws. In addition, pursuant to the Warrant Net Exercise, Allen, an underwriter in this offering, will receive 109,459 shares of Class A common stock following this offering. The shares of Class A common stock issued pursuant to the Warrant Net Exercise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340"/>
          </w:cols>
          <w:pgMar w:left="320" w:top="448" w:right="2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will become eligible for sale in the public market, subject to the market standoff provision contained in the Allen warrant agreement and described in the section titled “Underwriting” and compliance with applicable securities laws.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Further, based on shares outstanding as of March 31, 2024, holders of approximately 130,102,261 shares of Class A common stock (after giving effect to the issuance of Series G-5 preferred stock in April 2024 and assuming the issuance of the Additional Class A Conversion Shares, as discussed under “Prospectus Summary” above, and assuming no exercise of the underwriters’ option to purchase additional shares) and 5,043,789 shares of Class B common stock, or 84.6% of our capital stock after the completion of this offering, will have rights, subject to some conditions, to require us to file registration statements covering the sale of their shares or to include their shares in registration statements that we may file for ourselves or other stockholders.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short sales, or hedging transactions involving our equity securities, whether before or after this offering and whether or not we believe them to be prohibited, could adversely affect the price of our Class A common stock.</w:t>
      </w:r>
    </w:p>
    <w:p>
      <w:pPr>
        <w:spacing w:after="0" w:line="271" w:lineRule="exact"/>
        <w:rPr>
          <w:sz w:val="20"/>
          <w:szCs w:val="20"/>
          <w:color w:val="auto"/>
        </w:rPr>
      </w:pPr>
    </w:p>
    <w:p>
      <w:pPr>
        <w:ind w:left="46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The lock-up agreements relating to this offering are subject to a number of important exceptions and the restricted period pursuant to such lock-up agreements or the market standoff agreements with our RSU holders may be shortened. In addition, a significant number of shares may be sold in sell-to-cover transactions and we may issue a significant number of shares as consideration in certain transactions, including during the restricted period. As a result, a large number of shares of Class A common stock may become available for resale in the immediate future, including within 180 days after the date of this prospectus, which could materially depress the market price of our Class A common stock.</w:t>
      </w:r>
    </w:p>
    <w:p>
      <w:pPr>
        <w:spacing w:after="0" w:line="8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Although we, all of our directors, executive officers, and the holders of substantially all of our common stock and securities exercisable for or convertible into our common stock outstanding immediately prior to the closing of this offering (except for the RSUs previously issued to our employees other than our executive officers, and the warrants issued to Allen and AstraZeneca) have agreed with the underwriters that, until 180 days after the date of this prospectus, we and they will not offer, sell, make any short sale or otherwise dispose of any of our shares of common stock, any options or warrants to purchase any of our shares of common stock or any securities convertible into or exchangeable for or that represent the right to receive shares of our common stock, such lock-up agreements are subject to a number of important exceptions described in the section titled “Underwriting.” For example, at any time during such period, we may agree to issue or issue up to 15.0% of the total number of shares of our common stock outstanding immediately following the issuance of our Class A common stock in this offering, or 24,724,891 shares, in connection with an acquisition, merger, joint venture, strategic alliance, commercial or other collaborative relationship or certain other transactions. In addition, under the market standoff agreements that we have entered into with substantially all of our RSU holders, we have the right to release early some or all shares of our Class A common stock issuable pursuant to such RSUs, subject to the consent of Morgan Stanley &amp; Co. LLC and J.P. Morgan Securities LLC. See the section titled “Underwriting” for more detail.</w:t>
      </w:r>
    </w:p>
    <w:p>
      <w:pPr>
        <w:spacing w:after="0" w:line="19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Furthermore, in connection with the Additional RSU Settlement, our Chief Executive Officer will be required to sell in the open market in sell-to-cover transactions up to approximately 807,188 shares of our Class A common stock on or about 91 days after the date of this prospectus and up to approximately 807,188 shares of our Class A common stock on or about 120 days after the date of this prospectus, and certain of our employees other than our other executive officers will be required to sell in the open market in sell-to-cover transactions approximately 1,439,560 shares of our Class A common stock on or about 91 days after the date of this prospectus and approximately 1,439,560 shares of our Class A common stock on or about 120 days after the date of this prospectus, in each case assuming an approximately 42% tax withholding rate. See “Prospectus Summary—RSU Settlement” for more detail.</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the event that the end of the restricted period falls during one of our quarterly blackout periods during which trading by certain of our employees in our securities would not be permitted under our insider trading policy then in effect, the restricted period will automatically be shortened to expire on the date that is the later 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40"/>
          </w:cols>
          <w:pgMar w:left="320" w:top="448"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ten trading days prior to the date that such blackout period begins and the 150th day after the date of this prospectus. In addition, if the closing price of our Class A common stock on The Nasdaq Stock Market LLC is at least 30% greater than the initial public offering price per share set forth on the cover page of this prospectus for (i) any 10 trading days during the period ending on, and including, the date that we publicly announce our earnings for the first completed quarterly period following March 31, 2024, or the Initial Earnings Release, and (ii) any one trading day following the Initial Earnings Release, then the restricted period will automatically expire on the later of (a) the date on which the conditions set forth in both (i) and (ii) above are satisfied and (b) two trading days following our Initial Earnings Release, with respect to 30% of each holder’s aggregate shares of our common stock, to the extent vested.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Moreover, Morgan Stanley &amp; Co. LLC and J.P. Morgan Securities LLC may release any of the securities subject to these lock-up agreements at any time. In the event that any officer, director or other holder holding in excess of 1% of our outstanding shares of common stock is granted an early release from the lock-up restrictions with respect to our securities in an aggregate amount in excess of 1% of our outstanding shares of common stock (whether in one or multiple releases), then every other person subject to lock-up automatically will be granted an equivalent early release from its obligations under the lock-up agreement on a pro rata basis.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of the events described above may occur independently of the other events. As a result of any such event or any combination thereof, a large number of shares of our Class A common stock may become available for resale in the immediate future, including within 180 days after the date of this prospectus, which may materially depress the market price of our Class A common stock. In addition, some or all of these events may occur in close proximity or simultaneously, which may exacerbate their impact on the market price of our Class A common stock.</w:t>
      </w:r>
    </w:p>
    <w:p>
      <w:pPr>
        <w:spacing w:after="0" w:line="285"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 $36.57 per share, or $36.23 per share if the underwriters exercise their option to purchase additional shares in full, representing the difference between our pro forma as adjusted net tangible book value per share as of March 31, 2024, after giving effect to the sale of Class A common stock in this offering at the initial public offering price of $37.00 per share. See the section titled “Dilution.”</w:t>
      </w:r>
    </w:p>
    <w:p>
      <w:pPr>
        <w:spacing w:after="0" w:line="288" w:lineRule="exact"/>
        <w:rPr>
          <w:sz w:val="20"/>
          <w:szCs w:val="20"/>
          <w:color w:val="auto"/>
        </w:rPr>
      </w:pPr>
    </w:p>
    <w:p>
      <w:pPr>
        <w:ind w:left="460" w:right="6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81"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340"/>
          </w:cols>
          <w:pgMar w:left="320" w:top="448"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following the fifth anniversary of this offering; (2) the last day of the first fiscal year in which our annual gross revenue is $1.235 billion or more; (3) the date on which we have, during the previous rolling three-year period, issued more than $1.0 billion in non-convertible debt securities; and (4) the last day of the fiscal year in which the market value of our Class A common stock held by non-affiliates exceeded $700 million as of June 30 of such fiscal year.</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these exemptions. If some investors find our Class A common stock less attractive, there may be a less active trading market for our Class A common stock and our stock price may be more volatile.</w:t>
      </w:r>
    </w:p>
    <w:p>
      <w:pPr>
        <w:spacing w:after="0" w:line="27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the effects of our dual class structure, provisions in our amended and restated certificate of incorporation and amended and restated bylaws, as they will be in effect upon the completion of this offering, may have the effect of delaying or preventing a change in control or changes in our management. Our amended and restated certificate of incorporation and amended and restated bylaws will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8" w:lineRule="exact"/>
        <w:rPr>
          <w:sz w:val="20"/>
          <w:szCs w:val="20"/>
          <w:color w:val="auto"/>
        </w:rPr>
      </w:pPr>
    </w:p>
    <w:p>
      <w:pPr>
        <w:ind w:left="460" w:right="1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as will be in effect upon the completion of this offering, will provide that the Court of Chancery of the State of Delaware is the exclusive forum for the following types of actions or proceedings under Delaware statutory or common law:</w:t>
      </w:r>
    </w:p>
    <w:p>
      <w:pPr>
        <w:spacing w:after="0" w:line="78" w:lineRule="exact"/>
        <w:rPr>
          <w:sz w:val="20"/>
          <w:szCs w:val="20"/>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asserting a breach of fiduciary duty;</w:t>
      </w:r>
    </w:p>
    <w:p>
      <w:pPr>
        <w:spacing w:after="0" w:line="121" w:lineRule="exact"/>
        <w:rPr>
          <w:rFonts w:ascii="Times New Roman" w:cs="Times New Roman" w:eastAsia="Times New Roman" w:hAnsi="Times New Roman"/>
          <w:sz w:val="18"/>
          <w:szCs w:val="18"/>
          <w:color w:val="auto"/>
        </w:rPr>
      </w:pPr>
    </w:p>
    <w:p>
      <w:pPr>
        <w:ind w:left="5540" w:right="3800" w:hanging="5089"/>
        <w:spacing w:after="0" w:line="435" w:lineRule="auto"/>
        <w:tabs>
          <w:tab w:leader="none" w:pos="9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arising under the Delaware General Corporation Law; 101</w:t>
      </w:r>
    </w:p>
    <w:p>
      <w:pPr>
        <w:sectPr>
          <w:pgSz w:w="11900" w:h="16838" w:orient="portrait"/>
          <w:cols w:equalWidth="0" w:num="1">
            <w:col w:w="11340"/>
          </w:cols>
          <w:pgMar w:left="320" w:top="448"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arising under or seeking to interpret our amended and restated certificate of incorporation or our amended and restated bylaws;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that is governed by the internal affairs doctrine.</w:t>
      </w:r>
    </w:p>
    <w:p>
      <w:pPr>
        <w:spacing w:after="0" w:line="21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61"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and results of operations.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78" w:lineRule="exact"/>
        <w:rPr>
          <w:sz w:val="20"/>
          <w:szCs w:val="20"/>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 including changes in the regulation of data or in the structure of healthcare payment systems;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governmental investigations;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340"/>
          </w:cols>
          <w:pgMar w:left="320" w:top="448"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 including as a result of sell-to-cover transactions during the restricted period, as well as the anticipation of sell-to-cover transactions, lock-up releases or the expiration of the related restricted period;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market conditions in general, or in our industry in particular.</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5"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following the completion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8" w:lineRule="exact"/>
        <w:rPr>
          <w:sz w:val="20"/>
          <w:szCs w:val="20"/>
          <w:color w:val="auto"/>
        </w:rPr>
      </w:pPr>
    </w:p>
    <w:p>
      <w:pPr>
        <w:ind w:left="460" w:right="7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Exchange Act, the listing requirements of the Nasdaq Stock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such as maintaining directors’ and officers’ liability insurance. We cannot predict or estimate the amount of additional costs we will incur as a public company or the specific timing of such costs, and any such costs may adversely affect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340"/>
          </w:cols>
          <w:pgMar w:left="320" w:top="448"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95" w:lineRule="exact"/>
        <w:rPr>
          <w:sz w:val="20"/>
          <w:szCs w:val="20"/>
          <w:color w:val="auto"/>
        </w:rPr>
      </w:pPr>
    </w:p>
    <w:p>
      <w:pPr>
        <w:ind w:left="1000" w:hanging="549"/>
        <w:spacing w:after="0" w:line="267"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treatment paradigm for cancer, including physicians’ use of molecular data and targeted oncology therapeutics and the market size for our current and future products;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beyond oncology into new disease areas;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and our expectations regarding our revenue, expenses, capital requirements and operating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including our goals and strategy regarding development and commercialization of AI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datasets, including in new disease areas and geographies;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the growth of our datasets will improve the quality of our products and services and accelerate their adoption;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aggregate, analyze or otherwise utilize genomic data in new ways and in additional diagnostic modalities;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we will continue to commercialize de-identified records and license them to multiple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publications in peer-reviewed journals or of our presentations at scientific and medical conference presentations;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Intelligent Diagnostics to be disruptive across a broad set of disease areas and the clinical trial process;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payer reimbursement and coverage decisions, including our strategy to increase reimbursement;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evolving and/or extensive government regulation;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 including through the Joint Venture in Japan;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businesses, form joint ventures or make investments in companies or technologies;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340"/>
          </w:cols>
          <w:pgMar w:left="320" w:top="448"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 including our trade secret protected proprietary rights in our platform;</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needs for additional financing;</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release of lock-up agreements or market standoff agreements, anticipation of such events, and sales of shares of our Class A common stock by our stockholders;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use of proceeds from this offering.</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340"/>
          </w:cols>
          <w:pgMar w:left="320" w:top="448"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1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This prospectus contains statistical data, estimates and forecasts that are based on independent industry publications or other publicly available information, as well as other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The industry in which we operate is subject to a high degree of uncertainty and risk due to a variety of factors, including those described in the sections titled “Risk Factors” and “Special Note Regarding Forward-Looking Statements.” Among other items, certain of the market research included in this prospectus was published prior to the outbreak of the COVID-19 pandemic and did not anticipate the virus or the impact it has caused on our industry. We have utilized this pre-pandemic market research in the absence of updated sources. These and other factors could cause results to differ materially from those expressed in the projections and estimates made by the independent third parties and us. See the section titled “Risk Factors—Risks Related to Our Business and Strategy—The sizes of the markets for our current and future products have not been established with precision, and may be smaller than we estimate.”</w:t>
      </w:r>
    </w:p>
    <w:p>
      <w:pPr>
        <w:spacing w:after="0" w:line="19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sources of certain statistical data, estimates and forecasts contained in this prospectus are the following independent industry publications, reports and other publicly available information:</w:t>
      </w:r>
    </w:p>
    <w:p>
      <w:pPr>
        <w:spacing w:after="0" w:line="78" w:lineRule="exact"/>
        <w:rPr>
          <w:sz w:val="20"/>
          <w:szCs w:val="20"/>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Biomarkers Market—Growth, Trends, COVID-19 Impact, and Forecast (2024-2029), 2023</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Clinical Trials Market—Growth, Trends, COVID-19 Impact, and Forecast (2024-2029), 2023</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Pharma, World Preview 2023, Outlook to 2028, August 2023</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Fortune Business Insights, Real World Evidence Solutions Market, April 2024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Clinical Laboratory Association, Value of Lab Testing,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Cancer Institute, Cancer Statistics, November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ClinicalTrials.gov database, 2024: U.S. National Library of Medicine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GLOBOCAN 2024 database, 2024: Global Cancer Observatory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Institute of Mental Health, Major Depression, January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Anxiety &amp; Depression Association of America, Facts &amp; Statistics,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Cancers (Basel), PARP Inhibitors in the Treatment of Early Breast Cancer: The Step Beyond?, June 2020</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Gynecologic Oncology, Frequencies of BRCA1 and BRCA2 Mutations Among 1,342 Unselected Patients with Invasive Ovarian Cancer, May 2011</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Journal of Oncology, BRCA Mutations in Prostate Cancer: Prognostic and Predictive Implications,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Journal of Urology, Efficacy of Routine Follow-up After First-Line Treatment of Testicular Cancer, October 2004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Economic Burden of Non-communicable Diseases, Harvard School of Public Health, World Economic Forum (September 2011)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Mental Health and Substance Use, Mental Health in the Workplace, World Health Organization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Cancer Report 2014, International Agency for Research on Cancer, World Health Organization (2014)</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340"/>
          </w:cols>
          <w:pgMar w:left="320" w:top="448"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CoronavirusUpdate: COVID-19 likely to cost economy $1 trillion during 2020, says UN trade agency, United Nations, UN News (March 9, 2020)</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Cancer Society, Cancer Treatment &amp; Survivorship Facts &amp; Figures 2022-2024,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Cancer Atlas, The Burden of Cancer, 2019.</w:t>
      </w:r>
    </w:p>
    <w:p>
      <w:pPr>
        <w:spacing w:after="0" w:line="1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44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5"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We estimate that we will receive net proceeds from this offering of approximately $371.5 million (or approximately $428.7 million if the underwriters’ over-allotment option is exercised in full), after deducting estimated underwriting discounts and commissions and estimated offering expenses payable by us.</w:t>
      </w:r>
    </w:p>
    <w:p>
      <w:pPr>
        <w:spacing w:after="0" w:line="12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intend to use approximately $70.8 million of the net proceeds from this offering to pay federal and state tax withholding and remittance obligations related to the RSU Net Settlement.</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As of the date of this prospectus, we cannot specify with certainty all of the particular uses for the remaining net proceeds of this offering. However, we currently intend to use the remaining net proceeds of this offering for general corporate purposes, including working capital, operating expenses, remittance of federal and state tax withholding in connection with the net settlement of additional RSUs, repayment of debt and capital expenditures. We may also use a portion of the net proceeds to acquire complementary businesses, products, services or technologies, or to pay down existing debt obligations. At this time, we do not have agreements or commitments to enter into any material acquisitions.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September 2022, we entered into a credit agreement with Ares Capital Corporation, or Ares, for a senior secured loan of up to $175 million, to provide working capital and for general corporate purposes, including to finance growth initiatives and pay for operating expenses. The aggregate principal amount under this loan was increased by an additional $50 million in April 2023 pursuant to a first amendment to the credit agreement, and by an additional $35 million in October 2023 pursuant to a second amendment to the credit agreement. Such term loan facility, as amended, is referred to as the Term Loan Facility. As of March 31, 2024, the interest rate on the Term Loan Facility was 10.33%. As of March 31, 2024, there was $265.8 million gross principal amount outstanding under the Term Loan Facility. We may use the net proceeds from this offering to pay down, in whole or in part, the Term Loan Facility.</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have broad discretion over how to use the net proceeds from this offering. We intend to invest the net proceeds to us from this offering that are not used as described above in investment-grade, interest-bearing instruments.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340"/>
          </w:cols>
          <w:pgMar w:left="320" w:top="448"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Since our incorporation in 2015, we have paid an aggregate of $38.1 million in cash dividends and issued 114,246 shares of Series G-3 convertible preferred stock and 10,666 shares of Series G-4 convertible preferred stock as paid-in-kind dividends to holders of our preferred stock in satisfaction of dividend obligations accruing pursuant to our certificate of incorporation in effect prior to this offering. As of June 16, 2024, shares of our convertible preferred stock will have accrued approximately $188.0 million in unpaid dividends, which are payable, at our option, in cash or shares of our common stock. We expect to pay these dividends in shares of our common stock in connection with the closing of this offering. See “Prospectus Summary—The Offering” for more information about shares of common stock to be issued in satisfaction of these dividend obligations.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in effect upon the closing of this offering will not provide for accruing dividends.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340"/>
          </w:cols>
          <w:pgMar w:left="320" w:top="448"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restricted cash and capitalization as of March 31, 2024:</w:t>
      </w:r>
    </w:p>
    <w:p>
      <w:pPr>
        <w:spacing w:after="0" w:line="121" w:lineRule="exact"/>
        <w:rPr>
          <w:sz w:val="20"/>
          <w:szCs w:val="20"/>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77" w:lineRule="auto"/>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 forma basis, giving effect to (1) the Series B Preferred Stock Conversion and Transfer resulting in 5,043,789 shares of Class B common stock outstanding immediately following the consummation of this offering; (2) the issuance and sale of 3,489,981 shares of Series G-5 convertible preferred stock in April 2024 as if such issuance and sale had occurred on March 31, 2024; (3) the Preferred Stock Conversion resulting in the issuance of 66,640,659 shares of Class A common stock upon the closing of this offering; (4) the Additional Class A Conversion Share Issuance resulting in the issuance of 5,093,641 Additional Class A Conversion Shares upon the closing of this offering; (5) the payment of $5.6 million of accrued cash dividends on certain shares of our convertible preferred stock on June 4, 2024, as if such payment had occurred on March 31, 2024;</w:t>
      </w:r>
    </w:p>
    <w:p>
      <w:pPr>
        <w:spacing w:after="0" w:line="4" w:lineRule="exact"/>
        <w:rPr>
          <w:rFonts w:ascii="Times New Roman" w:cs="Times New Roman" w:eastAsia="Times New Roman" w:hAnsi="Times New Roman"/>
          <w:sz w:val="16"/>
          <w:szCs w:val="16"/>
          <w:color w:val="auto"/>
        </w:rPr>
      </w:pPr>
    </w:p>
    <w:p>
      <w:pPr>
        <w:jc w:val="both"/>
        <w:ind w:left="1000" w:firstLine="3"/>
        <w:spacing w:after="0" w:line="243" w:lineRule="auto"/>
        <w:tabs>
          <w:tab w:leader="none" w:pos="126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of our nonvoting common stock into 5,069,477 shares of Class A common stock, which will occur upon the closing of this offering; (7) the net issuance of 2,660,402 shares of Class A common stock upon the RSU Net Settlement, the issuance of 10,747,222 shares of Class A common stock upon the Additional RSU Settlement and the recognition of stock-based compensation expense of approximately $478.9 million related to the vesting of RSUs outstanding as of March 31, 2024 for which the service-based condition will be satisfied on or before June 14, 2024 and for which the performance-based vesting condition will be satisfied in connection with this offering, as further described in Note 10 to our consolidated financial statements included elsewhere in this prospectus; (8) the Warrant Net Exercise; and</w:t>
      </w:r>
    </w:p>
    <w:p>
      <w:pPr>
        <w:spacing w:after="0" w:line="2" w:lineRule="exact"/>
        <w:rPr>
          <w:rFonts w:ascii="Times New Roman" w:cs="Times New Roman" w:eastAsia="Times New Roman" w:hAnsi="Times New Roman"/>
          <w:sz w:val="18"/>
          <w:szCs w:val="18"/>
          <w:color w:val="auto"/>
        </w:rPr>
      </w:pPr>
    </w:p>
    <w:p>
      <w:pPr>
        <w:ind w:left="1260" w:hanging="257"/>
        <w:spacing w:after="0"/>
        <w:tabs>
          <w:tab w:leader="none" w:pos="12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which will occur upon the closing of this offering; and</w:t>
      </w:r>
    </w:p>
    <w:p>
      <w:pPr>
        <w:spacing w:after="0" w:line="103" w:lineRule="exact"/>
        <w:rPr>
          <w:rFonts w:ascii="Times New Roman" w:cs="Times New Roman" w:eastAsia="Times New Roman" w:hAnsi="Times New Roman"/>
          <w:sz w:val="18"/>
          <w:szCs w:val="18"/>
          <w:color w:val="auto"/>
        </w:rPr>
      </w:pPr>
    </w:p>
    <w:p>
      <w:pPr>
        <w:jc w:val="both"/>
        <w:ind w:left="1000" w:hanging="549"/>
        <w:spacing w:after="0" w:line="247"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giving effect to (1) the pro forma adjustments set forth above, (2) the issuance and sale of 11,100,000 shares of Class A common stock and our receipt of $375.6 million in estimated net proceeds from such sale at the initial public offering price of $37.00 per share, after deducting the estimated underwriting discounts and commissions and estimated offering expenses payable by us (which offering expenses exclude $4.1 million of deferred offering costs that have been previously paid as of March 31, 2024, but include $4.1 million for deferred offering costs accrued and unpaid as of March 31, 2024 and $2.3 million of deferred offering costs not yet accrued or paid as of March 31, 2024) and (3) the use of approximately $70.8 million of the net proceeds from this offering to pay tax withholding and remittance obligations related to the RSU Net Settlement.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“Prospectus Summary—The Offering—Additional Class A Conversion Shares” for a description of the Additional Class A Conversion Shares.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340"/>
          </w:cols>
          <w:pgMar w:left="320" w:top="448"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7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9"/>
                <w:szCs w:val="9"/>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60" w:type="dxa"/>
            <w:vAlign w:val="bottom"/>
          </w:tcPr>
          <w:p>
            <w:pPr>
              <w:jc w:val="right"/>
              <w:ind w:right="115"/>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13"/>
        </w:trPr>
        <w:tc>
          <w:tcPr>
            <w:tcW w:w="7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360" w:type="dxa"/>
            <w:vAlign w:val="bottom"/>
            <w:tcBorders>
              <w:top w:val="single" w:sz="8" w:color="auto"/>
            </w:tcBorders>
            <w:gridSpan w:val="6"/>
          </w:tcPr>
          <w:p>
            <w:pPr>
              <w:jc w:val="center"/>
              <w:ind w:right="75"/>
              <w:spacing w:after="0" w:line="113" w:lineRule="exact"/>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80,792</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275,167</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580,012</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186,733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186,733</w:t>
            </w: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186,733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259,196</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259,196</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259,196</w:t>
            </w:r>
          </w:p>
        </w:tc>
        <w:tc>
          <w:tcPr>
            <w:tcW w:w="0" w:type="dxa"/>
            <w:vAlign w:val="bottom"/>
          </w:tcPr>
          <w:p>
            <w:pPr>
              <w:spacing w:after="0"/>
              <w:rPr>
                <w:sz w:val="1"/>
                <w:szCs w:val="1"/>
                <w:color w:val="auto"/>
              </w:rPr>
            </w:pPr>
          </w:p>
        </w:tc>
      </w:tr>
      <w:tr>
        <w:trPr>
          <w:trHeight w:val="192"/>
        </w:trPr>
        <w:tc>
          <w:tcPr>
            <w:tcW w:w="76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Redeemable convertible preferred stock, $0.0001 par value, 69,803,765 shares authorized, 63,603,084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actual; no shares authorized, issued and outstanding, pro forma and pro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forma as adjusted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1,134,802</w:t>
            </w:r>
          </w:p>
        </w:tc>
        <w:tc>
          <w:tcPr>
            <w:tcW w:w="1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1"/>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600" w:type="dxa"/>
            <w:vAlign w:val="bottom"/>
          </w:tcPr>
          <w:p>
            <w:pPr>
              <w:ind w:left="360"/>
              <w:spacing w:after="0" w:line="192" w:lineRule="exact"/>
              <w:rPr>
                <w:sz w:val="20"/>
                <w:szCs w:val="20"/>
                <w:color w:val="auto"/>
              </w:rPr>
            </w:pPr>
            <w:r>
              <w:rPr>
                <w:rFonts w:ascii="Times New Roman" w:cs="Times New Roman" w:eastAsia="Times New Roman" w:hAnsi="Times New Roman"/>
                <w:sz w:val="18"/>
                <w:szCs w:val="18"/>
                <w:color w:val="auto"/>
                <w:w w:val="99"/>
              </w:rPr>
              <w:t>Preferred stock, $0.0001 par value, no shares authorized, issued, and outstanding, actual; 20,000,000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authorized, no shares issued and outstanding, pro forma and pro forma as adjusted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2"/>
        </w:trPr>
        <w:tc>
          <w:tcPr>
            <w:tcW w:w="760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w w:val="98"/>
              </w:rPr>
              <w:t>Non-voting common Stock, $0.0001 par value, 66,946,627 shares authorized, 5,214,943 shares issued</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5,069,477 shares outstanding, actual; no shares authorized, issued and outstanding, pro forma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pro forma as adjusted</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2"/>
        </w:trPr>
        <w:tc>
          <w:tcPr>
            <w:tcW w:w="7600" w:type="dxa"/>
            <w:vAlign w:val="bottom"/>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A common stock, $0.0001 par value, 200,228,024 shares authorized 58,367,961 shares issued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outstanding, actual; 1,000,000,000 shares authorized, 148,688,821 shares issued and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pro forma; 1,000,000,000 shares authorized, 159,788,821 shares issued and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pro forma as adjusted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2"/>
        </w:trPr>
        <w:tc>
          <w:tcPr>
            <w:tcW w:w="760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B common stock, $0.0001 par value, 5,374,899 shares authorized no shares issued and</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actual; 5,500,000 shares authorized, 5,043,789 shares issued and outstanding, pro</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forma and pro forma as adjusted</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(3,602)</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1,846,451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2,217,728</w:t>
            </w:r>
          </w:p>
        </w:tc>
        <w:tc>
          <w:tcPr>
            <w:tcW w:w="0" w:type="dxa"/>
            <w:vAlign w:val="bottom"/>
          </w:tcPr>
          <w:p>
            <w:pPr>
              <w:spacing w:after="0"/>
              <w:rPr>
                <w:sz w:val="1"/>
                <w:szCs w:val="1"/>
                <w:color w:val="auto"/>
              </w:rPr>
            </w:pPr>
          </w:p>
        </w:tc>
      </w:tr>
      <w:tr>
        <w:trPr>
          <w:trHeight w:val="21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(1,489,467)</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(1,979,717)</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(2,050,296)</w:t>
            </w:r>
          </w:p>
        </w:tc>
        <w:tc>
          <w:tcPr>
            <w:tcW w:w="0" w:type="dxa"/>
            <w:vAlign w:val="bottom"/>
          </w:tcPr>
          <w:p>
            <w:pPr>
              <w:spacing w:after="0"/>
              <w:rPr>
                <w:sz w:val="1"/>
                <w:szCs w:val="1"/>
                <w:color w:val="auto"/>
              </w:rPr>
            </w:pP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(1,474,425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(136,904)</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capitalization</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106,306</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309,025</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609,724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number of shares of Class A common stock and Class B common stock that will be outstanding immediately after this offering as noted above is based on 159,788,821 shares of Class A common stock and 5,043,789 shares of Class B common stock outstanding as of March 31, 2024, assuming the Preferred Stock Conversion, which will occur upon the closing of this offering, and the Series B Preferred Stock Conversion and Transfer, and excludes:</w:t>
      </w:r>
    </w:p>
    <w:p>
      <w:pPr>
        <w:spacing w:after="0" w:line="89" w:lineRule="exact"/>
        <w:rPr>
          <w:sz w:val="20"/>
          <w:szCs w:val="20"/>
          <w:color w:val="auto"/>
        </w:rPr>
      </w:pPr>
    </w:p>
    <w:p>
      <w:pPr>
        <w:jc w:val="both"/>
        <w:ind w:left="1000" w:hanging="549"/>
        <w:spacing w:after="0" w:line="255"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5,472,557 shares of Class A common stock issuable on the vesting and settlement of RSUs outstanding as of March 31, 2024 under our 2015 Plan, for which the performance-based vesting condition will be satisfied in connection with this offering, but for which the service-based vesting condition will not be satisfied on or before June 14, 2024;</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1,527,044 shares of Class A common stock issuable upon the settlement of RSUs granted after March 31, 2024 under the 2015 Plan;</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7,430,000 shares of Class A common stock reserved for future issuance under our 2024 Plan, as well as any future increases, including annual automatic evergreen increases (as described in the section of this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340"/>
          </w:cols>
          <w:pgMar w:left="320" w:top="448"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20"/>
        <w:spacing w:after="0" w:line="267" w:lineRule="auto"/>
        <w:rPr>
          <w:sz w:val="20"/>
          <w:szCs w:val="20"/>
          <w:color w:val="auto"/>
        </w:rPr>
      </w:pPr>
      <w:r>
        <w:rPr>
          <w:rFonts w:ascii="Times New Roman" w:cs="Times New Roman" w:eastAsia="Times New Roman" w:hAnsi="Times New Roman"/>
          <w:sz w:val="18"/>
          <w:szCs w:val="18"/>
          <w:color w:val="auto"/>
        </w:rPr>
        <w:t>prospectus titled “Executive Compensation—Equity Incentive Plans”), in the number of shares of Class A common stock reserved for issuance under the 2024 Plan;</w:t>
      </w:r>
    </w:p>
    <w:p>
      <w:pPr>
        <w:spacing w:after="0" w:line="78" w:lineRule="exact"/>
        <w:rPr>
          <w:sz w:val="20"/>
          <w:szCs w:val="20"/>
          <w:color w:val="auto"/>
        </w:rPr>
      </w:pPr>
    </w:p>
    <w:p>
      <w:pPr>
        <w:jc w:val="both"/>
        <w:ind w:left="1000" w:hanging="549"/>
        <w:spacing w:after="0" w:line="255"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(as described in the section of this prospectus titled “Executive Compensation—Equity Incentive Plans”), in the number of shares of Class A common stock reserved for issuance under the ESPP;</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March 31, 2024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$186.7 million as of March 31, 2024) plus accrued and unpaid interest by (ii) the average of the last trading price of our Class A common stock on each trading day during the twenty day period ending immediately prior to March 22, 2026, as more fully described in the section of this prospectus titled “Description of Capital Stock— Convertible Promissory Note”;</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2,702,703 shares of Class A common stock issuable upon the exercise of the warrant issued to AstraZeneca with an exercise price equal to the initial public offering price of $37.00 per share, as more fully described in the section of this prospectus titled “Business—Operations—Our Strategic Collaboration—AstraZeneca Master Services Agreement”;</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$8.8 million in shares of Class A common stock, issuable to one of our stockholders pursuant to a contingent payment right, which payment may be made in cash or shares of Class A common stock, upon mutual agreement of us and such stockholder;</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35,000 shares of Class A common stock issuable to former stockholders of SEngine based on the average of the trading prices of our Class A common stock for the seven trading days immediately after the effective date of this offering; and</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Class A common stock in an amount up to 15.0% of the total number of shares of our common stock outstanding immediately following this offering, which we may issue in connection with acquisitions, joint ventures, commercial agreements and after similar arrangements pursuant to an exception from our lock-up during the 180-day period following the date of this prospectus, as further described in the section entitled “Underwriting.”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340"/>
          </w:cols>
          <w:pgMar w:left="320" w:top="448"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1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w:t>
      </w:r>
    </w:p>
    <w:p>
      <w:pPr>
        <w:spacing w:after="0" w:line="17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Our historical net tangible book value (deficit) as of March 31, 2024 was $(1,575.0) million, or $(24.83) per share. Our historical net tangible book value (deficit) per share represents the amount of our total tangible assets less our total liabilities and the carrying value of our redeemable convertible preferred stock, which is not included within stockholders’ equity, divided by the 63,437,438 shares of common stock outstanding as of March 31, 2024. Our pro forma net tangible book value as of March 31, 2024 was $(237.5) million, or $(1.54) per share. Our pro forma net tangible book value per share represents the amount of our total tangible assets less our total liabilities, divided by the number of our shares of common stock outstanding as of March 31, 2024, after giving effect to</w:t>
      </w:r>
    </w:p>
    <w:p>
      <w:pPr>
        <w:spacing w:after="0" w:line="3" w:lineRule="exact"/>
        <w:rPr>
          <w:sz w:val="20"/>
          <w:szCs w:val="20"/>
          <w:color w:val="auto"/>
        </w:rPr>
      </w:pPr>
    </w:p>
    <w:p>
      <w:pPr>
        <w:jc w:val="both"/>
        <w:ind w:firstLine="5"/>
        <w:spacing w:after="0" w:line="243" w:lineRule="auto"/>
        <w:tabs>
          <w:tab w:leader="none" w:pos="2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Preferred Stock Conversion and Transfer resulting in 5,043,789 shares of Class B common stock outstanding immediately following the consummation of this offering; (2) the issuance and sale of 3,489,981 shares of Series G-5 convertible preferred stock in April 2024 as if such sale and issuance had occurred on March 31, 2024; (3) the Preferred Stock Conversion resulting in the issuance of 66,640,659 shares of Class A common stock upon the closing of this offering; (4) the Additional Class A Conversion Share Issuance resulting in the issuance of 5,093,641 Additional Class A Conversion Shares upon the conversion of all outstanding shares of our redeemable convertible preferred stock upon the closing of this offering; (5) the payment of $5.6 million of accrued cash dividends on certain shares of our convertible preferred stock on June 4, 2024, as if such payment had occurred on March 31, 2024; (6) the automatic conversion of all of our nonvoting common stock into 5,069,477 shares of Class A common stock, which will occur upon the closing of this offering; (7) the net issuance of 2,660,402 shares of Class A common stock upon the RSU Net Settlement, the issuance of 10,747,222 shares of Class A common stock upon the Additional RSU Settlement and the recognition of stock-based compensation expense of approximately $478.9 million related to the vesting of RSUs outstanding as of March 31, 2024 for which the service-based vesting condition will be satisfied on or before June 14, 2024 and for which the performance-based vesting condition will be satisfied in connection with this offering as further described in Note 10 to our consolidated financial statements included elsewhere in this prospectus; (8) the Warrant Net Exercise; and (9) the filing and effectiveness of our amended and restated certificate of incorporation, which will occur upon the closing of this offering. See “Prospectus Summary—The Offering—Additional Class A Conversion Shares” for a description of the Additional Class A Conversion Shares.</w:t>
      </w:r>
    </w:p>
    <w:p>
      <w:pPr>
        <w:spacing w:after="0" w:line="19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After giving effect to the sale by us of 11,100,000 shares of Class A common stock in this offering at the initial public offering price of $37.00 per share, after deducting estimated underwriting discounts and commissions and estimated offering expenses payable by us (which offering expenses exclude $4.1 million of deferred offering costs that have been previously paid as of March 31, 2024, but include $4.1 million for deferred offering costs accrued and unpaid as of March 31, 2024 and $2.3 million of deferred offering costs not yet accrued or paid as of March 31, 2024) and the use of approximately $70.8 million of the net proceeds from this offering to pay tax withholding and remittance obligations related to the RSU Net Settlement, our pro forma as adjusted net tangible book value as of March 31, 2024 would have been $71.5 million, or $0.43 per share. This amount represents an immediate increase in pro forma as adjusted net tangible book value of $1.97 per share to our existing stockholders and an immediate dilution of $36.57 per share to new investors purchasing Class A common stock in this offering. We determine dilution by subtracting the pro forma as adjusted net tangible book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340"/>
          </w:cols>
          <w:pgMar w:left="320" w:top="448"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value per share after this offering from the initial public offering price per share paid by investors purchasing Class A common stock in this offering. The following table illustrates this dilution on a per share basis: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 per share</w:t>
            </w:r>
          </w:p>
        </w:tc>
        <w:tc>
          <w:tcPr>
            <w:tcW w:w="1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March 31, 2024</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(24.83)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per share attributable to the pro forma adjustments described above</w:t>
            </w: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23.29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March 31, 2024</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Increase in pro forma as adjusted net tangible book value per share attributable to new investors purchasing shares in this offering</w:t>
            </w: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1.97</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giving effect to this offering</w:t>
            </w: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following table summarizes, as of March 31, 2024, on a pro forma as adjusted basis as described above, the aggregate number of shares of our Class A common stock and Class B common stock, the total consideration and the average price per share (1) paid to us by existing stockholders, and (2) to be paid by new investors acquiring our Class A common stock in this offering at the initial public offering price of $37.00 per share, before deducting estimated underwriting discounts and commissions and estimated offering expenses payable by us.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2100" w:type="dxa"/>
            <w:vAlign w:val="bottom"/>
            <w:gridSpan w:val="4"/>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gridSpan w:val="4"/>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0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80" w:type="dxa"/>
            <w:vAlign w:val="bottom"/>
            <w:tcBorders>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1"/>
              </w:rPr>
              <w:t>Percent</w:t>
            </w:r>
          </w:p>
        </w:tc>
        <w:tc>
          <w:tcPr>
            <w:tcW w:w="3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260"/>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1"/>
              </w:rPr>
              <w:t>Percent</w:t>
            </w:r>
          </w:p>
        </w:tc>
        <w:tc>
          <w:tcPr>
            <w:tcW w:w="3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740" w:type="dxa"/>
            <w:vAlign w:val="bottom"/>
            <w:tcBorders>
              <w:top w:val="single" w:sz="8" w:color="auto"/>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Existing stockholders</w:t>
            </w: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153,732,610</w:t>
            </w:r>
          </w:p>
        </w:tc>
        <w:tc>
          <w:tcPr>
            <w:tcW w:w="4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93.3%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1,846,466,000</w:t>
            </w:r>
          </w:p>
        </w:tc>
        <w:tc>
          <w:tcPr>
            <w:tcW w:w="4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81.8%</w:t>
            </w:r>
          </w:p>
        </w:tc>
        <w:tc>
          <w:tcPr>
            <w:tcW w:w="300" w:type="dxa"/>
            <w:vAlign w:val="bottom"/>
            <w:gridSpan w:val="2"/>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11,100,000</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410,700,000</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164,832,610</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2,257,166,000</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number of shares of Class A common stock and Class B common stock that will be outstanding immediately after this offering as noted above is based on 159,788,821 shares of Class A common stock and 5,043,789 shares of Class B common stock outstanding as of March 31, 2024, assuming the Preferred Stock Conversion and the Series B Preferred Stock Conversion and Transfer, and excludes:</w:t>
      </w:r>
    </w:p>
    <w:p>
      <w:pPr>
        <w:spacing w:after="0" w:line="89" w:lineRule="exact"/>
        <w:rPr>
          <w:sz w:val="20"/>
          <w:szCs w:val="20"/>
          <w:color w:val="auto"/>
        </w:rPr>
      </w:pPr>
    </w:p>
    <w:p>
      <w:pPr>
        <w:jc w:val="both"/>
        <w:ind w:left="1000" w:hanging="549"/>
        <w:spacing w:after="0" w:line="255"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5,472,557 of Class A common stock issuable on the vesting and settlement of RSUs outstanding as of March 31, 2024 under our 2015 Plan, for which the performance-based vesting condition will be satisfied in connection with this offering, but for which the service-based vesting condition will not be satisfied on or before June 14, 2024;</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1,527,044 shares of Class A common stock issuable upon the settlement of RSUs granted after March 31, 2024 under the 2015 Plan;</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7,430,000 shares of Class A common stock reserved for future issuance under our 2024 Plan, as well as any future increases, including annual automatic evergreen increases (as described in the section of this prospectus titled “Executive Compensation—Equity Incentive Plans”), in the number of shares of Class A common stock reserved for issuance under the 2024 Plan;</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(as described in the section of this prospectus titled “Executive Compensation—Equity Incentive Plans”), in the number of shares of Class A common stock reserved for issuance under the ESPP;</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March 31, 2024 under the 2015 Plan, with an exercise price of $0.8542 per share;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340"/>
          </w:cols>
          <w:pgMar w:left="320" w:top="448"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49"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$186.7 million as of March 31, 2024) plus accrued and unpaid interest by (ii) the average of the last trading price of our Class A common stock on each trading day during the twenty day period ending immediately prior to March 22, 2026, as more fully described in the section of this prospectus titled “Description of Capital Stock— Convertible Promissory Note”;</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2,702,703 shares of Class A common stock issuable upon the exercise of the warrant issued to AstraZeneca with an exercise price equal to the initial public offering price of $37.00 per share, as more fully described in the section of this prospectus titled “Business—Operations—Our Strategic Collaboration—AstraZeneca Master Services Agreement”;</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$8.8 million in shares of Class A common stock issuable to one of our stockholders pursuant to a contingent payment right, which payment may be made in cash or shares of Class A common stock, upon mutual agreement of us and such stockholder;</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35,000 shares of Class A common stock issuable to former stockholders of SEngine based on the average of the trading prices of our Class A common stock for the seven trading days immediately after the effective date of this offering; and</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Class A common stock in an amount up to 15.0% of the total number of shares of our common stock outstanding immediately following this offering, which we may issue in connection with acquisitions, joint ventures, commercial agreements and other similar arrangement pursuant to an exception from our lock-up during the 180-day period following the date of this prospectus, as further described in the section entitled “Underwriting.”</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To the extent that any outstanding options are exercised, outstanding RSUs vest and settle or new options or RSUs are issued under our stock-based compensation plans, or we issue additional shares of Class A common stock in the future, there will be further dilution to investors participating in this offering. If all outstanding options and RSUs under the 2015 Plan as of March 31, 2024 were exercised or vested and settled, as applicable, then our existing stockholders, including the holders of these options and RSUs, would own approximately 93% and our new investors would own approximately 7% of the total number of shares of our Class A common stock and Class B common stock outstanding on the closing of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340"/>
          </w:cols>
          <w:pgMar w:left="320" w:top="448"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prospectus.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37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primarily operate in the United States and generated total revenue of $320.7 million and $531.8 million in the years ended December 31, 2022 and 2023, respectively, and $115.6 million and $145.8 million in the three months ended March 31, 2023 and 2024, respectively. In the years ended December 31, 2022 and 2023 and the three months ended March 31, 2023 and 2024, revenue from one customer accounted for 8.3%, 8.3%, 6.3%, and 6.6%, respectively, of our total revenue. In the year ended December 31, 2023 and the three months ended March 31, 2023 and 2024, revenue from an additional customer accounted for 5.1%, 6.0%, and 5.7% of our total revenue, respectively. The same customer did not represent a significant portion of total revenue for the year ended December 31, 2022. We also incurred net losses of $289.8 million and $214.1 million in the years ended December 31, 2022 and 2023, respectively, and $54.4 million and $64.7 million in the three months ended March 31, 2023 and 2024, respectively. We generated adjusted EBITDA of $(238.8) million and $(154.2) million in the years ended December 31, 2022 and 2023, respectively, and $(45.9) million and $(43.9) million in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340"/>
          </w:cols>
          <w:pgMar w:left="320" w:top="448"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three months ended March 31, 2023 and 2024, respectively. Adjusted EBITDA is a non-GAAP financial measure. For a reconciliation of adjusted EBITDA to net loss, the most directly comparable financial measure stated in accordance with generally accepted accounting principles in the United States of America, or GAAP, and for additional information about adjusted EBITDA, a non-GAAP financial measure, see the section titled “—Non-GAAP Financial Measure” below.</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11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As a result, we differ from traditional diagnostics companies that need to focus on maximizing gross profit when performing a test. At its core, our business model consists of generating, ingesting and structuring vast amounts of multimodal data through our Genomics product line and commercializing de-identified copies of such data through partnerships with our pharmaceutical customers to aid their drug discovery and development efforts.</w:t>
      </w:r>
    </w:p>
    <w:p>
      <w:pPr>
        <w:spacing w:after="0" w:line="15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invest in our database by generating high-quality molecular data and ingesting and structuring the longitudinal clinical records for many of the patients we sequence. While this investment in our business model comes with additional upfront costs, these investments benefit key stakeholders in the healthcare ecosystem over time:</w:t>
      </w:r>
    </w:p>
    <w:p>
      <w:pPr>
        <w:spacing w:after="0" w:line="89" w:lineRule="exact"/>
        <w:rPr>
          <w:sz w:val="20"/>
          <w:szCs w:val="20"/>
          <w:color w:val="auto"/>
        </w:rPr>
      </w:pPr>
    </w:p>
    <w:p>
      <w:pPr>
        <w:ind w:left="1000" w:hanging="549"/>
        <w:spacing w:after="0"/>
        <w:tabs>
          <w:tab w:leader="none" w:pos="10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Healthcare providers benefit from a tailored test result that provides information that can be used in routing patients to the most effective therapy.</w:t>
      </w:r>
    </w:p>
    <w:p>
      <w:pPr>
        <w:spacing w:after="0" w:line="144"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biotechnology companies benefit by licensing deep molecular data and longitudinal clinical data that they can leverage in their drug development efforts.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benefit by leveraging the multimodal data to make our current tests more precise and/or to develop new algorithmic tests in the future.</w:t>
      </w:r>
    </w:p>
    <w:p>
      <w:pPr>
        <w:spacing w:after="0" w:line="21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Although we are only eight years old, the network effects described above have already been demonstrated with the cohort of records that were added to our database from 2018 to 2023. To illustrate one of the ways that our business model differs from traditional diagnostics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In 2018, the first full year that we operated a laboratory, we sequenced samples from approximately 7,500 patients. From that 2018 cohort of sequenced patients, through December 31, 2023, we generated $66.2 million of combined revenue from sequencing, data licensing of de-identified data derived from those records, analytical services, and clinical trials matching, which is approximately 7.4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to 2023 from the 2018 cohort, and as of December 31, 2023, the 2018 “Cohort Lifetime Value” was $48.8 million. We experienced similar trends for the 2019 to 2023 cohorts. As of December 31, 2023, the 2019 “Cohort Lifetime Value” was $63.7 million, the 2020 “Cohort Lifetime Value” was $70.8 million, the 2021 “Cohort Lifetime Value” was $82.7 million, the 2022 “Cohort Lifetime Value” was $87.8 million, and the 2023 “Cohort Lifetime Value” was $182.2 million in its first year of existence.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40"/>
          </w:cols>
          <w:pgMar w:left="320" w:top="448"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below charts, which illustrate the “Cohort Lifetime Values” from 2018 to 2023 demonstrate that we are not only able to generate revenue when we run an assay, but that we are also able to continue to commercialize the de-identified records for years following running the initial test. As a result, our focus is driving growth in our Genomics product line, which creates the opportunity to drive further growth in our other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142875</wp:posOffset>
            </wp:positionV>
            <wp:extent cx="4834890" cy="62109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834890" cy="621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340"/>
          </w:cols>
          <w:pgMar w:left="320" w:top="448"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205105</wp:posOffset>
            </wp:positionV>
            <wp:extent cx="4834890" cy="58858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834890" cy="588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description of each product line: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40"/>
          </w:cols>
          <w:pgMar w:left="320" w:top="448"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providing services to healthcare providers, we typically bill commercial payers or government-funded programs (i.e., Medicare and Medicaid) after delivering a test result. We typically operate as an out-of-network provider and the amount that we charge varies depending on the assay being run, the party being billed and other information about the patient’s diagnosis. Revenue is generally recognized when we have met the performance obligation relating to an order. We have determined our sole performance obligation to be the delivery of the testing results to the ordering party.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When providing services to pharmaceutical companies, biotechnology companies, researchers, or other third parties, we will invoice the third party after delivering a test result. The amount that is invoiced and recognized as revenue is based on the sequencing of patient samples pursuant to contract terms.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Genomics revenue was $198.0 million and $363.0 million for the years ended December 31, 2022 and 2023, respectively, and $82.1 million and $102.6 million for the three months ended March 31, 2023 and 2024, respectively. Revenue generated from COVID-19 testing was $22.2 million, or 6.9% of our total revenue, for the year ended December 31, 2022. Revenue generated from COVID-19 testing was $2.6 million, or 2.3%, of our total revenue for the three months ended March 31, 2023. Revenue generated from COVID-19 testing was $2.7 million, or 0.5% of total revenue, for the year ended December 31, 2023 and $0 for the three months ended March 31, 2024, as we stopped offering COVID-19 PCR diagnostic tests in the first quarter of 2023.</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Inclusive of xR, oncology NGS tests delivered for the years ended December 31, 2019, 2020, 2021, 2022 and 2023 were approximately 40,600, 64,300, 97,000, 148,000 and 218,700,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and Services products, Insights and Trials.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Through our Insights product, we license libraries of linked clinical, molecular, and imaging de-identified data and provide a suite of analytical services to analytic and cloud-and-compute tools to pharmaceutical and biotechnology companies. Licensing fee prices are consistent across customers and priced based on the characteristics of the data being provided (i.e., number of clinical fields, type of data modalities, etc.). Revenue from our Insights product is generally recognized upon the delivery of licensed records, upon the completion of performance obligations for related services, or ratably over time in the case of subscriptions.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Trials product is designed to leverage the broad network of physicians we work with in oncology to provide clinical trial matching services for pharmaceutical companies that are looking to reach hard-to-find and underserved patient populations. This product is built on top of our real-time data feeds and harnesses AI to accelerate the connection between patients, clinical trial sites (hospitals), and clinical trial sponsors (life sciences companies). The fees charged to sponsors are typically fixed and based on a per match and/or per enrollment basis. Revenue from our Trials product is generally recognized upon a match between a patient and a trial in our network or upon enrollment of a patient that we matched to a trial in our network.</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also provide other clinical trial services and conduct our own studies as part of our Trials program, all with a goal of identifying new therapies and bringing them to market more efficiently. In January 2022, we acquired Highline Consulting, LLC, or Highline, a contract research organization, or CRO, which we subsequently renamed Tempus Compass, LLC, or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The products and services within our Trials program complement each other to create a suite of integrated solutions for life sciences companies from early discovery to commercialization.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340"/>
          </w:cols>
          <w:pgMar w:left="320" w:top="448"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Data and services revenue was $122.7 million and $168.8 million for the years ended December 31, 2022 and 2023, respectively, and $33.6 million and $43.3 million for the three months ended March 31, 2023 and 2024, respectively. Our Data and services revenue is typically back-weighted towards the second half of the year based on the budgeting cycles of our customers.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 Applications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third product line, AI Applications,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launched our Algos product line in the fourth quarter of 2020 and currently offer a suite of algorithmic tests in oncology: our Tumor Origin, TO, test, our Homologous Recombination Deficiency, HRD, test, and our Dihydropyrimidine Dehydrogenase Deficiency, DPYD, test. Prior to January 1, 2023, we would typically bill commercial payers or government-funded programs (i.e., Medicare and Medicaid) after delivering a test result, similar to our Genomics product line. The amount that we would charge varied depending on the algorithms being run, the party being billed and other information about the patient’s diagnosis. Revenue was generally recognized based on estimated cash receipts determined by historical and current payment trends. We reported our Algos revenue within our Data and services product line. Beginning January 1, 2023, these three Algos are no longer being billed as individual tests as there is now a dedicated current procedural terminology, or CPT, code associated with the underlying laboratory diagnostic. Instead, we submit claims for the diagnostic, and revenue associated with those claims will be reported in our Genomics product line.</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Through our acquisitions of Mpirik Inc., or Mpirik, and Arterys, Inc., we also have algorithmic solutions in market to identify potential care gaps and identify at-risk patients in cardiology. To date, revenue from these offerings are derived from the institution deploying the solutions.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AI Applications product line does not currently generate significant revenue, we believe it represents a significant opportunity for us and we will incur significant expenses over the next several years as we work to identify and develop algorithms that we can deploy into a clinical setting.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as amended in October 2022, February 2023 and December 2023,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term of the MSA will continue through December 31, 2028, unless terminated sooner. The minimum commitment may increase to $320 million upon the occurrence of any of the following events: (i) at AstraZeneca’s election on or before December 31, 2024, (ii) the date that AstraZeneca exercises the warrant issued pursuant to the terms thereof (as described below), or (iii) in the event of our initial public offering, if the average closing price of our common stock exceeds two times the offering price for any 30-day trading period following the one-year anniversary of such initial public offering.</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Under the warrant, AstraZeneca has the right to purchase $100 million in shares of our Class A common stock at an exercise price equal to the price per share at which our common stock is valued in connection with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340"/>
          </w:cols>
          <w:pgMar w:left="320" w:top="448"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consummation of this initial public offering. The warrant may be exercised any time following the date that is 180 days following the pricing of our initial public offering.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$320 million. See “Business—Operations—Our Strategic Collaboration—AstraZeneca Master Services Agreement.”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GlaxoSmithKline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August 2022, we entered into a Strategic Collaboration Agreement, or, as amended in May 2024,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Recursion Master Agreement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Recursion Class A common stock and Class B common stock outstanding on November 3, 2023, or the date immediately preceding the date any shares of Class A common stock are issued pursuant to the Recursion Agreement, whichever is less. We have customary registration rights with respect to any shares of Recursion’s Class A common stock issued pursuant to the Recursion Agreement.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Highline Consulting, LLC</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January 4, 2022, we entered into a Unit Purchase Agreement with Highline, Highline Consulting Parent, LLC, and the unitholders of Highline, or collectively, the Sellers, pursuant to which we acquired all of the issued and outstanding equity interests in Highline, which transaction we refer to as the Highline Acquisition.</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acquired Highline for a purchase price of $35.5 million, subject to customary cash and net working capital adjustments. The contingent payments have been, and will be, recorded pro rata over the two years following the closing within selling, general and administrative expense. In addition, the Sellers are entitled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340"/>
          </w:cols>
          <w:pgMar w:left="320" w:top="448"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receive contingent consideration from us in an aggregate amount of up to $5.0 million, payable in a combination of cash and shares of our Class A common stock, contingent upon certain individual Sellers remaining employed by us as of the first and second anniversary of the closing. In addition, we established a retention bonus pool of RSUs with an aggregate value of $4.0 million to be allocated among Highline employees retained by us. The retention bonus pool will be recorded as compensation expense over the requisite service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“Risk Factors” for more information.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New Products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$83.2 million and $90.3 million during the years ended December 31, 2022 and 2023, respectively, and $20.9 million and $24.3 million during the three months ended March 31, 2023 and 2024, respectively, in research and development. Our ability to develop new products, obtain regulatory approvals when required, launch them into the market, and drive adoption of these products by our customers will continue to play a key role in our results.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grow our business requires both identifying new customers and expanding our partnerships with existing ones across each of our product lines. For Genomics, this entails our field salesforce developing relationships with individual physicians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AI Applications, this entails demonstrating the utility of these algorithms in a clinical setting. Since our inception, our offerings have been used by more than 7,000 physicians and we have worked with over 200 biotech companies, as well as 19 of the 20 largest public pharmaceutical companies based on 2023 revenue, albeit with many we are still at an early stage of adoption. Our financial performance relies heavily on our ability to add customers to our Platform and expand the relationships with our current customers through adoption of our new products.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Technology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$79.1 million and $95.2 million during the years ended December 31, 2022 and 2023, respectively, and $22.9 million and $27.1 million during the three months ended March 31, 2023 and 2024,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340"/>
          </w:cols>
          <w:pgMar w:left="320" w:top="448"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Payer Coverage and Reimbursement</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As of December 31, 2023, we had received payment on approximately 50% of our clinical oncology NGS tests across all payors performed from January 1, 2021 through December 31, 2022. We calculated this metric on a trailing basis based on payor adjudication timing. However, we continued to perform our NGS tests through December 31, 2023. For the years ended December 31, 2019, 2020, 2021, 2022 and 2023, our average reimbursement for NGS tests in oncology was approximately $633, $736, $714, $916 and $1,452, respectively.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 Global Pandemic</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global outbreak of the novel coronavirus in December 2019, or COVID-19, negatively affected our business in 2020 as testing was delayed due to patients delaying visits and our pharmaceutical partners delaying some of their drug development efforts due to office interruptions or paused clinical trial recruitment. In July 2020, we launched our iD test (COVID-19 PCR test) and received the FDA’s emergency use authorization for use in the detection of the COVID-19 and thereafter obtained additional emergency use authorizations for other similar tests, ran some COVID-19 testing as LDTs, and also licensed and used the Saliva Direct assay to perform other COVID-19 testing. This testing generated $22.2 million of revenue for the year ended December 31, 2022 and $2.6 million for the three months ended March 31, 2023.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 Revenue from COVID-19 for the year ended December 31, 2023 and the three months ended March 31, 2024 was $2.7 million and $0 million, respectively, as we stopped offering COVID-19 PCR diagnostic tests in the first quarter of 2023, at which time we shifted resources from COVID-19 testing to other aspects of the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primarily derive our revenue from two product lines: (1) Genomics and (2) Data and services.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Genomics primarily includes revenue from diagnostics, PCR profiling, and other anatomic and molecular pathology testing to healthcare providers, pharmaceutical companies, biotechnology companies, researchers, and other third parties.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Data and services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AI Applications revenue within this line item as it is immaterial.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340"/>
          </w:cols>
          <w:pgMar w:left="320" w:top="448"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incur costs to generate revenue for each of our two primary product lines. Cost of revenues for our Genomics product line is a higher percentage of the Genomics revenue than cost of revenues for Data and services is as a percentage of Data and services revenue. As revenue shifts between these product lines, total cost of revenue as a percentage of revenue will be impacted. Our total cost of revenues will also increase in the quarter in which this offering occurs due to stock-based compensation expenses of approximately $18.0 million related to RSUs for which the service-based vesting condition was satisfied and for which the performance-based vesting condition will be satisfied in connection with this offering.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Cost of revenues for Genomics primarily includes personnel lab expenses, including salaries, bonuses, employee benefits and stock-based compensation expenses (which we refer to as “personnel costs”), and amortization of intangible assets, cost of laboratory supplies and consumables, laboratory rent expense, third-party administration fees associated with COVID-19 testing, depreciation of laboratory equipment and shipping costs. Costs associated with performing our tests are recorded as the tests are processed at the time of report delivery. We expect these costs will increase in absolute dollars as our Genomics revenue continues to grow.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Data and services primarily includes data acquisition and royalty fees, and personnel costs related to delivery of our data services and platform, cloud costs, and certain allocated overhead expenses. Costs associated with performing data product services are recorded as incurred. We expect these costs will increase in absolute dollars as our Data and services revenue continues to grow. We currently report our AI Applications cost of revenue within this line item as it is immaterial.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Our research and development expense will increase in the quarter in which this offering occurs due to stock-based compensation expenses of approximately $44.2 million related to RSUs for which the service-based vesting condition was satisfied and for which the performance-based vesting condition will be satisfied in connection with this offering.</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our technology platform and applications and the research and development of new products that we hope to bring to the market. Technology research and development costs are expensed as incurred. We plan to continue to invest in technology personnel to support our Platform and new algorithm development. We expect that technology research and development expenses will increase in absolute dollars for the foreseeable future as we continue to invest to support these activities. Our technology research and development expense will increase in the quarter in which this offering occurs due to stock-based compensation expenses of approximately $52.6 million related to RSUs for which the service-based vesting condition was satisfied and for which the performance-based vesting condition will be satisfied in connection with this offering.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340"/>
          </w:cols>
          <w:pgMar w:left="320" w:top="448"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w:t>
      </w:r>
    </w:p>
    <w:p>
      <w:pPr>
        <w:spacing w:after="0" w:line="12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Our selling, general and administrative expense will increase in the quarter in which this offering occurs due to stock-based compensation expenses of approximately $364.1 million related to RSUs for which the service-based vesting condition was satisfied and for which the performance-based vesting condition will be satisfied in connection with this offering and we will continue to record stock-based compensation expenses associated with the vesting of RSUs in the quarter in which such vestings occur following this offering.</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expense consists primarily of interest from our Amended Note and Term Loan Facility (each as defined in “Liquidity and Capital Resources” below), and finance leases. Interest expense related to our convertible debt will continue, but should decrease over time as the principal amount decreases.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Other income (expense), net consists of foreign currency exchange gains and losses, gains and losses on marketable equity securities, and any changes in fair value related to our warrant assets and liabilities.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 We hold shares of common stock of Recursion recorded within marketable equity securities. These shares are marked to market each reporting period. We issued a warrant to our customer AstraZeneca in conjunction with the signing of the MSA in November 2021. We have a warrant asset related to a November 2023 Commercialization and Reference Laboratory Agreement with Personalis, Inc. The fair value of the warrant assets and liabilities are measured each reporting period.</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Provision for (benefit from)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Earnings (losses) from equity method investments consist of earnings from our joint venture entered during the third quarter of 2020.</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340"/>
          </w:cols>
          <w:pgMar w:left="320" w:top="448"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4"/>
        </w:trPr>
        <w:tc>
          <w:tcPr>
            <w:tcW w:w="4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04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900" w:type="dxa"/>
            <w:vAlign w:val="bottom"/>
            <w:gridSpan w:val="3"/>
          </w:tcPr>
          <w:p>
            <w:pPr>
              <w:jc w:val="right"/>
              <w:ind w:right="178"/>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780" w:type="dxa"/>
            <w:vAlign w:val="bottom"/>
            <w:gridSpan w:val="2"/>
          </w:tcPr>
          <w:p>
            <w:pPr>
              <w:jc w:val="right"/>
              <w:ind w:right="58"/>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12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197,984</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363,022</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82,058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and services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122,684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33,566</w:t>
            </w:r>
          </w:p>
        </w:tc>
        <w:tc>
          <w:tcPr>
            <w:tcW w:w="94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43,251</w:t>
            </w:r>
          </w:p>
        </w:tc>
        <w:tc>
          <w:tcPr>
            <w:tcW w:w="0" w:type="dxa"/>
            <w:vAlign w:val="bottom"/>
          </w:tcPr>
          <w:p>
            <w:pPr>
              <w:spacing w:after="0"/>
              <w:rPr>
                <w:sz w:val="1"/>
                <w:szCs w:val="1"/>
                <w:color w:val="auto"/>
              </w:rPr>
            </w:pPr>
          </w:p>
        </w:tc>
      </w:tr>
      <w:tr>
        <w:trPr>
          <w:trHeight w:val="221"/>
        </w:trPr>
        <w:tc>
          <w:tcPr>
            <w:tcW w:w="4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net revenue</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115,624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$145,820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150,255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45,280</w:t>
            </w:r>
          </w:p>
        </w:tc>
        <w:tc>
          <w:tcPr>
            <w:tcW w:w="940" w:type="dxa"/>
            <w:vAlign w:val="bottom"/>
            <w:gridSpan w:val="3"/>
          </w:tcPr>
          <w:p>
            <w:pPr>
              <w:jc w:val="right"/>
              <w:ind w:right="38"/>
              <w:spacing w:after="0"/>
              <w:rPr>
                <w:sz w:val="20"/>
                <w:szCs w:val="20"/>
                <w:color w:val="auto"/>
              </w:rPr>
            </w:pPr>
            <w:r>
              <w:rPr>
                <w:rFonts w:ascii="Times New Roman" w:cs="Times New Roman" w:eastAsia="Times New Roman" w:hAnsi="Times New Roman"/>
                <w:sz w:val="18"/>
                <w:szCs w:val="18"/>
                <w:color w:val="auto"/>
              </w:rPr>
              <w:t>52,835</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40,227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56,482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15,288</w:t>
            </w:r>
          </w:p>
        </w:tc>
        <w:tc>
          <w:tcPr>
            <w:tcW w:w="0" w:type="dxa"/>
            <w:vAlign w:val="bottom"/>
          </w:tcPr>
          <w:p>
            <w:pPr>
              <w:spacing w:after="0"/>
              <w:rPr>
                <w:sz w:val="1"/>
                <w:szCs w:val="1"/>
                <w:color w:val="auto"/>
              </w:rPr>
            </w:pPr>
          </w:p>
        </w:tc>
      </w:tr>
      <w:tr>
        <w:trPr>
          <w:trHeight w:val="21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79,093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95,155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22,902</w:t>
            </w:r>
          </w:p>
        </w:tc>
        <w:tc>
          <w:tcPr>
            <w:tcW w:w="940" w:type="dxa"/>
            <w:vAlign w:val="bottom"/>
            <w:gridSpan w:val="3"/>
          </w:tcPr>
          <w:p>
            <w:pPr>
              <w:jc w:val="right"/>
              <w:ind w:right="38"/>
              <w:spacing w:after="0"/>
              <w:rPr>
                <w:sz w:val="20"/>
                <w:szCs w:val="20"/>
                <w:color w:val="auto"/>
              </w:rPr>
            </w:pPr>
            <w:r>
              <w:rPr>
                <w:rFonts w:ascii="Times New Roman" w:cs="Times New Roman" w:eastAsia="Times New Roman" w:hAnsi="Times New Roman"/>
                <w:sz w:val="18"/>
                <w:szCs w:val="18"/>
                <w:color w:val="auto"/>
              </w:rPr>
              <w:t>27,067</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83,158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90,343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20,863</w:t>
            </w:r>
          </w:p>
        </w:tc>
        <w:tc>
          <w:tcPr>
            <w:tcW w:w="94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24,340</w:t>
            </w:r>
          </w:p>
        </w:tc>
        <w:tc>
          <w:tcPr>
            <w:tcW w:w="0" w:type="dxa"/>
            <w:vAlign w:val="bottom"/>
          </w:tcPr>
          <w:p>
            <w:pPr>
              <w:spacing w:after="0"/>
              <w:rPr>
                <w:sz w:val="1"/>
                <w:szCs w:val="1"/>
                <w:color w:val="auto"/>
              </w:rPr>
            </w:pPr>
          </w:p>
        </w:tc>
      </w:tr>
      <w:tr>
        <w:trPr>
          <w:trHeight w:val="21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233,377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69,047</w:t>
            </w:r>
          </w:p>
        </w:tc>
        <w:tc>
          <w:tcPr>
            <w:tcW w:w="940" w:type="dxa"/>
            <w:vAlign w:val="bottom"/>
            <w:gridSpan w:val="3"/>
          </w:tcPr>
          <w:p>
            <w:pPr>
              <w:jc w:val="right"/>
              <w:ind w:right="38"/>
              <w:spacing w:after="0"/>
              <w:rPr>
                <w:sz w:val="20"/>
                <w:szCs w:val="20"/>
                <w:color w:val="auto"/>
              </w:rPr>
            </w:pPr>
            <w:r>
              <w:rPr>
                <w:rFonts w:ascii="Times New Roman" w:cs="Times New Roman" w:eastAsia="Times New Roman" w:hAnsi="Times New Roman"/>
                <w:sz w:val="18"/>
                <w:szCs w:val="18"/>
                <w:color w:val="auto"/>
              </w:rPr>
              <w:t>79,564</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586,110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169,485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(265,442</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(196,083</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(53,861</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(53,274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3,032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(21,894)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(46,869)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(9,191)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(4,846)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21,822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1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(289,150)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(213,529)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(54,240)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 (64,732)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
        </w:trPr>
        <w:tc>
          <w:tcPr>
            <w:tcW w:w="4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(289,811)</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96"/>
              </w:rPr>
              <w:t>(214,118)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7"/>
              </w:rPr>
              <w:t>(54,377)</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(64,743)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2023 and 2024</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Total revenue was $115.6 million for the three months ended March 31, 2023 compared to $145.8 million for the three months ended March 31, 2024, an increase of $30.2 million, or 26.1%. The increase in revenue is due to increased volume of clinical oncology tests performed in Genomics and increased data deliveries in our Data and Services product line.</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Genomics revenue increased $20.5 million, or 25.0%, from $82.1 million for the three months ended March 31, 2023, compared to $102.6 million for the three months ended March 31, 2024. This increase is primarily due to the increase in the number of oncology NGS tests, which increased from approximately 48,400 tests for the three months ended March 31, 2023 to approximately 62,700 tests for the three months ended March 31, 2024.</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Data and services revenue increased $9.7 million, or 28.9%, from $33.6 million for the three months ended March 31, 2023, compared to $43.3 million for the three months ended March 31, 2024. This increase is driven primarily by approximately $1.0 million in clinical trial services revenue, and approximately $8.5 million from</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340"/>
          </w:cols>
          <w:pgMar w:left="320" w:top="448"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increased demand for our Insights products. Across all Data and services products, the increase in revenue for the three months ended March 31, 2024 is primarily attributable to the adoption of our services by a new customer that began services in the fourth quarter of 2023, as well as continued growth from within our existing customer base.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Cost of revenues was $56.7 million for the three months ended March 31, 2023 compared to $68.1 million for the three months ended March 31, 2024, an increase of $11.5 million, or 20.2%. This increase was primarily due to an increase of $5.3 million in personnel costs, $2.7 million of material and service costs, and $1.7 million in cloud expenses.</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Cost of revenues, Genomics was $45.3 million for the three months ended March 31, 2023, compared to $52.8 million for the three months ended March 31, 2024, an increase of $7.6 million, or 16.7%. This increase was primarily due to an increase of $2.7 million in material and service costs and a $3.7 million increase in personnel costs.</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Cost of revenues, Data and services was $11.4 million for the three months ended March 31, 2023 compared to $15.3 million for the three months ended March 31, 2024, an increase of $3.9 million, or 34.2%. This increase was primarily due to an increase of $1.6 million in personnel costs and an increase of $1.2 million in cloud expenses.</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$20.9 million for the three months ended March 31, 2023 compared to $24.3 million for the three months ended March 31, 2024, an increase of $3.5 million, or 16.7%. This increase was primarily due to an increase of $2.3 million in personnel-related costs for employees in our research and development group, as we increased our spend and headcount to support continued investment in our technology.</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were $22.9 million for the three months ended March 31, 2023 compared to $27.1 million for the three months ended March 31, 2024, an increase of $4.2 million, or 18.2%. This increase was primarily due to an increase in personnel-related costs associated with the investment in our cloud infrastructure and new lines of business.</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were $69.0 million for the three months ended March 31, 2023 compared to $79.6 million for the three months ended March 31, 2024, an increase of $10.5 million, or 15.2%. This increase was primarily due to an increase of $3.6 million in personnel-related costs, $1.9 million in software and tools costs, and $3.5 million in cloud storage costs.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income was $2.4 million for the three months ended March 31, 2023 compared to $1.0 million for the three months ended March 31, 2024, a decrease of $1.4 million, or 57.5%. This decrease was primarily due to lower cash on hand as of March 31, 2024 compared to March 31, 2023.</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340"/>
          </w:cols>
          <w:pgMar w:left="320" w:top="448"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expense was $9.2 million for the three months ended March 31, 2023 compared to $13.2 million for the three months ended March 31, 2024, an increase of $4.0 million, or 44.0%. This increase was primarily driven by compounding interest on our Amended Note.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Other income, net was $6.4 million for the three months ended March 31, 2023, compared to other income, net of $0.7 million for the three months ended March 31, 2024, a decrease of $5.6 million, or 88.3%. This decrease was primarily driven by a decrease of $11.9 million in gains related to fair value adjustments related to our warrant liability and warrant asset, offset by an increase of $6.2 million due to gains on marketable equity securities.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entered into a joint venture in September 2020, which had a loss of $0.1 million and $0 million for the three months ended March 31, 2023 and 2024, respectively. For the three months ended March 31, 2024, losses from equity method investments decreased by $0.1 million, or 100%, compared to the three months ended March 31, 2023. Losses from equity method investments consisted of earnings from our joint venture into which we entered during the third quarter of 2020. All losses from the joint venture have thus been exhausted.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2023</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Total revenue was $320.7 million for the year ended December 31, 2022 compared to $531.8 million for the year ended December 31, 2023, an increase of $211.2 million, or 65.8%. Adjusted for the impact of COVID-19 PCR testing, revenue increased $230.6 million, or 77.3%, from $298.5 million for the year ended December 31, 2022, compared to $529.1 million for the year ended December 31, 2023. The increase in revenue is due to increased volume and reimbursement of clinical oncology tests performed in Genomics and increased data deliveries in our Data and Services product line.</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Genomics revenue increased $165.0 million, or 83.4%, from $198.0 million for the year ended December 31, 2022, compared to $363.0 million for the year ended December 31, 2023. Revenue from COVID-19 PCR testing decreased $19.5 million. This decrease was offset by a $184.5 million increase in Genomics revenue primarily due to an increase in the number of oncology NGS tests, which increased from approximately 148,000 tests for the year ended December 31, 2022 to approximately 218,700 tests for the year ended December 31, 2023. 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prior to January 1, 2023. In the year ended December 31, 2023, we experienced greater success than estimated in prior years when appealing initial denials for claims for our services. Also contributing to the increase was revenue recognized as a result from cash collections in excess of revenue recognized in prior years, which resulted in an increase of $7.6 million to Genomics revenue. The increase in Genomics revenue was offset by an increase of $10.0 million in a revenue reserve recorded for risks of future reversal of consideration associated with certain government payors.</w:t>
      </w:r>
    </w:p>
    <w:p>
      <w:pPr>
        <w:spacing w:after="0" w:line="2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Data and services increased $46.1 million, or 37.6%, from $122.7 million for the year ended December 31, 2022, compared to $168.8 million for the year ended December 31, 2023. This increase is driven primarily by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340"/>
          </w:cols>
          <w:pgMar w:left="320" w:top="448"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$14.4 million in clinical trial services revenue, and approximately $29.2 million from increased demand for our Insights products. Across all Data and services products, the increase in revenue in 2023 is primarily attributable to continued growth from within our existing customer base, as well continued adoption of our services by new customers that did not purchase services in 2022.</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was $190.5 million for the year ended December 31, 2022 compared to $245.6 million for the year ended December 31, 2023, an increase of $55.1 million, or 29.0%. Adjusted for the impact of COVID-19 PCR testing, cost of revenue increased $72.7 million, or 42.4%, from $171.5 million for the year ended December 31, 2022, compared to $244.2 million for the year ended December 31, 2023. This increase was primarily due to an increase of $25.1 million in personnel costs, $24.8 million of material and service costs, and $3.7 million in cloud expenses.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Cost of revenues, Genomics was $150.3 million for the year ended December 31, 2022, compared to $189.2 million for the year ended December 31, 2023, an increase of $38.9 million, or 25.9%. Cost of revenues Genomics, adjusted for the impact of COVID-19 PCR testing, was $131.3 million for the year ended December 31, 2022, compared to $187.7 million for the year ended December 31, 2023, an increase of $56.4 million, or 43.0%. This increase was primarily due to an increase of $24.8 million in material and service costs and a $14.6 million increase in personnel costs. Cost of revenues, Genomics has not increased in line with Genomics revenue due to the change in billing for xR tests. Although billable oncology NGS testing volume increased by approximately 122,800, xR tests were being performed and incurring cost in both years. Inclusive of xR, oncology NGS testing volume would have been approximately 148,000 for the year ended December 31, 2022 compared to 218,700 for the year ended December 31, 2023, an increase of approximately 70,700, which more closely aligns to the increase in Cost of revenues, Genomics.</w:t>
      </w:r>
    </w:p>
    <w:p>
      <w:pPr>
        <w:spacing w:after="0" w:line="2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Cost of revenues, Data and services was $40.2 million for the year ended December 31, 2022 compared to $56.5 million for the year ended December 31, 2023, an increase of $16.3 million, or 40.4%. This increase was primarily due to an increase of $10.5 million in personnel costs and an increase of $2.1 million in cloud expenses.</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$83.2 million for the year ended December 31, 2022 compared to $90.3 million for the year ended December 31, 2023, an increase of $7.2 million, or 8.6%. This increase was primarily due to an increase in personnel-related costs for employees in our research and development group, as we increased our spend and headcount to support continued investment in our technology.</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were $79.1 million for the year ended December 31, 2022 compared to $95.2 million for the year ended December 31, 2023, an increase of $16.1 million, or 20.3%. This increase was primarily due to an increase in personnel-related costs associated with the investment in our cloud infrastructure and new lines of business.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340"/>
          </w:cols>
          <w:pgMar w:left="320" w:top="448"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Selling, general and administrative expenses were $233.4 million for the year ended December 31, 2022 compared to $296.8 million for the year ended December 31, 2023, an increase of $63.4 million, or 27.2%. This increase was primarily due to an increase of $19.7 million in personnel-related costs, $12.6 million in software and tools costs, $8.8 million in cloud storage costs, $8.6 million in settlement costs, and $3.5 million due to change in fair value of contingent consideration.</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income was $3.0 million for the year ended December 31, 2022 compared to $7.6 million for the year ended December 31, 2023, an increase of $4.6 million, or 150.7%. This increase was primarily due to the interest rate increases by the U.S. Federal Reserve.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was $21.9 million for the year ended December 31, 2022 compared to $46.9 million for the year ended December 31, 2023, an increase of $25.0 million, or 114.1%. This increase was primarily driven by compounding interest on our Amended Note and the commencement of interest on the Term Loan Facility in September 2022.</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Other (expense) income, net was ($4.8) million for the year ended December 31, 2022, compared to other (expense) income, net of $21.8 million for the year ended December 31, 2023, an increase in income of $26.7 million, or 550.3%. This increase was primarily driven by an increase of $12.1 million in gains related to fair value adjustments related to our warrant liability and warrant asset, and an increase of $9.8 million due to unrealized gains on marketable equity securities.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entered into a joint venture in September 2020, which had a loss of $0.6 million and $0.3 million for the years ended December 31, 2022 and 2023, respectively. For the year ended December 31, 2023, losses from equity method investments decreased by an immaterial amount compared to the year ended December 31, 2023. Losses from equity method investments consist of earnings from our joint venture into which we entered during the third quarter of 2020.</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340"/>
          </w:cols>
          <w:pgMar w:left="320" w:top="448"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 of Operations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following table sets forth our unaudited quarterly consolidated statement of operations data for each of the eight quarters in the period ended March 31, 2024. The information for each of these quarters has been prepared in accordance with GAAP in the United States of America and on the same basis as our audited consolidated financial statements included elsewhere in this prospectus and, in the opinion of management, reflects all adjustments, which include only normal recurring adjustments, necessary for the fair presentation of our results of operations. This data should be read in conjunction with our audited financial statements and related notes included elsewhere in this prospectus. These quarterly operating results are not necessarily indicative of our operating results for the full year or any future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4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6"/>
          </w:tcPr>
          <w:p>
            <w:pPr>
              <w:jc w:val="right"/>
              <w:ind w:right="81"/>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420" w:type="dxa"/>
            <w:vAlign w:val="bottom"/>
          </w:tcPr>
          <w:p>
            <w:pPr>
              <w:spacing w:after="0"/>
              <w:rPr>
                <w:sz w:val="9"/>
                <w:szCs w:val="9"/>
                <w:color w:val="auto"/>
              </w:rPr>
            </w:pPr>
          </w:p>
        </w:tc>
        <w:tc>
          <w:tcPr>
            <w:tcW w:w="680" w:type="dxa"/>
            <w:vAlign w:val="bottom"/>
            <w:gridSpan w:val="2"/>
          </w:tcPr>
          <w:p>
            <w:pPr>
              <w:jc w:val="right"/>
              <w:ind w:right="101"/>
              <w:spacing w:after="0" w:line="105" w:lineRule="exact"/>
              <w:rPr>
                <w:sz w:val="20"/>
                <w:szCs w:val="20"/>
                <w:color w:val="auto"/>
              </w:rPr>
            </w:pPr>
            <w:r>
              <w:rPr>
                <w:rFonts w:ascii="Times New Roman" w:cs="Times New Roman" w:eastAsia="Times New Roman" w:hAnsi="Times New Roman"/>
                <w:sz w:val="12"/>
                <w:szCs w:val="12"/>
                <w:b w:val="1"/>
                <w:bCs w:val="1"/>
                <w:color w:val="auto"/>
              </w:rPr>
              <w:t>June 30,</w:t>
            </w:r>
          </w:p>
        </w:tc>
        <w:tc>
          <w:tcPr>
            <w:tcW w:w="80" w:type="dxa"/>
            <w:vAlign w:val="bottom"/>
          </w:tcPr>
          <w:p>
            <w:pPr>
              <w:spacing w:after="0"/>
              <w:rPr>
                <w:sz w:val="9"/>
                <w:szCs w:val="9"/>
                <w:color w:val="auto"/>
              </w:rPr>
            </w:pPr>
          </w:p>
        </w:tc>
        <w:tc>
          <w:tcPr>
            <w:tcW w:w="880" w:type="dxa"/>
            <w:vAlign w:val="bottom"/>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80" w:type="dxa"/>
            <w:vAlign w:val="bottom"/>
          </w:tcPr>
          <w:p>
            <w:pPr>
              <w:spacing w:after="0"/>
              <w:rPr>
                <w:sz w:val="9"/>
                <w:szCs w:val="9"/>
                <w:color w:val="auto"/>
              </w:rPr>
            </w:pPr>
          </w:p>
        </w:tc>
        <w:tc>
          <w:tcPr>
            <w:tcW w:w="820" w:type="dxa"/>
            <w:vAlign w:val="bottom"/>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Pr>
          <w:p>
            <w:pPr>
              <w:spacing w:after="0"/>
              <w:rPr>
                <w:sz w:val="9"/>
                <w:szCs w:val="9"/>
                <w:color w:val="auto"/>
              </w:rPr>
            </w:pPr>
          </w:p>
        </w:tc>
        <w:tc>
          <w:tcPr>
            <w:tcW w:w="740" w:type="dxa"/>
            <w:vAlign w:val="bottom"/>
            <w:gridSpan w:val="3"/>
          </w:tcPr>
          <w:p>
            <w:pPr>
              <w:jc w:val="right"/>
              <w:ind w:right="81"/>
              <w:spacing w:after="0" w:line="10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1"/>
              <w:spacing w:after="0" w:line="105" w:lineRule="exact"/>
              <w:rPr>
                <w:sz w:val="20"/>
                <w:szCs w:val="20"/>
                <w:color w:val="auto"/>
              </w:rPr>
            </w:pPr>
            <w:r>
              <w:rPr>
                <w:rFonts w:ascii="Times New Roman" w:cs="Times New Roman" w:eastAsia="Times New Roman" w:hAnsi="Times New Roman"/>
                <w:sz w:val="12"/>
                <w:szCs w:val="12"/>
                <w:b w:val="1"/>
                <w:bCs w:val="1"/>
                <w:color w:val="auto"/>
                <w:w w:val="98"/>
              </w:rPr>
              <w:t>June 30,</w:t>
            </w:r>
          </w:p>
        </w:tc>
        <w:tc>
          <w:tcPr>
            <w:tcW w:w="80" w:type="dxa"/>
            <w:vAlign w:val="bottom"/>
          </w:tcPr>
          <w:p>
            <w:pPr>
              <w:spacing w:after="0"/>
              <w:rPr>
                <w:sz w:val="9"/>
                <w:szCs w:val="9"/>
                <w:color w:val="auto"/>
              </w:rPr>
            </w:pPr>
          </w:p>
        </w:tc>
        <w:tc>
          <w:tcPr>
            <w:tcW w:w="880" w:type="dxa"/>
            <w:vAlign w:val="bottom"/>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80" w:type="dxa"/>
            <w:vAlign w:val="bottom"/>
          </w:tcPr>
          <w:p>
            <w:pPr>
              <w:spacing w:after="0"/>
              <w:rPr>
                <w:sz w:val="9"/>
                <w:szCs w:val="9"/>
                <w:color w:val="auto"/>
              </w:rPr>
            </w:pPr>
          </w:p>
        </w:tc>
        <w:tc>
          <w:tcPr>
            <w:tcW w:w="9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720" w:type="dxa"/>
            <w:vAlign w:val="bottom"/>
            <w:gridSpan w:val="2"/>
          </w:tcPr>
          <w:p>
            <w:pPr>
              <w:jc w:val="right"/>
              <w:ind w:right="23"/>
              <w:spacing w:after="0" w:line="10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4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2023</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Net revenue</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420" w:type="dxa"/>
            <w:vAlign w:val="bottom"/>
          </w:tcPr>
          <w:p>
            <w:pPr>
              <w:ind w:left="320"/>
              <w:spacing w:after="0" w:line="197" w:lineRule="exact"/>
              <w:rPr>
                <w:sz w:val="20"/>
                <w:szCs w:val="20"/>
                <w:color w:val="auto"/>
              </w:rPr>
            </w:pPr>
            <w:r>
              <w:rPr>
                <w:rFonts w:ascii="Times New Roman" w:cs="Times New Roman" w:eastAsia="Times New Roman" w:hAnsi="Times New Roman"/>
                <w:sz w:val="15"/>
                <w:szCs w:val="15"/>
                <w:color w:val="auto"/>
              </w:rPr>
              <w:t>Genomics</w:t>
            </w:r>
            <w:r>
              <w:rPr>
                <w:rFonts w:ascii="Times New Roman" w:cs="Times New Roman" w:eastAsia="Times New Roman" w:hAnsi="Times New Roman"/>
                <w:sz w:val="22"/>
                <w:szCs w:val="22"/>
                <w:color w:val="auto"/>
                <w:vertAlign w:val="superscript"/>
              </w:rPr>
              <w:t>1</w:t>
            </w: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w w:val="96"/>
              </w:rPr>
              <w:t>$ 47,421</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54,732</w:t>
            </w:r>
          </w:p>
        </w:tc>
        <w:tc>
          <w:tcPr>
            <w:tcW w:w="12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57,929</w:t>
            </w: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82,058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91,924</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96,815</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92,225</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102,569</w:t>
            </w:r>
          </w:p>
        </w:tc>
        <w:tc>
          <w:tcPr>
            <w:tcW w:w="0" w:type="dxa"/>
            <w:vAlign w:val="bottom"/>
          </w:tcPr>
          <w:p>
            <w:pPr>
              <w:spacing w:after="0"/>
              <w:rPr>
                <w:sz w:val="1"/>
                <w:szCs w:val="1"/>
                <w:color w:val="auto"/>
              </w:rPr>
            </w:pPr>
          </w:p>
        </w:tc>
      </w:tr>
      <w:tr>
        <w:trPr>
          <w:trHeight w:val="197"/>
        </w:trPr>
        <w:tc>
          <w:tcPr>
            <w:tcW w:w="4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Data and services</w:t>
            </w: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26,297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33,566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40,493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39,242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55,499</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43,251</w:t>
            </w:r>
          </w:p>
        </w:tc>
        <w:tc>
          <w:tcPr>
            <w:tcW w:w="0" w:type="dxa"/>
            <w:vAlign w:val="bottom"/>
          </w:tcPr>
          <w:p>
            <w:pPr>
              <w:spacing w:after="0"/>
              <w:rPr>
                <w:sz w:val="1"/>
                <w:szCs w:val="1"/>
                <w:color w:val="auto"/>
              </w:rPr>
            </w:pPr>
          </w:p>
        </w:tc>
      </w:tr>
      <w:tr>
        <w:trPr>
          <w:trHeight w:val="199"/>
        </w:trPr>
        <w:tc>
          <w:tcPr>
            <w:tcW w:w="4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net revenue</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$ 73,718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100,626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115,624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132,417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147,724</w:t>
            </w:r>
          </w:p>
        </w:tc>
        <w:tc>
          <w:tcPr>
            <w:tcW w:w="20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and operating expenses</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20" w:type="dxa"/>
            <w:vAlign w:val="bottom"/>
          </w:tcPr>
          <w:p>
            <w:pPr>
              <w:ind w:left="320"/>
              <w:spacing w:after="0" w:line="197" w:lineRule="exact"/>
              <w:rPr>
                <w:sz w:val="20"/>
                <w:szCs w:val="20"/>
                <w:color w:val="auto"/>
              </w:rPr>
            </w:pPr>
            <w:r>
              <w:rPr>
                <w:rFonts w:ascii="Times New Roman" w:cs="Times New Roman" w:eastAsia="Times New Roman" w:hAnsi="Times New Roman"/>
                <w:sz w:val="15"/>
                <w:szCs w:val="15"/>
                <w:color w:val="auto"/>
              </w:rPr>
              <w:t>Cost of revenues, genomics</w:t>
            </w:r>
            <w:r>
              <w:rPr>
                <w:rFonts w:ascii="Times New Roman" w:cs="Times New Roman" w:eastAsia="Times New Roman" w:hAnsi="Times New Roman"/>
                <w:sz w:val="22"/>
                <w:szCs w:val="22"/>
                <w:color w:val="auto"/>
                <w:vertAlign w:val="superscript"/>
              </w:rPr>
              <w:t>1</w:t>
            </w: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34,266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45,280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46,961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46,540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50,384</w:t>
            </w:r>
          </w:p>
        </w:tc>
        <w:tc>
          <w:tcPr>
            <w:tcW w:w="1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52,835</w:t>
            </w:r>
          </w:p>
        </w:tc>
        <w:tc>
          <w:tcPr>
            <w:tcW w:w="0" w:type="dxa"/>
            <w:vAlign w:val="bottom"/>
          </w:tcPr>
          <w:p>
            <w:pPr>
              <w:spacing w:after="0"/>
              <w:rPr>
                <w:sz w:val="1"/>
                <w:szCs w:val="1"/>
                <w:color w:val="auto"/>
              </w:rPr>
            </w:pPr>
          </w:p>
        </w:tc>
      </w:tr>
      <w:tr>
        <w:trPr>
          <w:trHeight w:val="197"/>
        </w:trPr>
        <w:tc>
          <w:tcPr>
            <w:tcW w:w="4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revenues, data and services</w:t>
            </w: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10,613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11,102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11,393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13,807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15,490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15,792</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15,288</w:t>
            </w:r>
          </w:p>
        </w:tc>
        <w:tc>
          <w:tcPr>
            <w:tcW w:w="0" w:type="dxa"/>
            <w:vAlign w:val="bottom"/>
          </w:tcPr>
          <w:p>
            <w:pPr>
              <w:spacing w:after="0"/>
              <w:rPr>
                <w:sz w:val="1"/>
                <w:szCs w:val="1"/>
                <w:color w:val="auto"/>
              </w:rPr>
            </w:pPr>
          </w:p>
        </w:tc>
      </w:tr>
      <w:tr>
        <w:trPr>
          <w:trHeight w:val="209"/>
        </w:trPr>
        <w:tc>
          <w:tcPr>
            <w:tcW w:w="4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4"/>
              </w:rPr>
              <w:t>$</w:t>
            </w:r>
            <w:r>
              <w:rPr>
                <w:rFonts w:ascii="Times New Roman" w:cs="Times New Roman" w:eastAsia="Times New Roman" w:hAnsi="Times New Roman"/>
                <w:sz w:val="16"/>
                <w:szCs w:val="16"/>
                <w:color w:val="auto"/>
                <w:w w:val="94"/>
              </w:rPr>
              <w:t>(66,557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(63,178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(58,615</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(53,861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(45,138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(52,295</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(53,274)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(73,691)</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(68,545)</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(66,285)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8"/>
              </w:rPr>
              <w:t>(54,377)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(55,832)</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(53,426)</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(50,483)</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(64,743)</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line="230" w:lineRule="exact"/>
              <w:rPr>
                <w:sz w:val="20"/>
                <w:szCs w:val="20"/>
                <w:color w:val="auto"/>
              </w:rPr>
            </w:pP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6"/>
                <w:szCs w:val="16"/>
                <w:b w:val="1"/>
                <w:bCs w:val="1"/>
                <w:color w:val="auto"/>
              </w:rPr>
              <w:t>Revenue and cost of revenue from COVID-19 testing</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Genomics</w:t>
            </w: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2,638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6"/>
        </w:trPr>
        <w:tc>
          <w:tcPr>
            <w:tcW w:w="4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revenue, genomics</w:t>
            </w: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3,962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1,352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20" w:hanging="215"/>
        <w:spacing w:after="0" w:line="267" w:lineRule="auto"/>
        <w:tabs>
          <w:tab w:leader="none" w:pos="2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change in estimate, $3.1 million of Genomics revenue reflected in the three months ended September 30, 2022 was reclassified to the three months ended June 30, 2022.</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Revenue Trends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from COVID-19 testing has impacted the Genomics revenue line as illustrated in the table above.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Beginning in the second quarter of 2022, we experienced a significant uptick in reimbursement rates from Medicare, which contributed to increased Genomics revenue relative to Cost of revenue, Genomics during the second half of the year.</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which has increased Genomics revenue relative to Cost of revenue, Genomics in 2023.</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Costs and Operating Expense Trends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Costs associated with COVID-19 testing has impacted the Cost of revenues, genomics line as illustrated in the table above.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340"/>
          </w:cols>
          <w:pgMar w:left="320" w:top="448"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data and services has decreased relative to the increase in Data and services revenue due to continued growth of Insights products, which have a higher margin of approximately 76%, compared to Trials products, which had a margin of approximately 42%, for the year ended December 31, 2023. Insights products had a margin of approximately 73%, compared to Trials products, which had a margin of approximately 42% for the three months ended March 31, 2024.</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supplement our consolidated financial statements prepared and presented in accordance with accounting principles generally accepted in the United States of America, or GAAP, we use adjusted EBITDA, as described below, to facilitate analysis of our financial and business trends and for internal planning and forecasting purposes.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EBITDA is defined as earnings before interest, taxes, depreciation and amortization. We define adjusted EBITDA as net income (loss), adjusted to exclude</w:t>
      </w:r>
    </w:p>
    <w:p>
      <w:pPr>
        <w:spacing w:after="0" w:line="44" w:lineRule="exact"/>
        <w:rPr>
          <w:sz w:val="20"/>
          <w:szCs w:val="20"/>
          <w:color w:val="auto"/>
        </w:rPr>
      </w:pPr>
    </w:p>
    <w:p>
      <w:pPr>
        <w:jc w:val="both"/>
        <w:ind w:firstLine="5"/>
        <w:spacing w:after="0" w:line="243" w:lineRule="auto"/>
        <w:tabs>
          <w:tab w:leader="none" w:pos="24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(ii) interest expense, (iii) depreciation and amortization, (iv) provision for (benefit from) income taxes, (v) losses on equity method investments, (vi) change in fair value of warrant liabilities, contingent consideration and warrant asset, (vii) acquisition-related expenses and (viii) non-capitalizable expenses related to the public listing of our Class A common stock and the settlement of certain historical and potential future disputes. We use adjusted EBITDA in conjunction with net income or loss, its corresponding GAAP measure, as a performance measure to assess our operating performance and operating leverage in our business. The above items are excluded from our adjusted EBITDA measure because these items are non-cash in nature, or because the amount and timing of these items is unpredictable, or they are not driven by core results of operations, thereby rendering comparisons with prior periods and competitors less meaningful. We believe adjusted EBITDA provides useful information to investors and others in understanding and evaluating our results of operations, as well as provides a useful measure for period-to-period comparisons of our business performance. Moreover, we have included adjusted EBITDA in this prospectus because it is a key measurement used by our management internally to make operating decisions, including those related to analyzing operating expenses, evaluating performance, and performing strategic planning and annual budgeting.</w:t>
      </w:r>
    </w:p>
    <w:p>
      <w:pPr>
        <w:spacing w:after="0" w:line="197"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Adjusted EBITDA has limitations as a financial measure, should be considered as supplemental in nature, and is not meant as a substitute for, or superior to, the related financial information prepared in accordance with GAAP. Some of these limitations are that adjusted EBITDA:</w:t>
      </w:r>
    </w:p>
    <w:p>
      <w:pPr>
        <w:spacing w:after="0" w:line="78" w:lineRule="exact"/>
        <w:rPr>
          <w:sz w:val="20"/>
          <w:szCs w:val="20"/>
          <w:color w:val="auto"/>
        </w:rPr>
      </w:pPr>
    </w:p>
    <w:p>
      <w:pPr>
        <w:ind w:left="1000" w:hanging="549"/>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interest income which increases cash available to us;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and amortization expense, and although these are non-cash expenses, the assets being depreciated may have to be replaced in the future, increasing our cash requirements;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provision for or benefit from income taxes that reduces cash available to us;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change in fair value of warrant liabilities, contingent consideration and warrant asset.</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Because of these limitations, we consider, and you should consider, adjusted EBITDA alongside other financial performance measures, including net loss and our other GAAP results. A reconciliation of our adjusted EBITDA to net loss, the most directly comparable financial measure stated in accordance with GAAP, is provided below. Investors are encouraged to review the related GAAP financial measures and the reconciliation of the non-GAAP financial measure to their most directly comparable GAAP financial measure.</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summarizes our adjusted EBITDA, along with net loss, the most directly comparable GAAP measure, for each period presented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2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March 31,</w:t>
            </w:r>
          </w:p>
        </w:tc>
      </w:tr>
      <w:tr>
        <w:trPr>
          <w:trHeight w:val="169"/>
        </w:trPr>
        <w:tc>
          <w:tcPr>
            <w:tcW w:w="2420" w:type="dxa"/>
            <w:vAlign w:val="bottom"/>
          </w:tcPr>
          <w:p>
            <w:pPr>
              <w:spacing w:after="0"/>
              <w:rPr>
                <w:sz w:val="14"/>
                <w:szCs w:val="14"/>
                <w:color w:val="auto"/>
              </w:rPr>
            </w:pP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r>
      <w:tr>
        <w:trPr>
          <w:trHeight w:val="138"/>
        </w:trPr>
        <w:tc>
          <w:tcPr>
            <w:tcW w:w="242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Net loss</w:t>
            </w:r>
          </w:p>
        </w:tc>
        <w:tc>
          <w:tcPr>
            <w:tcW w:w="12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1"/>
              </w:rPr>
              <w:t>$(73,691)</w:t>
            </w:r>
          </w:p>
        </w:tc>
        <w:tc>
          <w:tcPr>
            <w:tcW w:w="2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(68,545)</w:t>
            </w:r>
          </w:p>
        </w:tc>
        <w:tc>
          <w:tcPr>
            <w:tcW w:w="2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(66,285)</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6"/>
              </w:rPr>
              <w:t>$  (54,377)</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87"/>
              </w:rPr>
              <w:t>$(55,832)</w:t>
            </w:r>
          </w:p>
        </w:tc>
        <w:tc>
          <w:tcPr>
            <w:tcW w:w="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(53,426)</w:t>
            </w: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(50,483)</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6"/>
              </w:rPr>
              <w:t>$  (64,743)</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Adjustments:</w:t>
            </w: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42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Interest income</w:t>
            </w:r>
          </w:p>
        </w:tc>
        <w:tc>
          <w:tcPr>
            <w:tcW w:w="2020" w:type="dxa"/>
            <w:vAlign w:val="bottom"/>
            <w:gridSpan w:val="3"/>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(147)</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(668)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(2,143)</w:t>
            </w:r>
          </w:p>
        </w:tc>
        <w:tc>
          <w:tcPr>
            <w:tcW w:w="92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(2,424)</w:t>
            </w:r>
          </w:p>
        </w:tc>
        <w:tc>
          <w:tcPr>
            <w:tcW w:w="920" w:type="dxa"/>
            <w:vAlign w:val="bottom"/>
            <w:gridSpan w:val="3"/>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(1,957)</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(1,483)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(1,737)</w:t>
            </w:r>
          </w:p>
        </w:tc>
        <w:tc>
          <w:tcPr>
            <w:tcW w:w="820" w:type="dxa"/>
            <w:vAlign w:val="bottom"/>
            <w:gridSpan w:val="3"/>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(1,031)</w:t>
            </w:r>
          </w:p>
        </w:tc>
      </w:tr>
      <w:tr>
        <w:trPr>
          <w:trHeight w:val="144"/>
        </w:trPr>
        <w:tc>
          <w:tcPr>
            <w:tcW w:w="242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Interest expense</w:t>
            </w:r>
          </w:p>
        </w:tc>
        <w:tc>
          <w:tcPr>
            <w:tcW w:w="2020" w:type="dxa"/>
            <w:vAlign w:val="bottom"/>
            <w:gridSpan w:val="3"/>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3,855</w:t>
            </w: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4,526</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9,223</w:t>
            </w:r>
          </w:p>
        </w:tc>
        <w:tc>
          <w:tcPr>
            <w:tcW w:w="920" w:type="dxa"/>
            <w:vAlign w:val="bottom"/>
            <w:gridSpan w:val="3"/>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9,191</w:t>
            </w:r>
          </w:p>
        </w:tc>
        <w:tc>
          <w:tcPr>
            <w:tcW w:w="920" w:type="dxa"/>
            <w:vAlign w:val="bottom"/>
            <w:gridSpan w:val="3"/>
          </w:tcPr>
          <w:p>
            <w:pPr>
              <w:jc w:val="right"/>
              <w:ind w:right="300"/>
              <w:spacing w:after="0" w:line="145" w:lineRule="exact"/>
              <w:rPr>
                <w:sz w:val="20"/>
                <w:szCs w:val="20"/>
                <w:color w:val="auto"/>
              </w:rPr>
            </w:pPr>
            <w:r>
              <w:rPr>
                <w:rFonts w:ascii="Times New Roman" w:cs="Times New Roman" w:eastAsia="Times New Roman" w:hAnsi="Times New Roman"/>
                <w:sz w:val="14"/>
                <w:szCs w:val="14"/>
                <w:color w:val="auto"/>
              </w:rPr>
              <w:t>11,712</w:t>
            </w:r>
          </w:p>
        </w:tc>
        <w:tc>
          <w:tcPr>
            <w:tcW w:w="180" w:type="dxa"/>
            <w:vAlign w:val="bottom"/>
          </w:tcPr>
          <w:p>
            <w:pPr>
              <w:spacing w:after="0"/>
              <w:rPr>
                <w:sz w:val="12"/>
                <w:szCs w:val="12"/>
                <w:color w:val="auto"/>
              </w:rPr>
            </w:pPr>
          </w:p>
        </w:tc>
        <w:tc>
          <w:tcPr>
            <w:tcW w:w="960" w:type="dxa"/>
            <w:vAlign w:val="bottom"/>
            <w:gridSpan w:val="2"/>
          </w:tcPr>
          <w:p>
            <w:pPr>
              <w:jc w:val="right"/>
              <w:ind w:right="300"/>
              <w:spacing w:after="0" w:line="145" w:lineRule="exact"/>
              <w:rPr>
                <w:sz w:val="20"/>
                <w:szCs w:val="20"/>
                <w:color w:val="auto"/>
              </w:rPr>
            </w:pPr>
            <w:r>
              <w:rPr>
                <w:rFonts w:ascii="Times New Roman" w:cs="Times New Roman" w:eastAsia="Times New Roman" w:hAnsi="Times New Roman"/>
                <w:sz w:val="14"/>
                <w:szCs w:val="14"/>
                <w:color w:val="auto"/>
              </w:rPr>
              <w:t>12,342</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13,624</w:t>
            </w:r>
          </w:p>
        </w:tc>
        <w:tc>
          <w:tcPr>
            <w:tcW w:w="82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13,238</w:t>
            </w:r>
          </w:p>
        </w:tc>
      </w:tr>
      <w:tr>
        <w:trPr>
          <w:trHeight w:val="144"/>
        </w:trPr>
        <w:tc>
          <w:tcPr>
            <w:tcW w:w="242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Depreciation</w:t>
            </w:r>
          </w:p>
        </w:tc>
        <w:tc>
          <w:tcPr>
            <w:tcW w:w="2020" w:type="dxa"/>
            <w:vAlign w:val="bottom"/>
            <w:gridSpan w:val="3"/>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3,891</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4,526</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4,780</w:t>
            </w:r>
          </w:p>
        </w:tc>
        <w:tc>
          <w:tcPr>
            <w:tcW w:w="920" w:type="dxa"/>
            <w:vAlign w:val="bottom"/>
            <w:gridSpan w:val="3"/>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5,060</w:t>
            </w:r>
          </w:p>
        </w:tc>
        <w:tc>
          <w:tcPr>
            <w:tcW w:w="920" w:type="dxa"/>
            <w:vAlign w:val="bottom"/>
            <w:gridSpan w:val="3"/>
            <w:shd w:val="clear" w:color="auto" w:fill="CCEEFF"/>
          </w:tcPr>
          <w:p>
            <w:pPr>
              <w:jc w:val="right"/>
              <w:ind w:right="300"/>
              <w:spacing w:after="0" w:line="145" w:lineRule="exact"/>
              <w:rPr>
                <w:sz w:val="20"/>
                <w:szCs w:val="20"/>
                <w:color w:val="auto"/>
              </w:rPr>
            </w:pPr>
            <w:r>
              <w:rPr>
                <w:rFonts w:ascii="Times New Roman" w:cs="Times New Roman" w:eastAsia="Times New Roman" w:hAnsi="Times New Roman"/>
                <w:sz w:val="14"/>
                <w:szCs w:val="14"/>
                <w:color w:val="auto"/>
              </w:rPr>
              <w:t>5,194</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5" w:lineRule="exact"/>
              <w:rPr>
                <w:sz w:val="20"/>
                <w:szCs w:val="20"/>
                <w:color w:val="auto"/>
              </w:rPr>
            </w:pPr>
            <w:r>
              <w:rPr>
                <w:rFonts w:ascii="Times New Roman" w:cs="Times New Roman" w:eastAsia="Times New Roman" w:hAnsi="Times New Roman"/>
                <w:sz w:val="14"/>
                <w:szCs w:val="14"/>
                <w:color w:val="auto"/>
              </w:rPr>
              <w:t>5,404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5,621</w:t>
            </w:r>
          </w:p>
        </w:tc>
        <w:tc>
          <w:tcPr>
            <w:tcW w:w="820" w:type="dxa"/>
            <w:vAlign w:val="bottom"/>
            <w:gridSpan w:val="3"/>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6,269</w:t>
            </w:r>
          </w:p>
        </w:tc>
      </w:tr>
      <w:tr>
        <w:trPr>
          <w:trHeight w:val="183"/>
        </w:trPr>
        <w:tc>
          <w:tcPr>
            <w:tcW w:w="2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w:t>
            </w:r>
          </w:p>
        </w:tc>
        <w:tc>
          <w:tcPr>
            <w:tcW w:w="20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3,249</w:t>
            </w:r>
          </w:p>
        </w:tc>
        <w:tc>
          <w:tcPr>
            <w:tcW w:w="18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3,457</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3,469</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2,888</w:t>
            </w: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3,043</w:t>
            </w:r>
          </w:p>
        </w:tc>
        <w:tc>
          <w:tcPr>
            <w:tcW w:w="18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2,920</w:t>
            </w:r>
          </w:p>
        </w:tc>
        <w:tc>
          <w:tcPr>
            <w:tcW w:w="16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2,919</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2,920</w:t>
            </w: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340"/>
          </w:cols>
          <w:pgMar w:left="320" w:top="448"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tcBorders>
              <w:top w:val="single" w:sz="8" w:color="CCEEFF"/>
            </w:tcBorders>
            <w:shd w:val="clear" w:color="auto" w:fill="CCEEFF"/>
          </w:tcPr>
          <w:p>
            <w:pPr>
              <w:ind w:left="260"/>
              <w:spacing w:after="0" w:line="138" w:lineRule="exact"/>
              <w:rPr>
                <w:sz w:val="20"/>
                <w:szCs w:val="20"/>
                <w:color w:val="auto"/>
              </w:rPr>
            </w:pPr>
            <w:r>
              <w:rPr>
                <w:rFonts w:ascii="Times New Roman" w:cs="Times New Roman" w:eastAsia="Times New Roman" w:hAnsi="Times New Roman"/>
                <w:sz w:val="14"/>
                <w:szCs w:val="14"/>
                <w:color w:val="auto"/>
              </w:rPr>
              <w:t>Provision for income taxes</w:t>
            </w:r>
          </w:p>
        </w:tc>
        <w:tc>
          <w:tcPr>
            <w:tcW w:w="3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300"/>
              <w:spacing w:after="0" w:line="138"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460"/>
              <w:spacing w:after="0" w:line="138"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66</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3</w:t>
            </w:r>
          </w:p>
        </w:tc>
        <w:tc>
          <w:tcPr>
            <w:tcW w:w="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520"/>
              <w:spacing w:after="0" w:line="138" w:lineRule="exact"/>
              <w:rPr>
                <w:sz w:val="20"/>
                <w:szCs w:val="20"/>
                <w:color w:val="auto"/>
              </w:rPr>
            </w:pPr>
            <w:r>
              <w:rPr>
                <w:rFonts w:ascii="Times New Roman" w:cs="Times New Roman" w:eastAsia="Times New Roman" w:hAnsi="Times New Roman"/>
                <w:sz w:val="14"/>
                <w:szCs w:val="14"/>
                <w:color w:val="auto"/>
                <w:w w:val="85"/>
              </w:rPr>
              <w:t>65</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214</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Losses on equity method investments</w:t>
            </w:r>
          </w:p>
        </w:tc>
        <w:tc>
          <w:tcPr>
            <w:tcW w:w="840" w:type="dxa"/>
            <w:vAlign w:val="bottom"/>
            <w:gridSpan w:val="2"/>
          </w:tcPr>
          <w:p>
            <w:pPr>
              <w:ind w:left="620"/>
              <w:spacing w:after="0" w:line="145" w:lineRule="exact"/>
              <w:rPr>
                <w:sz w:val="20"/>
                <w:szCs w:val="20"/>
                <w:color w:val="auto"/>
              </w:rPr>
            </w:pPr>
            <w:r>
              <w:rPr>
                <w:rFonts w:ascii="Times New Roman" w:cs="Times New Roman" w:eastAsia="Times New Roman" w:hAnsi="Times New Roman"/>
                <w:sz w:val="14"/>
                <w:szCs w:val="14"/>
                <w:color w:val="auto"/>
                <w:w w:val="95"/>
              </w:rPr>
              <w:t>165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131</w:t>
            </w:r>
          </w:p>
        </w:tc>
        <w:tc>
          <w:tcPr>
            <w:tcW w:w="740" w:type="dxa"/>
            <w:vAlign w:val="bottom"/>
            <w:gridSpan w:val="2"/>
          </w:tcPr>
          <w:p>
            <w:pPr>
              <w:ind w:left="540"/>
              <w:spacing w:after="0" w:line="145" w:lineRule="exact"/>
              <w:rPr>
                <w:sz w:val="20"/>
                <w:szCs w:val="20"/>
                <w:color w:val="auto"/>
              </w:rPr>
            </w:pPr>
            <w:r>
              <w:rPr>
                <w:rFonts w:ascii="Times New Roman" w:cs="Times New Roman" w:eastAsia="Times New Roman" w:hAnsi="Times New Roman"/>
                <w:sz w:val="14"/>
                <w:szCs w:val="14"/>
                <w:color w:val="auto"/>
                <w:w w:val="85"/>
              </w:rPr>
              <w:t>131</w:t>
            </w:r>
          </w:p>
        </w:tc>
        <w:tc>
          <w:tcPr>
            <w:tcW w:w="180" w:type="dxa"/>
            <w:vAlign w:val="bottom"/>
          </w:tcPr>
          <w:p>
            <w:pPr>
              <w:spacing w:after="0"/>
              <w:rPr>
                <w:sz w:val="12"/>
                <w:szCs w:val="12"/>
                <w:color w:val="auto"/>
              </w:rPr>
            </w:pPr>
          </w:p>
        </w:tc>
        <w:tc>
          <w:tcPr>
            <w:tcW w:w="62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w w:val="85"/>
              </w:rPr>
              <w:t>170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000" w:type="dxa"/>
            <w:vAlign w:val="bottom"/>
            <w:gridSpan w:val="3"/>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3,200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1,200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500</w:t>
            </w:r>
          </w:p>
        </w:tc>
        <w:tc>
          <w:tcPr>
            <w:tcW w:w="92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(6,400)</w:t>
            </w:r>
          </w:p>
        </w:tc>
        <w:tc>
          <w:tcPr>
            <w:tcW w:w="62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w w:val="85"/>
              </w:rPr>
              <w:t>700</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(2,300)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3"/>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Gain on marketable equity securities</w:t>
            </w:r>
          </w:p>
        </w:tc>
        <w:tc>
          <w:tcPr>
            <w:tcW w:w="320" w:type="dxa"/>
            <w:vAlign w:val="bottom"/>
          </w:tcPr>
          <w:p>
            <w:pPr>
              <w:spacing w:after="0"/>
              <w:rPr>
                <w:sz w:val="12"/>
                <w:szCs w:val="12"/>
                <w:color w:val="auto"/>
              </w:rPr>
            </w:pPr>
          </w:p>
        </w:tc>
        <w:tc>
          <w:tcPr>
            <w:tcW w:w="68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84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(9,807)</w:t>
            </w:r>
          </w:p>
        </w:tc>
        <w:tc>
          <w:tcPr>
            <w:tcW w:w="820" w:type="dxa"/>
            <w:vAlign w:val="bottom"/>
            <w:gridSpan w:val="3"/>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(6,246)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100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(1,612)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180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(400)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3"/>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Change in fair value of warrant asset</w:t>
            </w:r>
          </w:p>
        </w:tc>
        <w:tc>
          <w:tcPr>
            <w:tcW w:w="320" w:type="dxa"/>
            <w:vAlign w:val="bottom"/>
          </w:tcPr>
          <w:p>
            <w:pPr>
              <w:spacing w:after="0"/>
              <w:rPr>
                <w:sz w:val="12"/>
                <w:szCs w:val="12"/>
                <w:color w:val="auto"/>
              </w:rPr>
            </w:pPr>
          </w:p>
        </w:tc>
        <w:tc>
          <w:tcPr>
            <w:tcW w:w="68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84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(4,100)</w:t>
            </w:r>
          </w:p>
        </w:tc>
        <w:tc>
          <w:tcPr>
            <w:tcW w:w="82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4,700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Settlement costs</w:t>
            </w:r>
            <w:r>
              <w:rPr>
                <w:rFonts w:ascii="Times New Roman" w:cs="Times New Roman" w:eastAsia="Times New Roman" w:hAnsi="Times New Roman"/>
                <w:sz w:val="10"/>
                <w:szCs w:val="10"/>
                <w:color w:val="auto"/>
              </w:rPr>
              <w:t>(1)</w:t>
            </w:r>
          </w:p>
        </w:tc>
        <w:tc>
          <w:tcPr>
            <w:tcW w:w="3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8,625</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Acquisition related expenses</w:t>
            </w:r>
            <w:r>
              <w:rPr>
                <w:rFonts w:ascii="Times New Roman" w:cs="Times New Roman" w:eastAsia="Times New Roman" w:hAnsi="Times New Roman"/>
                <w:sz w:val="10"/>
                <w:szCs w:val="10"/>
                <w:color w:val="auto"/>
              </w:rPr>
              <w:t>(2)</w:t>
            </w:r>
          </w:p>
        </w:tc>
        <w:tc>
          <w:tcPr>
            <w:tcW w:w="320" w:type="dxa"/>
            <w:vAlign w:val="bottom"/>
          </w:tcPr>
          <w:p>
            <w:pPr>
              <w:spacing w:after="0"/>
              <w:rPr>
                <w:sz w:val="12"/>
                <w:szCs w:val="12"/>
                <w:color w:val="auto"/>
              </w:rPr>
            </w:pPr>
          </w:p>
        </w:tc>
        <w:tc>
          <w:tcPr>
            <w:tcW w:w="5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w w:val="95"/>
              </w:rPr>
              <w:t>475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ind w:left="42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w w:val="85"/>
              </w:rPr>
              <w:t>672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Adjusted EBITDA (non-GAAP)</w:t>
            </w:r>
          </w:p>
        </w:tc>
        <w:tc>
          <w:tcPr>
            <w:tcW w:w="3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(61,090)</w:t>
            </w:r>
          </w:p>
        </w:tc>
        <w:tc>
          <w:tcPr>
            <w:tcW w:w="30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(54,930)</w:t>
            </w:r>
          </w:p>
        </w:tc>
        <w:tc>
          <w:tcPr>
            <w:tcW w:w="30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(50,079)</w:t>
            </w:r>
          </w:p>
        </w:tc>
        <w:tc>
          <w:tcPr>
            <w:tcW w:w="92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  (45,925)</w:t>
            </w:r>
          </w:p>
        </w:tc>
        <w:tc>
          <w:tcPr>
            <w:tcW w:w="920" w:type="dxa"/>
            <w:vAlign w:val="bottom"/>
            <w:gridSpan w:val="3"/>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(36,967)</w:t>
            </w:r>
          </w:p>
        </w:tc>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(36,206)</w:t>
            </w:r>
          </w:p>
        </w:tc>
        <w:tc>
          <w:tcPr>
            <w:tcW w:w="2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(35,124)</w:t>
            </w:r>
          </w:p>
        </w:tc>
        <w:tc>
          <w:tcPr>
            <w:tcW w:w="820" w:type="dxa"/>
            <w:vAlign w:val="bottom"/>
            <w:gridSpan w:val="3"/>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(43,926)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460" w:hanging="455"/>
        <w:spacing w:after="0"/>
        <w:tabs>
          <w:tab w:leader="none" w:pos="460"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Settlement costs for the year ended December 31, 2023 include $0.2 million paid to settle a 2019 payment dispute and $8.5 million in costs accrued related to potential future settlements.</w:t>
      </w:r>
    </w:p>
    <w:p>
      <w:pPr>
        <w:ind w:left="460" w:hanging="455"/>
        <w:spacing w:after="0" w:line="231" w:lineRule="auto"/>
        <w:tabs>
          <w:tab w:leader="none" w:pos="460"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Acquisition related expenses consist of legal and diligence costs incurred for the acquisitions of Highline and Arterys during the year ended December 31, 2022 and Mpirik and SEngine during the year ended December 31, 2023, as well as fair value impacts of indemnity-related equity for the three months ended March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and as of March 31, 2024, we had an accumulated deficit of $1.5 billion.</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to invest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funded our operations to date principally from the sale of stock, convertible debt, term debt, and sales of our products. As of March 31, 2024, we had cash, cash equivalents and restricted cash of $80.8 million. On January 4, 2022, we funded through cash on hand, the $35.5 million acquisition of Highline Consulting, LLC (which purchase price was subject to customary cash and net working capital adjustments). From April 18 to April 22, 2022, we sold an aggregate of 1,614,114 shares of our Series G-3 convertible preferred stock at a price per share of $57.3069 for an aggregate purchase price of approximately $92.5 million in private placements to accredited investors. In August 2022, the Company entered into the GSK Agreement, under which GSK has committed to spend a minimum of $180 million, of which $70 million was paid upon execution. In October 2023, we sold an aggregate of 785,245 shares of our Series G-4 preferred stock at a price per share of $57.3069, for an aggregate purchase price of approximately $45.0 million in a private placement to accredited investors. In April 2024, we sold an aggregate of 3,489,981 shares of our Series G-5 convertible preferred stock at a price per share of $57.3069, for an aggregate purchase price of approximately $200.0 million in a private placement to an accredited investor.</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Based on our current business plan, we believe our current cash and cash equivalents, marketable equity securities and anticipated cash flows from operations, inclusive of the approximately $200.0 million proceeds from the sale and issuance of our series G-5 convertible preferred stock in April 2024, will be sufficient to meet our anticipated cash requirements for more than twelve months from the date of this prospectus. We plan to raise additional capital to expand our business, to pursue strategic investments, to take advantage of financing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340"/>
          </w:cols>
          <w:pgMar w:left="320" w:top="448"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w:t>
      </w:r>
    </w:p>
    <w:p>
      <w:pPr>
        <w:spacing w:after="0" w:line="12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If our available cash and cash equivalents and anticipated cash flows from operations are insufficient to satisfy our liquidity requirements because of lower demand for our products as a result of lower than currently expected rates of reimbursement from our customers or other risks described elsewhere in this prospectus, we will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G-3 Financing</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On April 18, 2022, we entered into a stock purchase agreement with certain of our existing investors, including Mr. Lefkofsky, pursuant to which we issued and sold 1,614,114 shares of our Series G-3 preferred stock at a price per share of $57.3069, for an aggregate purchase price of approximately $92.5 million, or the Series G-3 Financing. The terms of our Series G-3 preferred stock provide that in the event of an initial public offering of our common stock, occurring after June 30, 2023, each share of Series G-3 preferred stock would be converted into a number of shares of our Class A common stock equal to (i) $57.3069 per share, plus any accrued and unpaid dividends on such share divided by (ii) the lesser of (a) $51.5762 and (b) 85% of the public offering price of $37.00 per share in this offering. As a result, all of the shares of Series G-3 preferred stock will convert into an aggregate of 3,149,351 shares of our Class A common stock in connection with this offering. In addition, in connection with the Series G-3 Financing, we agreed to issue to a stockholder a contingent payment of up to $8.8 million in shares of Class A common stock, which payment may be made in cash or shares of Class A common stock, upon mutual agreement of us and the stockholder.</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G-4 Financing</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October 11, 2023, we entered into a stock purchase agreement with certain investors, pursuant to which we issued and sold 785,245 shares of our Series G-4 preferred stock at a price per share of $57.3069, for an aggregate purchase price of approximately $45.0 million, or the Series G-4 Financing. As part of the Series G-4 Financing, we may sell up to an additional 2,704,736 shares of Series G-4 preferred stock through January 9, 2024. The terms of our Series G-4 preferred stock provide that in the event of an initial public offering of our Class A common stock, each share of Series G-4 preferred stock would be converted into a number of shares of our Class A common stock equal to (i) $57.3069 per share, plus any accrued and unpaid dividends on such share divided by (ii) the lesser of (a) $51.5762 and (b) 85% of the public offering price of $37.00 per share in this offering. As a result, all of the shares of Series G-4 preferred stock will convert into an aggregate of 1,450,278 shares of our Class A common stock in connection with this offering.</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we agreed to pay to each purchaser in the Series G-4 Financing an amount equal to 5% of the per share price for each share of Series G-4 preferred stock purchased by such purchaser, or the G-4 Special Payment, in the event that following this offering, the average of the last trading price on each trading day during the ten day trading period beginning on the first day of trading of our Class A common stock is less than 110% of the price per share of Class A common stock sold in this offering. If applicable, the G-4 Special Payment will be equal to approximately $2.3 million in the aggregate and will be payable in cash to the purchasers within 30 days following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340"/>
          </w:cols>
          <w:pgMar w:left="320" w:top="448"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G-5 Financing</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April 30, 2024, we entered into a stock purchase agreement with an investor affiliated with SoftBank Group Corporation, or SoftBank, pursuant to which we issued and sold 3,489,981 shares of our Series G-5 convertible preferred stock at a price per share of $57.3069, for an aggregate purchase price of approximately $200.0 million. The terms of our Series G-5 convertible preferred stock provide that in the event of an initial public offering of our Class A common stock, each share of Series G-5 convertible preferred stock would be converted into a number of shares of our Class A common stock equal to (i) $57.3069 per share, plus any accrued and unpaid dividends on such share, divided by (ii) the lesser of (a) $51.5762 and (b) 90% of the public offering price of $37.00 per share in this offering. As a result, all of the shares of Series G-5 convertible preferred stock will convert into an aggregate of 6,006,006 shares of our Class A common stock in connection with this offering.</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On September 22, 2022, we entered into a Credit Agreement with Ares Capital Corporation, or Ares, for a senior secured loan, or Term Loan Facility, in the amount of $175 million, less original issue discount of $4.4 million and deferred financing fees of $2.6 million. On April 25, 2023, we entered into an amendment to the Credit Agreement, which increased the aggregate principal amount of the Term Loan Facility by an additional $50 million, less original issue discount of $1.3 million, and increased the interest rate on the Term Loan Facility by 25 basis points. On October 11, 2023, we entered into a second amendment to the Credit Agreement, which increased the aggregate principal amount of the Term Loan Facility by an additional $35 million, less original issue discount of $0.9 million. Terms of the second amendment are consistent with those of the first amendment. Interest on the Term Loan Facility is payable as follows: (i) for any interest period for which we elect to pay interest in cash, the cash interest rate for Base Rate and Term SOFR borrowings will be the Base Rate plus 6.25% and Term SOFR plus 7.25%, respectively, and (ii) for any interest period for which we elect to pay interest in kind, the cash interest rate for Base Rate and Term SOFR borrowings will be the Base Rate plus 4% and Term SOFR plus 5%, respectively, and the paid-in-kind interest rate will be 3.25%. The proceeds of the Term Loan Facility will be used for working capital and general corporate purposes, including to finance growth initiatives and to pay for operating expenses. The Term Loan Facility is due at maturity on September 22, 2027 and is subject to quarterly interest payments. All obligations under the Term Loan Facility are guaranteed by us and secured by substantially all of our assets. We have the right at any time and from time to time to prepay any Term Loan Facility in whole or in part.</w:t>
      </w:r>
    </w:p>
    <w:p>
      <w:pPr>
        <w:spacing w:after="0" w:line="19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Term Loan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We are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2024 and 2025, we are required to generate consolidated revenues of $459.1 million and $594.1 million, respectively. We were in compliance with the covenants of the Credit Agreement as of March 31, 2024.</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340"/>
          </w:cols>
          <w:pgMar w:left="320" w:top="448"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taking into account the aggregate value of the Google Cloud Platform services used by us. We account for the principal reductions as an offset to our cloud and compute spend within selling, general and administrative expense in our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15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20" w:type="dxa"/>
            <w:vAlign w:val="bottom"/>
          </w:tcPr>
          <w:p>
            <w:pPr>
              <w:spacing w:after="0"/>
              <w:rPr>
                <w:sz w:val="13"/>
                <w:szCs w:val="13"/>
                <w:color w:val="auto"/>
              </w:rPr>
            </w:pPr>
          </w:p>
        </w:tc>
        <w:tc>
          <w:tcPr>
            <w:tcW w:w="17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38"/>
        </w:trPr>
        <w:tc>
          <w:tcPr>
            <w:tcW w:w="57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40"/>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8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3"/>
          </w:tcPr>
          <w:p>
            <w:pPr>
              <w:jc w:val="center"/>
              <w:ind w:right="17"/>
              <w:spacing w:after="0" w:line="127"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4"/>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(168,204)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(214,339)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w w:val="94"/>
              </w:rPr>
              <w:t>(66,262)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(101,378)</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(57,939)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(9,095)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16,990</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251,391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117,547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(3,785)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three months ended March 31, 2023 was $66.3 million, which resulted from a net loss of $54.4 million and a net change in our operating assets and liabilities of $25.7 million, offset by non-cash charges of $13.8 million. Non-cash charges primarily consisted of $7.9 million of depreciation and amortization, $7.4 million due to impairment of intangible assets, $1.7 million of non-cash operating lease costs, amortization of the warrant contract asset of $1.7 million, and a decrease in the fair value of the warrant liability of $6.4 million. The net change in our operating assets and liabilities was primarily the result of a $9.7 million increase in accounts receivable and a $3.8 million decrease in deferred revenue.</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three months ended March 31, 2024 was $101.4 million, which resulted from a net loss of $64.7 million and a net change in our operating assets and liabilities of $51.1 million, offset by non-cash charges of $14.5 million. Non-cash charges primarily consisted of $9.2 million of depreciation and amortization, $1.7 million of non-cash operating lease costs, amortization of the warrant contract asset of $1.2 million, $6.2 million due to gain on marketable equity securities, and a decrease in the fair value of the warrant asset of $4.7 million. The net change in our operating assets and liabilities was primarily the result of a $13.6 million increase in accounts receivable and a $16.0 million decrease in deferred revenue.</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2022 was $168.2 million, which resulted from a net loss of $289.8 million, offset by a net change in our operating assets and liabilities of $71.8 million and non-cash charges of $49.8 million. Non-cash charges primarily consisted of $30.0 million of depreciation and amortization, $6.4 million of non-cash operating lease costs, amortization of the warrant asset of $4.7 million, an increase in the fair value of the warrant liability of $4.7 million, and a decrease in the fair value of contingent consideration of $3.7 million. The net change in our operating assets and liabilities was primarily the result of a $67.6 million increase in deferred revenue.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340"/>
          </w:cols>
          <w:pgMar w:left="320" w:top="448"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2023 was $214.3 million, which resulted from a net loss of $214.1 million and a net change in our operating assets and liabilities of $37.8 million, offset by non-cash charges of $37.6 million. Non-cash charges primarily consisted of $33.0 million of depreciation and amortization, $6.8 million of non-cash operating lease costs, $7.4 million due to impairment of intangible assets, amortization of the warrant contract asset of $5.2 million, $9.8 million due to unrealized gains on marketable equity securities, and a decrease in the fair value of the warrant liability of $8.0 million. The net change in our operating assets and liabilities was primarily the result of a $26.4 million decrease in deferred revenue.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2023 was $9.1 million, which resulted from $2.9 million related to the cash paid for business combinations, and purchases of property and equipment of $6.2 million.</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provided by investing activities during the three months ended March 31, 2024 was $17.0 million, which was the result of proceeds from sale of marketable equity securities of $23.1 million, offset by purchases of property and equipment of $6.1 million, which related primarily to the expansion of our Chicago office for additional laboratory space.</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2022 was $57.9 million, which resulted from $35.0 million related to the Highline Acquisition, and purchases of property and equipment of $18.4 million.</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2023 was $40.3 million, which was the result of purchases of property and equipment of $34.6 million, which related primarily to the expansion of the Chicago office for additional lab space, and $5.7 million related to cash paid for business combinations.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financing activities during the three months ended March 31, 2023 was $3.8 million, which was primarily due to a $3.6 million in purchase of treasury stock.</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financing activities during the three months ended March 31, 2024 was $1.4 million, which was primarily due to $0.8 million in payment for an indemnity holdback related to an acquisition and $0.6 million due to payments for deferred offering costs.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2022 was $251.4 million which was primarily due to net proceeds of $170.6 million from the Term Loan Facility with Ares and $92.2 million in net proceeds from the issuance of convertible preferred stock, offset by $5.6 million of dividend payments, $2.9 million in payments for deferred offering costs, and $2.6 million in payments for deferred financing fees.</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2023 was $117.5 million, which was primarily due to net proceeds of $82.9 million from the Term Loan Facility with Ares and $44.9 million in net proceeds from the issuance of convertible preferred stock, offset by $5.6 million of dividend payments and $3.6 million in purchase of treasury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contractual commitments will have an impact on our future liquidity. These commitments include future payments on non-cancellable leases, purchase obligations related to data licenses and cloud computing services, and future payments on our convertible promissory note. Where applicable, we calculate our obligation based on termination fees that can be paid to exit the contract. The data license agreements include committed payments for access to certain data and additional payments contingent on the commercialization of such data.</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340"/>
          </w:cols>
          <w:pgMar w:left="320" w:top="448"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contractually committed future obligations as of December 31, 2023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0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Less than</w:t>
            </w:r>
          </w:p>
        </w:tc>
        <w:tc>
          <w:tcPr>
            <w:tcW w:w="10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More than 5 years</w:t>
            </w: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 obligations</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47,981</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6,774</w:t>
            </w: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16,705</w:t>
            </w: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15,770</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8,732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113,497</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42,080</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67,588</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3,829</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263,587</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263,587</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248,445</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248,445</w:t>
            </w:r>
          </w:p>
        </w:tc>
        <w:tc>
          <w:tcPr>
            <w:tcW w:w="3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673,510</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48,854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332,738</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283,186</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8,732</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Includes $55,321 of interest payable.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have prepared our consolidated financial statements in accordance with generally accepted accounting principles in the United States, or GAAP. Our preparation of these consolidated financial statements requires us to make estimates, assumptions and judgments that affect the reported amounts of assets, liabilities, expenses and related disclosures at the date of the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5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included elsewhere in this prospectus, we believe the following accounting policies to be critical to the judgments and estimates used in the preparation of our financial statements.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derive Genomics revenue from selling lab services to physicians, academic research institutions, and other parties. We also derive Data and services revenue from the commercialization of data generated in the lab through the licensing of de-identified datasets to third parties and from matching patients to clinical trials enrolled in its clinical trial network and related services. The majority of our revenue is generated in North America.</w:t>
      </w:r>
    </w:p>
    <w:p>
      <w:pPr>
        <w:spacing w:after="0" w:line="17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We account for our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commence revenue recognition when control of these products is transferred to customers in an amount that reflects the consideration we expect to be entitled to in exchange for such products. This principle is achieved by applying the following five-step approach: (i) we account for a contract when it has approval and commitment from both parties, (ii) the rights of the parties are identified, (iii) payment terms are identified, (iv) the contract has commercial substance and (v) collectability of consideration is probable. Revenue and any contract assets are not recognized until such time that the required conditions are met.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340"/>
          </w:cols>
          <w:pgMar w:left="320" w:top="448"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For direct bill orders billed to research institutions, pharmaceutical companies, or other third parties, we determine the transaction prices based on established contractual rates with the customer, net of any applicable discounts. Payment is typically due between 30 and 60 days following the date of invoice.</w:t>
      </w:r>
    </w:p>
    <w:p>
      <w:pPr>
        <w:spacing w:after="0" w:line="123"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For clinical orders billed to Medicare, Medicaid, and commercial insurance, we determine the transaction price by reducing the standard charge by the estimated effects of any variable consideration, such as contractual allowance and implicit price concessions. We estimate contractual allowances and implicit price concessions based on historical collections in relation to established rates, as well as known current or anticipated reimbursement trends not reflected in the historical data. Estimates are inclusive of the consideration to which we will be entitled at an amount for which it is probable that a reversal of cumulative consideration will not occur. We monitor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We recognize compensation expense for equity awards based on the grant-date fair value on a straight-line basis over the remaining requisite service period for the award. For those awards with a market condition, we utilize a Monte Carlo simulation model to estimate the fair value of the restricted stock units.</w:t>
      </w:r>
    </w:p>
    <w:p>
      <w:pPr>
        <w:spacing w:after="0" w:line="123"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issue restricted stock units to certain of our employees. The general terms of the restricted stock units require both a service and performance condition to be satisfied prior to vesting. The service condition is satisfied upon the participant’s completion of a required period of continuous service from the vesting start date. The performance condition will be satisfied upon a liquidity event, which would result in recognition of stock-based compensation expense for the quarter in which this offering is consumated. As of March 31, 2024 there was $555.0 million of unrecognized stock-based compensation expense.</w:t>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Prior to this offering our common stock was not publicly traded. As such, we were required to estimate the fair value of our common stock. Our board of directors considered numerous objective and subjective factors to determine the fair value of our common stock as awards were approved, including utilizing third-party valuations to assist with the determination of the estimated fair-market value and common stock price. Given the absence of a public trading market for our common stock, the valuations of common stock were determined in accordance with the guidance provided by the American Institute of Certified Public Accountants Practice Aid, Valuation of Privately-Held-Company Equity Securities Issued as Compensation, and our board of directors exercised reasonable judgment and considered numerous and subjective factors to determine the best estimate of fair value of our common stock, including the following factors:</w:t>
      </w:r>
    </w:p>
    <w:p>
      <w:pPr>
        <w:spacing w:after="0" w:line="68" w:lineRule="exact"/>
        <w:rPr>
          <w:sz w:val="20"/>
          <w:szCs w:val="20"/>
          <w:color w:val="auto"/>
        </w:rPr>
      </w:pPr>
    </w:p>
    <w:p>
      <w:pPr>
        <w:ind w:left="1000" w:hanging="549"/>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performed by independent third-party specialists;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common or preferred stock sold to third-party investors by us and in secondary transactions or repurchased by us in arms-length transactions;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340"/>
          </w:cols>
          <w:pgMar w:left="320" w:top="448"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merger or acquisition of our company given prevailing market conditions;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valuing our common stock, management determined the equity value of our business using various valuation methods including combinations of income and market approaches. The income approach estimates value based on the expectation of future cash flows that a company will generate. These future cash flows were discounted to their present values using a discount rate derived from an analysis of the cost of capital of comparable publicly traded companies in our industry or similar business operations as of each valuation date and adjusted to reflect the risks inherent in our cash flows.</w:t>
      </w:r>
    </w:p>
    <w:p>
      <w:pPr>
        <w:spacing w:after="0" w:line="184"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For each valuation, the equity value determined by the income and market approaches was then allocated to the common stock. We performed this allocation using the option pricing method, or OPM, which treats the securities comprising our capital structure as call options with exercise prices based on the liquidation preferences of our various series of preferred stock and the exercise prices of our options and warrants. Following the formal approval by our board of directors of a plan for our company to pursue an initial public offering, from the second quarter of 2021 through the first quarter of 2022, we used a probability-weighted expected return method, or PWERM, which involves the estimation of multiple future potential outcomes, and estimates of the probability of each potential outcome. From the second quarter of 2022 through the second quarter of 2023, in response to volatile market conditions and the resulting uncertainty around the timing of a liquidity event, we changed our valuation methodology back to an OPM. Beginning in the third quarter of 2023, as a result of improving market conditions, we switched back to a PWERM. The per share value of our common stock is ultimately based upon probability-weighted per share values resulting from the various future scenarios, which include an initial public offering, merger or sale or continued operation as a private company.</w:t>
      </w:r>
    </w:p>
    <w:p>
      <w:pPr>
        <w:spacing w:after="0" w:line="16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affect our valuations as of each valuation date and may have a material impact on the valuation of our common stock.</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valuations after the completion of this offering, management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this offering, we expect to incur approximately $478.9 million of stock-based compensation expense related to RSUs granted through March 31, 2024, for which the service-based vesting condition will be satisfied as of June 14, 2024 and for which the performance-based vesting condition will be satisfied in connection with this offering. In addition, based on RSUs outstanding as of March 31, 2024, we expect to recognize approximately $46.0 million of additional stock-based compensation expense related to these awards during the next twelve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340"/>
          </w:cols>
          <w:pgMar w:left="320" w:top="448" w:right="2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cash equivalents and restricted cash, and our indebtedness. As of March 31, 2024, we had cash, cash equivalents and restricted cash of $80.8 million held primarily in cash deposits and money market funds.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majority of our revenue is generated in the United States. Through March 31, 2024,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March 31, 2024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and, therefore, we will not be subject to the same new or revised accounting standards as other public companies that have not made this election.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to our consolidated financial statements included elsewhere in this prospectus for more information.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340"/>
          </w:cols>
          <w:pgMar w:left="320" w:top="448"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including generative AI, throughout every aspect of diagnostics to enable physicians and researchers to make personalized, data-driven decisions that improve patient care.</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ability to deploy AI in precision medicine at scale has only recently become possible. Advances in cloud computing, imaging technologies, large language models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 based biomarker or a genomic mutation, and do not connect and integrate other forms of relevant clinical data, such as outcomes, or adverse events, or pathology results, which are essential for many clinical decisions.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the United States in oncology, and other areas, including neuropsychiatry, radiology, and cardiology, with aspirations to eventually be in all major disease areas globally.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approximately 450 unique data connections, many of which supply us with complex multimodal data in near real time, across more than 2,000 healthcare institutions that order our products 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340"/>
          </w:cols>
          <w:pgMar w:left="320" w:top="448"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AI Applications product line, which we believe has the ability to transform healthcare.</w:t>
      </w:r>
    </w:p>
    <w:p>
      <w:pPr>
        <w:spacing w:after="0" w:line="186"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 xml:space="preserve">We have developed multiple products—each based on our Platform—that have allowed us to invest in structuring and harmonizing multimodal data, which is a necessary precursor for deploying AI at scale. Our products are organized under three product lines, </w:t>
      </w:r>
      <w:r>
        <w:rPr>
          <w:rFonts w:ascii="Times New Roman" w:cs="Times New Roman" w:eastAsia="Times New Roman" w:hAnsi="Times New Roman"/>
          <w:sz w:val="16"/>
          <w:szCs w:val="16"/>
          <w:i w:val="1"/>
          <w:iCs w:val="1"/>
          <w:color w:val="auto"/>
        </w:rPr>
        <w:t>Genomics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AI Applications or Algos.</w:t>
      </w:r>
      <w:r>
        <w:rPr>
          <w:rFonts w:ascii="Times New Roman" w:cs="Times New Roman" w:eastAsia="Times New Roman" w:hAnsi="Times New Roman"/>
          <w:sz w:val="16"/>
          <w:szCs w:val="16"/>
          <w:color w:val="auto"/>
        </w:rPr>
        <w:t xml:space="preserve"> Each product line is designed to enable and enhance the others, thereby creating network effects in each of the markets in which we operate. Our business model allows pharmaceutical and biotechnology companies to unlock value from the data we collect, and allows us to monetize a de-identified copy of that data, in different ways across our different product lines. We believe these network effects provide a unique advantage to our business as the compounding value of each data record in our database serves to enhance our competitive moat. The more data we collect, the smarter our tests become, the more applications we launch, the more physicians join our network, further growing our database, making our tests more precise for clinicians and our database more valuable for researchers.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131445</wp:posOffset>
            </wp:positionV>
            <wp:extent cx="5052060" cy="2067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52060" cy="206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Genomics</w:t>
      </w:r>
      <w:r>
        <w:rPr>
          <w:rFonts w:ascii="Times New Roman" w:cs="Times New Roman" w:eastAsia="Times New Roman" w:hAnsi="Times New Roman"/>
          <w:sz w:val="18"/>
          <w:szCs w:val="18"/>
          <w:color w:val="auto"/>
        </w:rPr>
        <w:t xml:space="preserve"> product line leverages our laboratories to provide NGS diagnostics, PCR profiling, and other anatomic and molecular pathology testing to healthcare providers, life sciences companies, researchers, and other third parties. However, unlike other laboratory diagnostic testing providers, many of our tests are connected to clinical data in some manner, which allows our suite of tests to be self-learning and become more accurate with each new test that we run. Our </w:t>
      </w:r>
      <w:r>
        <w:rPr>
          <w:rFonts w:ascii="Times New Roman" w:cs="Times New Roman" w:eastAsia="Times New Roman" w:hAnsi="Times New Roman"/>
          <w:sz w:val="18"/>
          <w:szCs w:val="18"/>
          <w:i w:val="1"/>
          <w:iCs w:val="1"/>
          <w:color w:val="auto"/>
        </w:rPr>
        <w:t>Data and Services</w:t>
      </w:r>
      <w:r>
        <w:rPr>
          <w:rFonts w:ascii="Times New Roman" w:cs="Times New Roman" w:eastAsia="Times New Roman" w:hAnsi="Times New Roman"/>
          <w:sz w:val="18"/>
          <w:szCs w:val="18"/>
          <w:color w:val="auto"/>
        </w:rPr>
        <w:t xml:space="preserve"> product line facilitates drug discovery and development for life sciences companies through two primary products, Insights and Trials. Through our Insights product, we license de-identified libraries of linked clinical, molecular, and imaging data and provide a suite of analytic and cloud-and-compute tools to pharmaceutical and biotechnology companies. Our second product within our Data and Services product line, </w:t>
      </w:r>
      <w:r>
        <w:rPr>
          <w:rFonts w:ascii="Times New Roman" w:cs="Times New Roman" w:eastAsia="Times New Roman" w:hAnsi="Times New Roman"/>
          <w:sz w:val="18"/>
          <w:szCs w:val="18"/>
          <w:i w:val="1"/>
          <w:iCs w:val="1"/>
          <w:color w:val="auto"/>
        </w:rPr>
        <w:t>Trials</w:t>
      </w:r>
      <w:r>
        <w:rPr>
          <w:rFonts w:ascii="Times New Roman" w:cs="Times New Roman" w:eastAsia="Times New Roman" w:hAnsi="Times New Roman"/>
          <w:sz w:val="18"/>
          <w:szCs w:val="18"/>
          <w:color w:val="auto"/>
        </w:rPr>
        <w:t xml:space="preserve">, leverages the broad network of physicians we work with in oncology to provide clinical trial support for pharmaceutical companies that are looking to reach hard-to-find and underserved patient populations. Our third product line, </w:t>
      </w:r>
      <w:r>
        <w:rPr>
          <w:rFonts w:ascii="Times New Roman" w:cs="Times New Roman" w:eastAsia="Times New Roman" w:hAnsi="Times New Roman"/>
          <w:sz w:val="18"/>
          <w:szCs w:val="18"/>
          <w:i w:val="1"/>
          <w:iCs w:val="1"/>
          <w:color w:val="auto"/>
        </w:rPr>
        <w:t>AI Applications,</w:t>
      </w:r>
      <w:r>
        <w:rPr>
          <w:rFonts w:ascii="Times New Roman" w:cs="Times New Roman" w:eastAsia="Times New Roman" w:hAnsi="Times New Roman"/>
          <w:sz w:val="18"/>
          <w:szCs w:val="18"/>
          <w:color w:val="auto"/>
        </w:rPr>
        <w:t xml:space="preserve"> is focused on developing and providing diagnostics that are algorithmic in nature, implementing new software as a medical device, and building and deploying clinical decision support tools. The primary product of AI Applications is currently “Next,” an AI platform that leverages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340"/>
          </w:cols>
          <w:pgMar w:left="320" w:top="448"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Limitations of Employing Technology, Data, and AI in Healthcare and Precision Medicine</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Technology has had a significant impact on almost every sector of our global economy. From the way we shop online, access information on the internet, or use GPS to navigate the world. We benefit from, and depend on, technology, data, and the vast computational and connective ecosystem that surrounds us. Yet healthcare has seemingly lagged other industries in embracing the power of technology and leveraging the ensuing computational revolution.</w:t>
      </w:r>
    </w:p>
    <w:p>
      <w:pPr>
        <w:spacing w:after="0" w:line="14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this is changing. Recent technological advancements have facilitated the deployment of modern computational methods, such as AI and machine learning, to improve healthcare. Breakthroughs in cloud computing, imaging technologies, large language models, and low-cost molecular profiling have made it easier and more cost effective to digitize, structure, harmonize, and store healthcare data, and analyze the resulting datasets at an unprecedented rate. These developments are expediting the adoption of AI, which we believe will impact all aspects of healthcare, from clinical diagnostic testing to the discovery and development of therapeutics, to healthcare delivery more broadly.</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the accumulation of healthcare data, we believe the healthcare system still lacks the integrated networks and modern analytical tools necessary to facilitate data-driven care at scale. The vast majority of healthcare data created today remains locked in silos and lacks harmonization due to decentralized institutions using non-standardized methods for collecting data, in addition to a large percentage of the data being in unstructured formats like free text (such as physician progress notes) and non-digitized images (such as pathology slides). Clinical outcomes data, to the extent it even exists, often remains disconnected from diagnostic data, and traditional laboratory tests provide results that are often based only on a single data modality that lack patient context. In addition, clinical and research decisions are too often made based on small sample sizes of historic data.</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which we refer to as the Tempus Platform. We have established data pipes, going to and from providers, which allow for the free exchange of data between physicians, who interpret data, and diagnostic and therapeutic companies, who provide data. Harnessing the power of this data at scale required a Platform that could break down data silos, collect vast amounts of multimodal data, structure and harmonize it, and deploy AI to make it useful for physicians and researchers to make data-driven decisions in the clinic or at the lab bench, thereby advancing precision medicine. Our access to broad and diverse data serves as the basis for our ability to train generative AI models, and we believe our relationships with healthcare institutions provide us with proprietary data to deliver on the promise of AI in healthcare. Without this Platform, we believe the data would continue to pile up at an increasing rate without improving patient care. We have built a version of this Platform and are now deploying it at scale in oncology in the United States, with other disease areas following.</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Importance of Multimodal Healthcare Data</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is enabling the healthcare industry to collect data at an unprecedented scale, yet most datasets continue to be fractured or narrowly focused by disease type or data modality; almost none are comprehensive enough to provide a full picture of the patient and their clinically relevant characteristics. We set out to solve that problem by building a platform that collects broad datasets in near real time and at scale. Our Platform is differentiated in several ways. First, we collect data from multiple diagnostic modalities, including NGS, anatomic pathology slides, radiology images, and other laboratory tests. Second, the data we collect is often connected to EHR data, such as key phenotypic characteristics, therapeutic data, and clinical outcome and response data. Third, our Platform is multi-disease, spanning oncology, neurology, cardiology, and infectious disease. Our Platform is purpose built to deploy AI at scale, using multimodal datasets, across disease areas. We believe these differentiators have the potential to transform healthcare.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340"/>
          </w:cols>
          <w:pgMar w:left="320" w:top="448"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New Industry: Intelligent Diagnostics to Advance Precision Medicine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While AI has the potential to broadly impact healthcare, we believe it will transform diagnostics first. Diagnostics, broadly defined, is the process of determining by examination or assessment the nature and circumstance of disease. Physicians use diagnostics all the time; they order blood tests, biopsies, scans, genomic tests, and others. Physicians rely on diagnostic results to make the vast majority of their treatment decisions. Researchers rely on diagnostic tests to better understand disease and make better decisions throughout their discovery processes.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ability to leverage generative AI on top of large, harmonized, multimodal datasets provides the opportunity to make diagnostic tests more personalized, and therefore more intelligent. Intelligent Diagnostics incorporate an individual patient’s longitudinal phenotypic, morphologic, and molecular data, including outcome data from the patient’s EHR, to give laboratory test results clinical context. In doing so, Intelligent Diagnostics can leverage generative AI to make laboratory tests more accurate, tailored, and personal. The test result itself is designed to be specific to each patient and their own unique patient journey. The result is also informed by our large dataset that enables association of clinical outcomes and therapeutic response for patients who are similar to the patient being treated.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process for making a diagnostic “intelligent” improves upon the process for performing genomic testing, by leveraging technology and data to add clinical context and therapeutic insights. An Intelligent Diagnostic requires the following: (i) perform a laboratory test or ingest results from a laboratory test;</w:t>
      </w:r>
    </w:p>
    <w:p>
      <w:pPr>
        <w:spacing w:after="0" w:line="1" w:lineRule="exact"/>
        <w:rPr>
          <w:sz w:val="20"/>
          <w:szCs w:val="20"/>
          <w:color w:val="auto"/>
        </w:rPr>
      </w:pPr>
    </w:p>
    <w:p>
      <w:pPr>
        <w:jc w:val="both"/>
        <w:ind w:firstLine="5"/>
        <w:spacing w:after="0" w:line="274" w:lineRule="auto"/>
        <w:tabs>
          <w:tab w:leader="none" w:pos="2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test results on a stand-alone basis; (iii) combine the stand-alone results with other forms of relevant clinical data from that patient’s medical records; (iv) contextualize or reconfigure the stand-alone laboratory results to the extent necessary with the insight derived from that patient’s clinical history;</w:t>
      </w:r>
    </w:p>
    <w:p>
      <w:pPr>
        <w:jc w:val="both"/>
        <w:ind w:firstLine="5"/>
        <w:spacing w:after="0" w:line="245" w:lineRule="auto"/>
        <w:tabs>
          <w:tab w:leader="none" w:pos="2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the outcome and response data of patients who are similarly situated to the patient for whom the test was ordered; and (vi) use generative AI to derive analytical and clinically relevant insights and provide those to the physician and patient. See below for an illustration comparing an Intelligent Diagnostic to a standard genomic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147955</wp:posOffset>
            </wp:positionV>
            <wp:extent cx="5052060" cy="31762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52060" cy="317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340"/>
          </w:cols>
          <w:pgMar w:left="320" w:top="448"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believe the adoption and deployment of Intelligent Diagnostics will have a substantial impact on patient care. In oncology, for example, Intelligent Diagnostics have the potential to eventually incorporate insights using data from molecular and anatomic pathology, bioinformatics, genomic variant analysis, inherited cancer risk, computational biology, drug label data, noted adverse events, clinical trial data, research publications, investigational studies, care pathways, real world evidentiary studies, and phenotypic and morphologic data. We already have the ability to incorporate many of these data elements today.</w:t>
      </w:r>
    </w:p>
    <w:p>
      <w:pPr>
        <w:spacing w:after="0" w:line="15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consequence of incorporating multimodal data is to make precision medicine “personalized” as opposed to “targeted.” A targeted diagnostic test might find a specific condition or characteristic of a patient that is relevant to a particular therapy. For example, in cancer, a targeted diagnostic test may identify a genomic biomarker that could inform therapy selection, such as identifying a HER2 amplification that would allow a HER2 inhibitor to be prescribed to a breast cancer patient. The standard test to determine whether a HER2 amplification is present (other than at Tempus) is typically not designed to assess factors such as whether the patient is male or female, old or young, or has diabetes or a heart condition. Nor does the standard test consider the medication the patient has taken or is currently taking, or the adverse events the patient has experienced.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Intelligent Diagnostic test, by contrast, might recommend specific therapies based not just on a singular characteristic, but on the comprehensive profile of the patient who will receive the proposed therapy. For example, an Intelligent Diagnostic might highlight that the breast cancer patient should consider immunotherapy before taking the HER2 inhibitor, or might highlight a series of adverse events the physician should be aware of based on other phenotypic characteristics for that patient, such as if the patient had a heart condition and therefore an elevated risk of a cardiac adverse event from taking the HER2 inhibitor. By linking multimodal data regarding both the disease, such as cancer or diabetes, and the host, our tests can provide a more comprehensive and holistic view of the patient and reconfigure results based in part on the clinical data we collect and the aggregate information in our database.</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Intelligent Diagnostics also have the potential to disrupt the clinical trial process. Today new therapies are typically approved based on randomized clinical trials that apply to broad populations and demonstrate incremental improvements over the existing standard of care. The current process suffers from several inherent flaws. First, clinical trials are generally expensive and slow to complete. Second, if and when therapeutics are approved, they can have less of an impact on the larger population than the trial population, given an inherent bias on who has access to academic medical centers and emerging studies. Third, many new therapies are only effective on a subset of patients that enter clinical trials.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Intelligent Diagnostics, AI, and technology broadly can help solve these problems. We believe our ability to contextualize test results to individual patients, to incorporate real world evidence at scale, to identify patterns across similarly situated patients, will help physicians make better, data-driven decisions—which drug to prescribe, which trial to consider, and so 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set out to build proprietary technology to implement Intelligent Diagnostics and to facilitate access to, and use of, the resulting datasets. The Tempus Platform connects multiple stakeholders within the larger healthcare ecosystem and provides both the technical infrastructure for what we consider to be one of the world’s largest libraries of matched clinical and molecular data, and an operating system to make that information useful. Our Platform is end-to-end and vertically integrated. It allows us to ingest data from providers, perform diagnostic testing upon request, generate results leveraging our multimodal database, and provide clinical context for a specific patient. Below is a graphic illustrating our Platform’s core functionality.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340"/>
          </w:cols>
          <w:pgMar w:left="320" w:top="448" w:right="2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205105</wp:posOffset>
            </wp:positionV>
            <wp:extent cx="4951730" cy="31261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51730" cy="312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believe our AI-enabled Platform can provide unique value whenever two conditions exist: a heterogeneous diseased population and a variety of therapeutics or therapeutic pathways, which are often prescribed based on trial and error. For example, in oncology, there is a diverse population diagnosed with cancer, and each subtype has different characteristics. The combination of unique patient characteristics and different cancer subtypes results in a variety of phenotypic attributes (old, young, male, female, black, white, etc.). In addition, there are hundreds of possible therapeutic paths to consider in cancer (surgery, radiotherapy, chemotherapy, targeted therapy, immunotherapy, etc.). These conditions create an ideal backdrop for the benefits of big data and AI.</w:t>
      </w:r>
    </w:p>
    <w:p>
      <w:pPr>
        <w:spacing w:after="0" w:line="156"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same is true in neuropsychiatry. A heterogeneous population suffers from numerous neurological disorder subtypes, such as depression, anxiety, bipolar disorder, and other psychiatric conditions. Like oncology, there is a diverse patient population and a number of prescribed antidepressants, often based on trial and error. Further, the complexity of oncology, neuropsychiatry, and many other major causes of morbidity necessitate a multimodal data approach, as any single modality (e.g., DNA-only) is unlikely to provide enough information to differentiate meaningful patient subgroups. We believe technology and AI should facilitate data associations and substantially reduce the guesswork associated with which drug to prescribe, in what amount, and in which order.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340"/>
          </w:cols>
          <w:pgMar w:left="320" w:top="448" w:right="2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Facilitated by our relationships with many leading hospitals across the healthcare system in the United States, we believe we are well positioned to introduce precision medicine at scale across multiple disease categories and drive adoption of our Platform and novel AI solutions. We are leveraging our ability to collect, structure and harmonize data, and deploy AI on large datasets to facilitate precision medicine broadly. We initially deployed our Platform in oncology, expanded substantially within oncology, and recently extended into neuropsychiatry, radiology, and cardiology. Below is a timeline of our Platform’s evolution, both within oncology and into different disease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1103630</wp:posOffset>
            </wp:positionH>
            <wp:positionV relativeFrom="paragraph">
              <wp:posOffset>146685</wp:posOffset>
            </wp:positionV>
            <wp:extent cx="5001895" cy="25095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001895" cy="2509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Core Elements of our Platform</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and deliver personalized results that provide clinical context by leveraging our data. We offer closed-loop, full-stack, bi-directional integrations between a clinician’s desktop and our laboratory diagnostic capabilities, analytics platform, and repository of multimodal data. Our scaled, interconnected provider network covers more than 50% of U.S. oncologists and provides us with broad data rights, including the rights to longitudinally updated data from time to time. The combination of our Platform and vast provider network yields a powerful flywheel that continues to become more accurate and precise as more patients are added, thereby compounding the network effects of our offering. We believe each of these elements is difficult for competitors to replicate, and together represent a significant competitive advantage. The following diagram represents the different elements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340"/>
          </w:cols>
          <w:pgMar w:left="320" w:top="448" w:right="2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280035</wp:posOffset>
            </wp:positionV>
            <wp:extent cx="4818380" cy="2834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818380" cy="283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Ingestion and Generation of Data</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ingest healthcare data in near real time and at scale, including molecular, clinical, and imaging data. Between our sequencing and data collection efforts, we are connected in some way to more than 50% of all oncologists practicing in the United States, along with a growing number of patients in neuropsychiatry, cardiology, and infectious disease. Our methods for collecting and creating data include the following:</w:t>
      </w:r>
    </w:p>
    <w:p>
      <w:pPr>
        <w:spacing w:after="0" w:line="178" w:lineRule="exact"/>
        <w:rPr>
          <w:sz w:val="20"/>
          <w:szCs w:val="20"/>
          <w:color w:val="auto"/>
        </w:rPr>
      </w:pPr>
    </w:p>
    <w:p>
      <w:pPr>
        <w:jc w:val="both"/>
        <w:ind w:left="460" w:firstLine="435"/>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Ingesting data through our relationships and partnerships with healthcare providers. </w:t>
      </w:r>
      <w:r>
        <w:rPr>
          <w:rFonts w:ascii="Times New Roman" w:cs="Times New Roman" w:eastAsia="Times New Roman" w:hAnsi="Times New Roman"/>
          <w:sz w:val="18"/>
          <w:szCs w:val="18"/>
          <w:color w:val="auto"/>
        </w:rPr>
        <w:t>We have developed proprietary tools to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450 direct data connections, across more than 2,000 hospitals, many of which are bi-directional. We have established relationships with hundreds of provider networks, including more than 65% of all academic medical centers in the United States. To obtain data from these sources, we use a variety of near real-time connections (e.g., HL7, FHIR) and batch data exchanges. Healthcare institutions supply us with this data in our capacity as a covered entity (for example, when we provide NGS services on behalf of a patient), or as a business associate (for example, when we provide clinical trial matching services or data de-identification and structuring services). We ingest and structure data using optical character recognition, or OCR, natural language processing, or NLP, and proprietary workflow tools along with manual data curation. Our proprietary tools connect to a provider’s EHR system, data warehouse, or third-party data provider to pull out relevant structured and unstructured data that the provider has agreed to provide to Tempus, including longitudinal follow-up data to the extent the provider has made such data available. To facilitate these data-sharing relationships, we have developed software products and services that align to our customers’ interests by helping providers use our software tools to improve patient care. In certain circumstances, we cover the actual direct costs associated with the technical integrations needed to create a data connection. We cover these costs to help facilitate providers’ contribution of data and their corresponding use of our products, which then makes our tests more intelligent and helps them to facilitate the delivery of better care. We generally retain the rights we acquire in de-identified data even if our contractual obligations expire or are terminated.</w:t>
      </w:r>
    </w:p>
    <w:p>
      <w:pPr>
        <w:spacing w:after="0" w:line="193" w:lineRule="exact"/>
        <w:rPr>
          <w:sz w:val="20"/>
          <w:szCs w:val="20"/>
          <w:color w:val="auto"/>
        </w:rPr>
      </w:pPr>
    </w:p>
    <w:p>
      <w:pPr>
        <w:jc w:val="both"/>
        <w:ind w:left="460" w:firstLine="43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Relationships with industry associations. </w:t>
      </w:r>
      <w:r>
        <w:rPr>
          <w:rFonts w:ascii="Times New Roman" w:cs="Times New Roman" w:eastAsia="Times New Roman" w:hAnsi="Times New Roman"/>
          <w:sz w:val="18"/>
          <w:szCs w:val="18"/>
          <w:color w:val="auto"/>
        </w:rPr>
        <w:t>In addition to healthcare providers, we work with numerous industry associations in the United States,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ASCO. Under our collaboration with ASCO, we structure and distribute the oncology data ASCO collects as part of CancerLinq, which is their oncology data effort. We work with other large associations such as ONCare Alliance, LLC (surviving entity after merger of the National Cancer Care Alliance and the Quality Cancer Care Alliance), and have agreements in place with</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340"/>
          </w:cols>
          <w:pgMar w:left="320" w:top="448" w:right="2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460"/>
        <w:spacing w:after="0" w:line="249" w:lineRule="auto"/>
        <w:rPr>
          <w:sz w:val="20"/>
          <w:szCs w:val="20"/>
          <w:color w:val="auto"/>
        </w:rPr>
      </w:pPr>
      <w:r>
        <w:rPr>
          <w:rFonts w:ascii="Times New Roman" w:cs="Times New Roman" w:eastAsia="Times New Roman" w:hAnsi="Times New Roman"/>
          <w:sz w:val="18"/>
          <w:szCs w:val="18"/>
          <w:color w:val="auto"/>
        </w:rPr>
        <w:t>large integrated community practices. While our relationships in oncology are widespread, we are making inroads in other disease areas. For example, we are working with a large hospital network to train algorithmic models based on a de-identified subset of approximately 3.5 million ECGs, across more than 700,000 patients, with decades of longitudinal clinical data, including outcome and response data. We also have agreements with numerous other institutions through both our sequencing and data efforts to collect and structure multimodal infectious disease data, and have entered into a variety of partnerships and collaborations across neuropsychiatry, diabetes, and cardiology giving us access to additional clinical data.</w:t>
      </w:r>
    </w:p>
    <w:p>
      <w:pPr>
        <w:spacing w:after="0" w:line="185" w:lineRule="exact"/>
        <w:rPr>
          <w:sz w:val="20"/>
          <w:szCs w:val="20"/>
          <w:color w:val="auto"/>
        </w:rPr>
      </w:pPr>
    </w:p>
    <w:p>
      <w:pPr>
        <w:jc w:val="both"/>
        <w:ind w:left="460" w:firstLine="43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Laboratory diagnostics. </w:t>
      </w:r>
      <w:r>
        <w:rPr>
          <w:rFonts w:ascii="Times New Roman" w:cs="Times New Roman" w:eastAsia="Times New Roman" w:hAnsi="Times New Roman"/>
          <w:sz w:val="18"/>
          <w:szCs w:val="18"/>
          <w:color w:val="auto"/>
        </w:rPr>
        <w:t>In addition to our dedicated data pipelines, we generate data for our Platform from our three high-throughput diagnostic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labs in Chicago, Atlanta, and Raleigh. Our labs offer a range of anatomical and molecular NGS tests, including a broad portfolio of solid tumor and liquid biopsy cancer tests. Our laboratory offerings enable us to populate our database with connected and comprehensive molecular, clinical, and morphologic data that has been de-identified. We also make available an unrestricted copy of the raw files containing the rich data we generate in the laboratory, along with any clinical data we curate, to the providers who order our tests, to further enable their own research efforts.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ingest and generate a variety of different types of data from different sources. The following represents selected data modalities that we collect and aggregate into our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135890</wp:posOffset>
            </wp:positionV>
            <wp:extent cx="5052060" cy="31845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52060" cy="318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Data Processing</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Once data is ingested, we deploy proprietary clinical data abstraction tools, including natural language processing, optical character recognition, and our abstraction software, to structure, harmonize, and de-identify the data we collect. We have developed various software tools, including algorithmic agents that leverage large language models, to organize millions of records into a common format that spans a variety of data types. For example, we organize clinical data from unstructured documents and structured EHR fields, and typically digitize whole-slide pathology images as part of our clinical workflow. We then combine this data with the molecular data that we generate in our labs or process from third parties, giving us a more comprehensive profile of patients. Unstructured data housed in physician notes and other documents is processed using OCR and NLP, mapped to Tempus’ Medical Ontology, and routed 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340"/>
          </w:cols>
          <w:pgMar w:left="320" w:top="448" w:right="2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data abstractors for further curation and quality control. Typically we receive identified data, either in our capacity as a covered entity under the Health Insurance Portability and Accountability Act, or HIPAA, or to the extent we have a business associate agreement with the provider. Following abstraction and structuring, we de-identify data and only retain the resulting de-identified dataset, other than through our obligations to retain selected identified data as a covered entity providing laboratory tests to clinicians. Many clinicians who order Tempus tests clinically are also involved in research related activities. By making this organized and structured data available to the clinicians (along with raw files associated with the testing we perform) we serve, those clinicians can use the data to further their own research efforts to help patients.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Proprietary Multimodal Database</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near-real 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over 900 million documents, across more than 5.6 million de-identified patient records, including approximately 1.3 billion pages of rich clinical text that we use to train our large language models. The database also includes over 1,000,000 records with imaging data, more than 900,000 with matched clinical records linked with genomic information, and more than 220,000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believe our unique data set enables us to bring the benefits of generative AI and large language models to healthcare, as our curated, multimodal database can be used as a proprietary training set to build a variety of AI based applications, which we intend to deploy through our existing network and distribution platform. We also retain the rights to broadly commercialize de-identified data. As the amount of data in our cloud environment continues to grow from its current size of more than 200 petabytes, we believe new AI applications and opportunities will emerge that are only possible with scale, driving innovations in patient treatment that were previously unattainable. The following diagram represents the growth of our database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75565</wp:posOffset>
            </wp:positionV>
            <wp:extent cx="5052060" cy="22091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52060" cy="220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340"/>
          </w:cols>
          <w:pgMar w:left="320" w:top="448" w:right="2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Another valuable attribute of our dataset is the number of different data modalities represented. We believe multimodal data is a necessary predicate to successfully build and deploy AI-based applications given the complexity of disease and the various attributes across different forms of data (e.g., text, images, molecules, etc.). As of March 31, 2024, our database included the following types of data,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142875</wp:posOffset>
            </wp:positionV>
            <wp:extent cx="5052060" cy="31762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52060" cy="317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Footnote: Our clinical data typically includes the following information to the extent provided and abstracted by Tempus: unique identifier; age; sex; race/ethnicity; histology; stage of disease; sample type (primary vs. metastatic); anatomical site of sample and method of procurement; cancer treatment history, including therapies administered; timing of relapse and timing of treatments, including cancer-related treatments and surgery; genomic profiling results (e.g., internal, external providers); tumor response; progression free survival; RECIST or equivalent; ECOG/Karnofsky scores, or equivalent; and adverse events.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Software Tools and Solutions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developed numerous software tools and applications to help make our services accessible to multiple constituencies within the healthcare ecosystem and support our various product lines. We believe this system architecture, which employs AI techniques such as neural networks, deep learning, large language models, and other statistical learning techniques to generate patient-specific insights. We are able to not only train and validate some of these AI models for research use, but we can also develop them into clinical-grade algorithmic tests, or Algos, and deploy them clinically as part of routine care. As our data advantage and system architecture continue to improve, we believe our existing Intelligent Diagnostics will gain further adoption thereby accelerating our ability to deploy technologies, including AI Applications, in the clinical setting.</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are both a healthcare company and a technology company, which we believe allows us to more quickly and effectively develop and deploy AI techniques within our proprietary software systems. To do so, we rely on employees with expertise spanning multiple disciplines, including those with PhDs and other advanced degrees in the scientific fields of machine learning, data science and computational biology, as well as Medical Doctors practicing disciplines such as pathology and oncology. In addition to our diverse employee base, we are able to train AI models using our proprietary and expansive multimodal, de-identified dataset. We leverage our varied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340"/>
          </w:cols>
          <w:pgMar w:left="320" w:top="448" w:right="2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expertise and extensive resources to continuously monitor and review the statistical performance of the models used across our Platform to ensure performance and prevent degradation.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describe below some of the core software applications that form part of our Platform, including examples where we have developed and deployed AI techniques.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Facing Applications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have two primary software applications that serve as interfaces for different markets and allow our customers to interact with our Platform. Hub is our clinical application for physicians and other healthcare providers and is used primarily in our Genomics product line as an end-to-end application for healthcare providers who use our NGS tests. Lens is our application for life sciences customers and other healthcare researchers, launched in May 2021. Lens is aligned with Insights, one of our products within Data, and allows users to identify, license, and ultimately analyze cohorts of data for research purposes. We typically enable our customers to access free or charge certain software applications (like Hub) and certain features of other applications (like Lens). However, in some cases we may charge for access to Lens when a customer is interested in some form of customization or access to Lens’ full suite of capabilities.</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Hub</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Hub can be accessed on the web or through our mobile applications. Hub enables physicians and other providers to interact with our Platform, place orders for our laboratory tests, track them through the sequencing process, view results, and develop treatment plans using the other information Tempus makes available. Hub streamlines and automates what previously required a significant investment of both time and resources for those ordering and delivering genomic reports.</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 physician’s experience, through Hub, typically begins with our online ordering feature, which presents providers with Tempus’ various test options and guides users through the ordering process. Once Tempus has processed an order and sequenced a specimen, Hub synthesizes information across our various tests, orders, and patients, and presents the information in a consumer-friendly interface. For example, Order Summary synthesizes information from various clinical orders, test results, and other information relevant to a patient’s course of treatment. A typical patient might have multiple sequencing events over time. Hub visually presents all of a patient’s results side-by-side, so a treating physician can comprehensively view how a patient’s disease has changed over time, including in response to therapy. Hub also provides care teams a robust set of search and filtering tools so they can navigate our Platform. Physicians can use Hub to identify similarly situated patients or patient sub-groups, including by specific molecular alteration. Physicians can also export and download the resulting dataset for further analysis.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Hub offers additional functionality that goes beyond ordering and presenting clinical results. Our clinical trial system, for example, handles the complexities of matching patients to clinical trials, by synthesizing clinical and molecular data matched against inclusion and exclusion criteria for the trial. It even allows physicians to activate their point of care as a clinical trial site, if approved by the trial sponsor, in order to easily enroll patients who would otherwise not have access to experimental therapies. The proprietary features within Hub put powerful analytics in the hands of physicians, allowing them to pursue research opportunities using accessible molecular data, and explore immune insights such as HLA type, immune infiltrates and neoantigens. Finally, Time on Therapy provides physicians a view into the Tempus Precision Medicine Library, which includes the treatment paths of patients within our de-identified database who display similar molecular or phenotypic profiles to their own patients. These tools enable new patients to potentially benefit from the experience of those that came before.</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One example of an AI model whose results are available within Hub, and which illustrates a typical development and validation process for our AI models, is our Tumor Origin, or TO, algorithm. Our TO algorithm predicts the site of origin for cancer patients whose primary tumor site is unknown using machine learning models trained on tumor RNA expression results from our de-identified multimodal database. We began developing our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340"/>
          </w:cols>
          <w:pgMar w:left="320" w:top="448" w:right="2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algorithm in 2019, and it was first deployed in a clinical setting in 2021. We developed and trained the TO algorithm, like other machine learning models, by adopting current best practices for AI model development. For example, in developing the TO algorithm, we explored distinct model architectures (logistic regression, random forests and neural networks) and feature selection methods, and we utilized multiple cross validation techniques using both our own and independent third-party datasets. After its launch, we continue to monitor the performance of the TO algorithm by using advanced statistical methods to detect potential model drift or degradation over time. Each TO prediction is reviewed by our board certified pathologists for consistency with underlying data, and the distribution of expected cases is reviewed and assessed against the expected distribution of diagnoses.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include below some illustrations depicting some of Hub’s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163830</wp:posOffset>
            </wp:positionV>
            <wp:extent cx="5052060" cy="55187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052060" cy="551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340"/>
          </w:cols>
          <w:pgMar w:left="320" w:top="448" w:right="2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205105</wp:posOffset>
            </wp:positionV>
            <wp:extent cx="5052060" cy="55187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52060" cy="551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0139"/>
          </w:cols>
          <w:pgMar w:left="320" w:top="448"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205105</wp:posOffset>
            </wp:positionV>
            <wp:extent cx="5052060" cy="55187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52060" cy="551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139"/>
          </w:cols>
          <w:pgMar w:left="320" w:top="448"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205105</wp:posOffset>
            </wp:positionV>
            <wp:extent cx="5052060" cy="2684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52060"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Lens is our software application for life sciences and advanced precision research. We designed Lens to expose our multimodal, de-identified dataset to two main constituencies: (i) clinicians interested in exploring data related both to their own patients and to similarly situated patients from the broader Tempus dataset, and (ii) pharmaceutical and biotechnology clients that are focused on drug discovery and development and want to explore our dataset and/or supplement their own analytics with our tools and data.</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clinicians, Lens helps users filter our multimodal database to identify groups of patients that meet their research requirements. It allows browsing, segmenting, selecting, and analyzing cohorts of patients using a variety of clinical, molecular, and demographic characteristics. We generally make these aspects of Lens available to our customers without charge because such access helps our customers identify data cohorts of interest and facilitates data licensing opportunities.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this basic functionality, Lens allows advanced computational users to perform robust analytics using our cloud-and-compute infrastructure and modeling tool set. We launched certain of these advanced features in May 2021, one of which is called Notebooks, a proprietary tool that allows users to run their own AI models within our cloud-and-compute environment, taking advantage of fast and streamlined access to our data and computational infrastructure, and saving researchers time and money. Over time, we intend to enter into separate subscription agreements, and charge separately, for expanded access to Lens and the increased functionality we intend to provide to our users.</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believe that as Lens evolves, it has the potential to redefine life sciences research as investigators can both use our tools for their computational needs and instantly download the data they need for their analysis. We are not aware of any other application in oncology, or any other major disease area, that allows researchers to build large multimodal cohorts, utilize advanced analytics capabilities to explore the data, and download data for deeper analysis in near real time.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340"/>
          </w:cols>
          <w:pgMar w:left="320" w:top="448" w:right="2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include below some illustrations depicting some of Lens’ current capabilities, which we expect to continue to expand and enhance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178435</wp:posOffset>
            </wp:positionV>
            <wp:extent cx="5052060" cy="55187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52060" cy="551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0600"/>
          </w:cols>
          <w:pgMar w:left="320" w:top="448" w:right="9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205105</wp:posOffset>
            </wp:positionV>
            <wp:extent cx="5052060" cy="55187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52060" cy="551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Software Applications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software applications extend beyond the oncology space. In the neuropsychiatry space, for example, we have built a series of proprietary and customized applications that are oriented around depression and other related psychiatric conditions. In addition, we licensed a customized software tool, which we call TempusPRO, that helps track patient reported outcomes, which we integrate into Hub. Patients use the mobile application to complete regular and systematic check-ins, while providers use the tool to view clinical reports and review the patient reported information. We have developed this application to empower providers to make data-driven, personalized treatment decisions, as well as collect outcome measurements on a regular, longitudinal basis in an effort to build one of the largest real-world multimodal datasets in psychiatry.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340"/>
          </w:cols>
          <w:pgMar w:left="320" w:top="448" w:right="2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products are organized under three product lines, with each product line designed to enable and enhance the others, thereby creating network effects in the markets in which we operate. Our Genomics product line provides a broad range of diagnostic testing services to healthcare providers. Our Data and Services product line monetizes de-identified data that we collect and facilitates enrollment in clinical trials, and which at scale has allowed us to provide a series of data related services to our life sciences customers, such as clinical trial matching. Our AI Applications product line leverages our database to provide diagnostics entirely driven by data, which helps route patients to the optimal therapy and advance research more broadly. Our three product lines and their corresponding product offerings are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222250</wp:posOffset>
            </wp:positionV>
            <wp:extent cx="4518660" cy="25012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518660" cy="2501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the interrelated nature of our three product lines is unique. Our business model allows our clients to unlock value from our data, and allows us to monetize that data (in de-identified format), in different ways across our different product lines. We believe these network effects and the compounding impact on the value of each data record in our database enhance our competitive advantage. The more data we collect, the smarter our tests become, the more applications we can launch, the more physicians join our network, further growing our database, making our tests smarter for clinicians and our database more valuable for researchers.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launched our Genomics product line to provide a comprehensive suite of Intelligent Diagnostics to healthcare providers, and to generate a steady stream of molecular data to help fuel growth in our Data and AI Applications product lines. As we run more tests through our laboratories, and as those tests are linked to patient records and clinical outcomes, we grow our data assets and leverage them across our other product lines. We operate three laboratories that provide NGS diagnostics, PCR profiling, and other anatomic and molecular pathology tests. We have broad capabilities across genomic, transcriptomic, proteomic, microbiomic, epigenetic, and methylation-based assays, and our laboratory infrastructure allows us to operate as a high-quality, low-cost NGS provider broadly serving the market. However, unlike other laboratory diagnostic testing providers, many of our tests are connected to clinical data, in some manner, which allows our suite of tests to be self-learning, becoming more accurate and precise with each new test that we run. Furthermore, rather than providing a result based on a single data modality, such as a DNA mutation, our Platform leverages data from other modalities and other patients in an effort to be more comprehensive.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340"/>
          </w:cols>
          <w:pgMar w:left="320" w:top="448" w:right="2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are generally paid for our Genomics services by billing insurance companies, or patients directly, who reimburse us for the tests we run, or by billing providers or pharmaceutical companies directly. The following diagram represents a summary of our test offerings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1069975</wp:posOffset>
            </wp:positionH>
            <wp:positionV relativeFrom="paragraph">
              <wp:posOffset>135890</wp:posOffset>
            </wp:positionV>
            <wp:extent cx="5068570" cy="35598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68570" cy="355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340"/>
          </w:cols>
          <w:pgMar w:left="320" w:top="448" w:right="2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Tests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Platform’s first application was in oncology, where we have built a versatile portfolio of cancer tests spanning solid tumors and hematologic malignancies, germline and somatic variants, and tissue and liquid biopsies. Since our inception, our approach to precision oncology has been to provide comprehensive genomic profiling through NGS that enables us to both generate clinically relevant insights that may not be possible with narrower testing approaches, and contribute high-quality molecular information back to providers and to our database. We offer large-panel solid tumor and hematologic testing through multiple assays, with our core clinical assay (xT and xR) offering large panel DNA, RNA full transcriptome, and incidental germline findings through normal blood or saliva analyses. Our current offerings also include liquid biopsy (xF), whole exome (xE), and hereditary cancer risk (xG). We are also currently validating a treatment response monitoring assay. Our oncology tests are differentiated not only because of their breadth, but also because in many cases they are connected to clinical data, which allows us to account for the drugs the patient took historically, how they responded, and for which clinical trials they are actually eligible. We endeavor to not recommend drugs for which a patient has been previously prescribed in a prior line of therapy and failed, and not recommend clinical trials they are not eligible to participate in, based on the inclusion or exclusion criteria of the trial. The following table lists our current oncology test offerings: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 tests</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   Designed to detect actionable oncologic targets by sequencing tumor tissue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samples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 Typically associated with incidental germline testing for matched normal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saliva or blood samples, when available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 Fourth generation test that covers 648 genes at 500x coverage spanning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approximately 3.6 Mb of genomic space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 Includes full TCR, BCR, and HLA typing for immuno-oncology, or IO,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 The test has an approximately 10-day quoted turnaround time.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 our analytical validation, we demonstrated sensitivities &gt;98% for SNVs,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&gt;92% for rearrangements / fusions, &gt;92% for CNVs and indels, and 99.9%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MSI.</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 Premarket approval (PMA) obtained from the FDA in April 2023</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Tempus|xE</w:t>
            </w:r>
          </w:p>
        </w:tc>
        <w:tc>
          <w:tcPr>
            <w:tcW w:w="760" w:type="dxa"/>
            <w:vAlign w:val="bottom"/>
            <w:shd w:val="clear" w:color="auto" w:fill="CCEEFF"/>
          </w:tcPr>
          <w:p>
            <w:pPr>
              <w:jc w:val="right"/>
              <w:ind w:right="238"/>
              <w:spacing w:after="0" w:line="192" w:lineRule="exact"/>
              <w:rPr>
                <w:sz w:val="20"/>
                <w:szCs w:val="20"/>
                <w:color w:val="auto"/>
              </w:rPr>
            </w:pPr>
            <w:r>
              <w:rPr>
                <w:rFonts w:ascii="Times New Roman" w:cs="Times New Roman" w:eastAsia="Times New Roman" w:hAnsi="Times New Roman"/>
                <w:sz w:val="18"/>
                <w:szCs w:val="18"/>
                <w:color w:val="auto"/>
              </w:rPr>
              <w:t>2018</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line="192" w:lineRule="exact"/>
              <w:rPr>
                <w:sz w:val="20"/>
                <w:szCs w:val="20"/>
                <w:color w:val="auto"/>
              </w:rPr>
            </w:pPr>
            <w:r>
              <w:rPr>
                <w:rFonts w:ascii="Times New Roman" w:cs="Times New Roman" w:eastAsia="Times New Roman" w:hAnsi="Times New Roman"/>
                <w:sz w:val="18"/>
                <w:szCs w:val="18"/>
                <w:color w:val="auto"/>
              </w:rPr>
              <w:t>   A whole exome cancer assay designed to identify actionable oncologic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variants as well as neoantigens across the exome from tissue samples, thus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enabling IO applications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 Run at ~150-250x median coverage for approximately 650 of the most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significant onco-driving mutations and ~150-200x median coverage for more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than 19,000 genes on the panel</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163</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Launch Year</w:t>
            </w:r>
          </w:p>
        </w:tc>
        <w:tc>
          <w:tcPr>
            <w:tcW w:w="480" w:type="dxa"/>
            <w:vAlign w:val="bottom"/>
          </w:tcPr>
          <w:p>
            <w:pPr>
              <w:spacing w:after="0"/>
              <w:rPr>
                <w:sz w:val="14"/>
                <w:szCs w:val="1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Tempus|xF</w:t>
            </w:r>
          </w:p>
        </w:tc>
        <w:tc>
          <w:tcPr>
            <w:tcW w:w="25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2018</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rPr>
              <w:t>   Next-generation liquid biopsy assay covering 105 genes at approximately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20,000x coverage from peripheral blood samples for solid tumors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   Typically used for oncogenic and resistance mutations that can be detected in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cell free DNA, or cfDNA, from a peripheral blood draw</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 In  our  analytical  validation,  for  0.5%  VAF  and  30ng  of  DNA,  we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demonstrated &gt;99.9% sensitivity for SNVs, 98.8% for indels, &gt;99.9%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CNVs, and 97.4% for rearrangements and fusions. xF also demonstrated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100% sensitivity concordance with Roche AVENIO ctDNA Expanded Kit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indels, CNVs, and rearrangements. We also demonstrated &gt;99.9% specificity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SNVs, indels, and fusions, and 96.2% specificity for CNVs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 The xF+ version is a 523 gene panel that includes bTMB, MSI, additional</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fusions and CNVs</w:t>
            </w:r>
          </w:p>
        </w:tc>
        <w:tc>
          <w:tcPr>
            <w:tcW w:w="0" w:type="dxa"/>
            <w:vAlign w:val="bottom"/>
          </w:tcPr>
          <w:p>
            <w:pPr>
              <w:spacing w:after="0"/>
              <w:rPr>
                <w:sz w:val="1"/>
                <w:szCs w:val="1"/>
                <w:color w:val="auto"/>
              </w:rPr>
            </w:pPr>
          </w:p>
        </w:tc>
      </w:tr>
      <w:tr>
        <w:trPr>
          <w:trHeight w:val="297"/>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   52 gene inherited cancer germline panel run off whole exome platform at 75x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depth of coverage</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 Tests hereditary predisposition across common and well-described cancer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syndromes  such  as  breast,  ovarian,  prostate  cancer  (</w:t>
            </w:r>
            <w:r>
              <w:rPr>
                <w:rFonts w:ascii="Times New Roman" w:cs="Times New Roman" w:eastAsia="Times New Roman" w:hAnsi="Times New Roman"/>
                <w:sz w:val="18"/>
                <w:szCs w:val="18"/>
                <w:i w:val="1"/>
                <w:iCs w:val="1"/>
                <w:color w:val="auto"/>
              </w:rPr>
              <w:t>BRCA1,  BRCA2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pancreatic cancer (</w:t>
            </w:r>
            <w:r>
              <w:rPr>
                <w:rFonts w:ascii="Times New Roman" w:cs="Times New Roman" w:eastAsia="Times New Roman" w:hAnsi="Times New Roman"/>
                <w:sz w:val="18"/>
                <w:szCs w:val="18"/>
                <w:i w:val="1"/>
                <w:iCs w:val="1"/>
                <w:color w:val="auto"/>
                <w:w w:val="96"/>
              </w:rPr>
              <w:t>CDKN2A, PALB2</w:t>
            </w:r>
            <w:r>
              <w:rPr>
                <w:rFonts w:ascii="Times New Roman" w:cs="Times New Roman" w:eastAsia="Times New Roman" w:hAnsi="Times New Roman"/>
                <w:sz w:val="18"/>
                <w:szCs w:val="18"/>
                <w:color w:val="auto"/>
                <w:w w:val="96"/>
              </w:rPr>
              <w:t>), colorectal cancer (</w:t>
            </w:r>
            <w:r>
              <w:rPr>
                <w:rFonts w:ascii="Times New Roman" w:cs="Times New Roman" w:eastAsia="Times New Roman" w:hAnsi="Times New Roman"/>
                <w:sz w:val="18"/>
                <w:szCs w:val="18"/>
                <w:i w:val="1"/>
                <w:iCs w:val="1"/>
                <w:color w:val="auto"/>
                <w:w w:val="96"/>
              </w:rPr>
              <w:t>APC, BMPR1A</w:t>
            </w:r>
            <w:r>
              <w:rPr>
                <w:rFonts w:ascii="Times New Roman" w:cs="Times New Roman" w:eastAsia="Times New Roman" w:hAnsi="Times New Roman"/>
                <w:sz w:val="18"/>
                <w:szCs w:val="18"/>
                <w:color w:val="auto"/>
                <w:w w:val="96"/>
              </w:rPr>
              <w:t>),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Lynch Syndrome (</w:t>
            </w:r>
            <w:r>
              <w:rPr>
                <w:rFonts w:ascii="Times New Roman" w:cs="Times New Roman" w:eastAsia="Times New Roman" w:hAnsi="Times New Roman"/>
                <w:sz w:val="18"/>
                <w:szCs w:val="18"/>
                <w:i w:val="1"/>
                <w:iCs w:val="1"/>
                <w:color w:val="auto"/>
              </w:rPr>
              <w:t>MLH1, MSH2, MSH6, PMS2, EPCAM</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5"/>
              </w:rPr>
              <w:t>   Typically used in patients with a personal and / or family history suggestive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hereditary predisposition to cancer and can guide future diagnostic decisions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xG+ version is an 88 gene panel covering genes associated with both</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and rare hereditary cancers</w:t>
            </w: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5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Tempus|xR</w:t>
            </w:r>
          </w:p>
        </w:tc>
        <w:tc>
          <w:tcPr>
            <w:tcW w:w="25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2023</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rPr>
              <w:t>   Full  transcriptomic  profiling  assay  for  solid  tumors  and  hematologic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malignancies at 50 million paired end reads, offered as a separate test as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2023 (previous paired with xT and xE)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   Reports clinically relevant fusions for more than 100 targeted genes, as well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as altered splicing events for MET exon 14 and EGFRvIII, in an unbiased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manner</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   43.4% of patients were matched to a targeted therapy when DNA seq, RNA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seq, and immune biomarker assessment were combined, compared to 29.6%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patients who had a therapy match using DNA seq alone</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gridSpan w:val="3"/>
          </w:tcPr>
          <w:p>
            <w:pPr>
              <w:jc w:val="right"/>
              <w:ind w:right="332"/>
              <w:spacing w:after="0"/>
              <w:rPr>
                <w:sz w:val="20"/>
                <w:szCs w:val="20"/>
                <w:color w:val="auto"/>
              </w:rPr>
            </w:pPr>
            <w:r>
              <w:rPr>
                <w:rFonts w:ascii="Times New Roman" w:cs="Times New Roman" w:eastAsia="Times New Roman" w:hAnsi="Times New Roman"/>
                <w:sz w:val="18"/>
                <w:szCs w:val="18"/>
                <w:color w:val="auto"/>
              </w:rPr>
              <w:t>164</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p>
      <w:pPr>
        <w:spacing w:after="0"/>
        <w:tabs>
          <w:tab w:leader="none" w:pos="4260" w:val="left"/>
          <w:tab w:leader="none" w:pos="5500" w:val="left"/>
        </w:tabs>
        <w:rPr>
          <w:sz w:val="20"/>
          <w:szCs w:val="20"/>
          <w:color w:val="auto"/>
        </w:rPr>
      </w:pPr>
      <w:r>
        <w:rPr>
          <w:rFonts w:ascii="Times New Roman" w:cs="Times New Roman" w:eastAsia="Times New Roman" w:hAnsi="Times New Roman"/>
          <w:sz w:val="14"/>
          <w:szCs w:val="14"/>
          <w:b w:val="1"/>
          <w:bCs w:val="1"/>
          <w:u w:val="single" w:color="auto"/>
          <w:color w:val="auto"/>
        </w:rPr>
        <w:t>Lab Tests</w:t>
      </w:r>
      <w:r>
        <w:rPr>
          <w:sz w:val="20"/>
          <w:szCs w:val="20"/>
          <w:color w:val="auto"/>
        </w:rPr>
        <w:tab/>
      </w:r>
      <w:r>
        <w:rPr>
          <w:rFonts w:ascii="Times New Roman" w:cs="Times New Roman" w:eastAsia="Times New Roman" w:hAnsi="Times New Roman"/>
          <w:sz w:val="14"/>
          <w:szCs w:val="14"/>
          <w:b w:val="1"/>
          <w:bCs w:val="1"/>
          <w:u w:val="single" w:color="auto"/>
          <w:color w:val="auto"/>
        </w:rPr>
        <w:t>Launch Year</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97725" cy="6921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97725" cy="692150"/>
                    </a:xfrm>
                    <a:prstGeom prst="rect">
                      <a:avLst/>
                    </a:prstGeom>
                    <a:noFill/>
                  </pic:spPr>
                </pic:pic>
              </a:graphicData>
            </a:graphic>
          </wp:anchor>
        </w:drawing>
      </w:r>
    </w:p>
    <w:p>
      <w:pPr>
        <w:spacing w:after="0" w:line="101" w:lineRule="exact"/>
        <w:rPr>
          <w:sz w:val="20"/>
          <w:szCs w:val="20"/>
          <w:color w:val="auto"/>
        </w:rPr>
      </w:pPr>
    </w:p>
    <w:p>
      <w:pPr>
        <w:jc w:val="both"/>
        <w:ind w:left="5860" w:hanging="349"/>
        <w:spacing w:after="0" w:line="302" w:lineRule="auto"/>
        <w:rPr>
          <w:sz w:val="20"/>
          <w:szCs w:val="20"/>
          <w:color w:val="auto"/>
        </w:rPr>
      </w:pPr>
      <w:r>
        <w:rPr>
          <w:rFonts w:ascii="Times New Roman" w:cs="Times New Roman" w:eastAsia="Times New Roman" w:hAnsi="Times New Roman"/>
          <w:sz w:val="16"/>
          <w:szCs w:val="16"/>
          <w:color w:val="auto"/>
        </w:rPr>
        <w:t>•     Among patients with identified fusions, 29% more patients were identified with a unique clinically actionable fusion that could be matched to a targeted therapy when RNA seq was incorporated, compared to DNA seq alone</w:t>
      </w:r>
    </w:p>
    <w:p>
      <w:pPr>
        <w:spacing w:after="0" w:line="5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 The test has an approximately 10-day quoted turnaround time</w:t>
      </w:r>
    </w:p>
    <w:p>
      <w:pPr>
        <w:spacing w:after="0" w:line="226"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launched xM, a high coverage methylation sequencing assay for monitoring for cancer recurrence and minimal residual disease on June 1, 2024, initially covering colorectal cancer with the potential to expand into additional indications. In November 2023, we entered into a Commercialization and Reference Laboratory Agreement with Personalis, Inc., or Personalis, pursuant to which we began marketing Personalis’ Personal Dx test in the United States initially in non-small cell lung cancer and breast cancer, as well as IO treatment response monitoring. Personalis will conduct additional development activities to further analytically validate the test in other indications. Personalis will perform tests ordered by patients through us and will bill such patients or payors.</w:t>
      </w:r>
    </w:p>
    <w:p>
      <w:pPr>
        <w:spacing w:after="0" w:line="15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incorporating clinical data in our diagnostic tests has widespread benefits. For example, combining clinical and molecular data resulted in improved therapy matching for patients in a study that we conducted, the results of which were published in Nature Bio in September 2019. In that study, using our sequencing results and matched clinical data from 500 patient samples across a range of tumor types, we observed that 96% of patients could be matched to at least one clinical trial. Approximately 77% of patients were matched to at least one clinical trial based on a gene variant. Of the patients who were not matched to a biomarker-based clinical trial, 19.4% were matched to at least one disease-based clinical trial from clinical data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146685</wp:posOffset>
            </wp:positionV>
            <wp:extent cx="5052060" cy="23507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52060" cy="235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results of the Nature Bio study indicated that paired tumor-normal DNA-seq and RNA profiling of patient cancer biopsies yielded high match rates to targeted therapies and clinical trials, and also underscored the value of integrating and contextualizing clinical and molecular data to provide physicians with distilled information regarding their patients’ disease and potentially actionable characteristics. In sum, our Platform demonstrated an ability to help maximize personalized therapeutic options for a broader proportion of patients with cancer, which typically cannot be attained through smaller tumor-only DNA-seq panels.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340"/>
          </w:cols>
          <w:pgMar w:left="320" w:top="448" w:right="2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in a paper we published in Nature Precision Oncology in July 2021, we highlighted the benefits of performing both solid tumor and liquid biopsy profiling. We observed that the concordance of the results of tissue sequencing and liquid testing, even when concurrently profiled, was approximately 70% at most, with both liquid testing and tissue sequencing missing a selected number of potentially actionable mutations. Yet when both are performed, as Tempus often does, the coverage of potentially actionable mutations increases.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market is recognizing the value of our products and their benefits, as they relate to sequencing both somatic and germline variants, running both solid tumor and liquid biopsies, broadly sequencing RNA in addition to DNA, making available raw files and structured clinical data, and matching the results to clinical data for the patient sequenced. As a result, our clinical volume in oncology rose from approximately 31,000 samples sequenced in 2018 to approximately 288,000 samples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1069975</wp:posOffset>
            </wp:positionH>
            <wp:positionV relativeFrom="paragraph">
              <wp:posOffset>145415</wp:posOffset>
            </wp:positionV>
            <wp:extent cx="5068570" cy="30092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68570" cy="300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Neuropsychiatry Tests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entered neuropsychiatry in 2019. We currently offer our proprietary nP assay for pharmacogenomic testing for patients with psychiatric conditions, such as depression, general anxiety disorder, bipolar disorder, and other relevant diagnoses. Despite the growing prevalence of depression and anxiety, their treatment remains largely the same as it has been for decades. Today, there are dozens of antidepressants that are often prescribed based on trial and error, where psychiatrists alter the dose and class of medications when one fails to work. The difficulties in prescribing medications leads many patients to take the wrong medications, in the wrong dose. Emerging evidence demonstrates that there are molecular mechanisms that suggest one drug, or class of drugs, may work better than another based on the genetic profile of the patient, and our assay is designed to elucidate these differences. The following table describes our nP assay.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340"/>
          </w:cols>
          <w:pgMar w:left="320" w:top="448" w:right="2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95"/>
        </w:trPr>
        <w:tc>
          <w:tcPr>
            <w:tcW w:w="28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0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20" w:type="dxa"/>
            <w:vAlign w:val="bottom"/>
            <w:vMerge w:val="restart"/>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Neuropsychiatry Test</w:t>
            </w:r>
          </w:p>
        </w:tc>
        <w:tc>
          <w:tcPr>
            <w:tcW w:w="200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Tempus|nP</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   • 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 Pharmacogenomic profiling for patients with psychiatric conditions; primarily used for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depression</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 Covers 13 validated genes with known roles in pharmacokinetics, pharmacodynamics,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immune  response  to  FDA  approved  medications  that  may  be  prescribed  in  the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neuropsychiatric space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 Uses matrix-assisted laser desorption ionization-time of flight (MALDI-TOF) mass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spectrometry to analyze 80 single nucleotide and small insertion-deletion (indel) variants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the 13 genes. Concurrently, DNA fragment analysis is used to analyze copy number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variants in CYP2D6 and a large indel in the SLC6A4 promoter</w:t>
            </w:r>
          </w:p>
        </w:tc>
        <w:tc>
          <w:tcPr>
            <w:tcW w:w="0" w:type="dxa"/>
            <w:vAlign w:val="bottom"/>
          </w:tcPr>
          <w:p>
            <w:pPr>
              <w:spacing w:after="0"/>
              <w:rPr>
                <w:sz w:val="1"/>
                <w:szCs w:val="1"/>
                <w:color w:val="auto"/>
              </w:rPr>
            </w:pPr>
          </w:p>
        </w:tc>
      </w:tr>
    </w:tbl>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In an effort to bring AI to this field, we are not only performing pharmacogenomic profiling, we also regularly collect two additional data modalities:</w:t>
      </w:r>
    </w:p>
    <w:p>
      <w:pPr>
        <w:spacing w:after="0" w:line="21" w:lineRule="exact"/>
        <w:rPr>
          <w:sz w:val="20"/>
          <w:szCs w:val="20"/>
          <w:color w:val="auto"/>
        </w:rPr>
      </w:pPr>
    </w:p>
    <w:p>
      <w:pPr>
        <w:ind w:firstLine="5"/>
        <w:spacing w:after="0" w:line="247" w:lineRule="auto"/>
        <w:tabs>
          <w:tab w:leader="none" w:pos="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on therapy data from the patient’s EHR (or directly from the ordering physician), and (ii) patient reported outcome, or PRO, data through our TempusPRO mobile application.</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TempusPRO is our patient-facing mobile application that collects PRO measurements on a longitudinal basis. We are also capturing passive lifestyle measurements through mobile sensory devices, such as daily steps and minutes spent exercising. These measurements serve as a quantitative, unbiased backbone to the more qualitative and subjective measures that are commonplace in psychiatry. As we continue to advance the field of psychiatric medicine, we believe our Platform is well suited to extend to additional neurological conditions beyond depression, anxiety, and bipolar disorder.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Infectious Disease Tests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expanded into infectious diseases in 2020 due to the onset of the COVID-19 pandemic and launched PCR and NGS tests to detect the rapidly spreading virus. Our laboratory testing infrastructure and our relationships with a broad customer base enabled us to rapidly scale operations and deliver approximately 2.8 million COVID-19 clinical tests through March 31, 2023, after which we stopped offering such tests. We entered into clinical testing agreements with various clients, including pharmacies, urgent care centers, state departments of health, primary care providers, universities and schools, and corporate clients.</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COVID-19 testing has materially decreased in the United States in light of the broadly distributed vaccines and changes in CDC guidance as to whom should be tested, we have shifted resources away from COVID-19 testing and stopped offering COVID-19 PCR diagnostic tests in the first quarter of 2023. As such, we are focusing our efforts on other infectious diseases areas and on broader respiratory pathogen testing.</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and Services product line facilitates drug discovery and development for life sciences companies through two primary products: Insights and Trials. We also maintain a growing tumor-derived biological modeling (or organoid) laboratory, which allows us to provide modeling and screening services to our pharmaceutical and biotech clients.</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One way we measure our data business is based on the remaining total contract value (the “Remaining TCV”) that is contractually committed to be delivered in the future. As of December 31, 2023, we have signed contracts with a Remaining TCV of more than $920.0 million, which includes approximately $300.0 million in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340"/>
          </w:cols>
          <w:pgMar w:left="320" w:top="443" w:right="2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 potential future contractual opt-ins. Remaining TCV is equal to the total potential value of signed contracts and assumes the exercise of all contract options, all discretionary opt-ins, and no early termination. Remaining TCV includes the total potential value of the company’s strategic collaborations with AstraZeneca and GSK, which, although listed under the Data and Services product line, could be satisfied by the purchase of any of the company’s products and services. Remaining TCV excludes any revenue recognized to date on these contracts or any future adjustments made to the contractual value as a result of amendments or terminations. Our agreements contain termination clauses, including the ability of our counterparty to terminate for convenience, and there can be no guarantee that contracts will not be terminated, that contractual options and discretionary opt-ins will be exercised, or that we will achieve the full amount of potential revenue represented by these contracts. Remaining TCV is not a calculation of revenue and should be viewed independently of revenue and deferred revenue, as Remaining TCV is not intended to be combined with or replace these items. Similarly, Remaining TCV is not a forecast of future revenue, which can be impacted by, among other things, contract start and end dates, our ability to meet performance obligations, and the exercise of contractual options or termination rights. Moreover, Remaining TCV may differ from similarly titled metrics presented by other companies and may not be comparable to such other metrics.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Historically, the primary means for pharmaceutical and biotechnology companies to build a dataset for drug discovery and development was to run a preclinical study or clinical trial, and to leverage limited datasets such as medical claims data. We believe Tempus is changing the existing paradigm. We launched our Insights product to allow researchers to access large amounts of multimodal healthcare data that historically did not exist at scale in a single consolidated database. We have amassed a large connected dataset, which we organize in near-real time across multiple modalities and multiple disease areas, allowing us to work with pharmaceutical and biotechnology companies across the drug lifecycle—from discovery, research and development, and, ultimately, commercialization.</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our Insights offering, we license libraries of linked, de-identified clinical, molecular, and imaging data, and provide a suite of analytic and cloud-and-compute tools for discovery, research, development, and other commercial purposes. Our primary customers are pharmaceutical and biotechnology companies. These customers either pay us on a per file basis or through multi-year data licensing agreements to use our de-identified patient database. We currently work with 19 of the 20 largest public pharmaceutical companies based on 2023 revenue.</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believe we offer a unique value proposition to the industry as a cost-effective source of high-quality and comprehensive data on targeted patient populations. Our data is useful across the oncology drug development value chain, and our biotechnology and pharmaceutical customers are using the data to inform decisions in a variety of discovery and development applications, selected below. One metric that illustrates the utility of our data to our customers is “Net Revenue Retention.” Net Revenue Retention compares the annual Insights product revenue generated from all customers that made an Insights purchase in one year to the annual Insights product revenue generated from the same cohort of customers in the subsequent year. Net Revenue Retention is not a calculation of revenue and should be viewed independently of revenue and deferred revenue, as Net Revenue Retention is not intended to be combined with or replace these items. Similarly, Net Revenue Retention is not a forecast of future revenue. Moreover, Net Revenue Retention may differ from similarly titled metrics presented by other companies and may not be comparable to such other metrics. For the year ended December 31, 2023, Net Revenue Retention was approximately 125% compared to the same cohort of customers for the period ended December 31, 2022.</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340"/>
          </w:cols>
          <w:pgMar w:left="320" w:top="448" w:right="2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205105</wp:posOffset>
            </wp:positionV>
            <wp:extent cx="5052060" cy="23342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052060" cy="2334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To illustrate an example of how our data can be applied, in December 2020, we published a peer-reviewed study in ScienceDirect in which we analyzed longitudinal real-world data, or RWD, from a large cohort of patients with breast cancer (n = 4,000) to test whether results were consistent with previous clinical studies and to demonstrate the real-world evidence validity of our database. We also evaluated whole-transcriptome sequencing as a complementary diagnostic tool (n = 400). The conclusions of the study demonstrated that our database mirrored the overall population of patients with breast cancer in the United States, and that near real-time, RWD analyses are feasible in a large, highly heterogeneous database. Furthermore, the study demonstrated that molecular data may aid deficiencies and discrepancies observed from breast cancer clinical RWD.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many of our data profiles regularly update with clinical outcome and response data over time, the utility of a single de-identified record may increase over time. As such, the files we generate by sequencing a patient, when connected to clinical data, are valuable to pharmaceutical and biotechnology companies, as they not only allow users to gain molecular insight into what is happening among cohorts of patients, but they also allow users to track those cohorts over time. As a result, our files behave as if they have a “lifetime value” that has the potential to increase over time, in a manner similar to a content company where you pay to create content and then monetize the content over time as people subscribe to access the content.</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To illustrate one of the ways that our business model differs from traditional diagnostics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and services revenue is a component of data and services revenue in our Consolidated Statement of Operations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does not include costs reported as cost of revenues, data and services in the Consolidated Statement of Operations. Cost of revenues, data and services were $40.2 million and $56.5 million for the years ended December 31, 2022 and 2023, respectively. These costs represented 32.8% and 33.5% of data and services revenue for the years ended December 31, 2022 and 2023, respectively.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340"/>
          </w:cols>
          <w:pgMar w:left="320" w:top="448" w:right="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In 2018, the first full year that we operated a laboratory, we sequenced samples from approximately 7,500 patients. From that 2018 cohort of sequenced patients, through December 31, 2023, we generated $66.2 million of combined revenue from sequencing, data licensing of de-identified data derived from those records, analytical services, and clinical trials matching, which is approximately 7.4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to 2023 from the 2018 cohort, and as of December 31, 2023, the 2018 “Cohort Lifetime Value” was $48.8 million. We experienced similar trends for the 2019 to 2023 cohorts. As of December 31, 2023, the 2019 “Cohort Lifetime Value” was $63.7 million, the 2020 “Cohort Lifetime Value” was $70.8 million, the 2021 “Cohort Lifetime Value” was $82.7 million, the 2022 “Cohort Lifetime Value” was $87.8 million, and the 2023 “Cohort Lifetime Value” was $182.2 million in its first year of existence.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“Cohort Lifetime Value” for the 2018 to 2023 data cohorts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163830</wp:posOffset>
            </wp:positionV>
            <wp:extent cx="4834890" cy="41351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834890" cy="413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340"/>
          </w:cols>
          <w:pgMar w:left="320" w:top="448" w:right="2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205105</wp:posOffset>
            </wp:positionV>
            <wp:extent cx="4834890" cy="57188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834890" cy="571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0139"/>
          </w:cols>
          <w:pgMar w:left="320" w:top="448"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205105</wp:posOffset>
            </wp:positionV>
            <wp:extent cx="4834890" cy="18592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834890" cy="185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Trials is our second offering within our Data and Services product line and leverages our broad network of physicians we work with in oncology to provide clinical trial matching services for pharmaceutical companies trying to reach hard-to-find and underserved patient populations. Our clinical trial matching product is built on top of our near real-time data feeds and harnesses AI to accelerate the connection between patients, clinical trial sites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Trials product is a bold initiative that we do not believe has been implemented at scale in the United States by any other organization. We are endeavoring to create a just-in-time network across a wide variety of academic medical centers and community providers, that can support hundreds or even thousands of trials, in which the administrative and logistical foundation is uniform across the entire network. This network allows us to identify a patient that is a match for a targeted trial and get that patient enrolled within days, even if the trial was not previously open at the hospital (assuming consent of the trial sponsor), anywhere in the United States. Prior to Tempus, we believe it would have been virtually impossible to even attempt to build this type of just-in-time program across oncology, as the required ingredients for success are unique to our Platform, namely: (i) a large genomic sequencing business that is widely adopted and allows for the identification of patients that are molecular matches to trials; (ii) the ability to structure clinical data for those patients in near real time to filter for inclusion and exclusion criteria; (iii) direct pipelines allowing data to be transferred to and from the laboratory and provider; and (iv) an analytic engine able to stratify patients and follow each unique patient journey ensuring that patients actually enroll in the studies.</w:t>
      </w:r>
    </w:p>
    <w:p>
      <w:pPr>
        <w:spacing w:after="0" w:line="191" w:lineRule="exact"/>
        <w:rPr>
          <w:sz w:val="20"/>
          <w:szCs w:val="20"/>
          <w:color w:val="auto"/>
        </w:rPr>
      </w:pPr>
    </w:p>
    <w:p>
      <w:pPr>
        <w:jc w:val="both"/>
        <w:ind w:firstLine="454"/>
        <w:spacing w:after="0" w:line="227" w:lineRule="auto"/>
        <w:rPr>
          <w:sz w:val="20"/>
          <w:szCs w:val="20"/>
          <w:color w:val="auto"/>
        </w:rPr>
      </w:pPr>
      <w:r>
        <w:rPr>
          <w:rFonts w:ascii="Times New Roman" w:cs="Times New Roman" w:eastAsia="Times New Roman" w:hAnsi="Times New Roman"/>
          <w:sz w:val="18"/>
          <w:szCs w:val="18"/>
          <w:color w:val="auto"/>
        </w:rPr>
        <w:t>Our clinical trial matching offering is called the TIME Trial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program, which we launched in June of 2019. Since its introduction, this program has gained significant traction with more than 230 clinical trials signed into the network. More than 30,000 patients were identified for potential enrollment into clinical trials in our network as of March 31, 2024. We believe the breadth of our network, the data to which we have near real-time access, and our relationships with oncologists enable us to offer a clinical trial matching service that has the potential to materially expand patient access to and accelerate enrollment in clinical trials in the United States.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340"/>
          </w:cols>
          <w:pgMar w:left="320" w:top="448" w:right="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1103630</wp:posOffset>
            </wp:positionH>
            <wp:positionV relativeFrom="paragraph">
              <wp:posOffset>205105</wp:posOffset>
            </wp:positionV>
            <wp:extent cx="5001895" cy="31013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001895" cy="3101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One of the primary benefits of our Trials product is our ability to facilitate the initiation of a clinical trial in a new location in a short amount of time. Third-party research suggests that it takes 6-12 months, on average, to initiate a new trial site for an ongoing clinical trial in the United States. We have been able to substantially streamline this process by leveraging technology and introducing a standard methodology, with activation of new sites through our Trials product taking approximately two weeks on average in 2023. A comparison of our average time from site initiation to patient consent with the industry average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125095</wp:posOffset>
            </wp:positionV>
            <wp:extent cx="4951730" cy="26428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51730" cy="264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340"/>
          </w:cols>
          <w:pgMar w:left="320" w:top="448" w:right="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or CRO, which we subsequently renamed Tempus Compass, LLC, or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Tumor Derived Biological Modeling—Organoids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to our efforts to collect vast amounts of phenotypic, morphologic, and molecular data, we have built a large, biological modeling lab that allows us to test various theories in vitro through our large repository of tumor-derived Organoids, and to perform drug screening for our various life sciences clients. Many of our Organoids are fully characterized and sequenced using our NGS panels, providing genomic and transcriptomic data for our models, allowing us to explore various hypotheses that enhance our data. Examples of hypotheses we are able to test in our Organoid lab include: (i) which therapeutics are most effective; (ii) differential levels of drug response by tumor type, genomic profile, or other targeted attributes; (iii) discovery of RNA signatures; (iv) attributes of responders and non-responders; and (v) response rates in therapy-resistant models. We work with numerous collaborators including biotechnology companies, pharmaceutical companies, academic institutions, and government labs. Since 2017, we have scaled our sample collection efforts and have received approximately 4,000 tumor samples to date.</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These samples cover a wide range of cancer subtypes, allowing us to work on comprehensive drug screening applications across multiple epithelial based tumor types, such as breast, lung, colorectal, and pancreatic. One of the goals of this screening is to predict a series of therapeutic responses in our Organoids and then test whether or not patients are experiencing similar responses in the clinical setting.</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view biological models as another form of data. Our efforts to grow Organoids are part of our overall strategy to leverage the best of systems biology along with the best of AI to collect the requisite data needed to produce answers broadly throughout healthcare.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vastness of our dataset, along with our connected platform, creates an opportunity to use data to algorithmically diagnose and treat patients. Our third product line, AI Applications, or Algos,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 For example, algorithmic diagnostics that integrate multimodal data can be used to create a more accurate risk profile for patients, leading to improved outcomes and reduced cost. Our repository of multimodal data allows us to find associations and patterns that are largely invisible through a single data modality, but readily apparent when combined. In addition, we find the strength of our analytic models, and our ability to deploy them clinically, improves as we add additional datasets. While we plan to continue developing our own proprietary software and algorithms, from time to time, we also utilize open source technologies or in-license technologies from third parties.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340"/>
          </w:cols>
          <w:pgMar w:left="320" w:top="448"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example diagram below represents how algorithm-based diagnostics work and the value of multimodal data as it relates to improved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163830</wp:posOffset>
            </wp:positionV>
            <wp:extent cx="5052060" cy="42767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052060" cy="427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Algorithm-based diagnostics are already being used in healthcare, but are not widespread. For example, algorithms exist today that leverage EHR data and lab results to predict early onset of hospital-borne infections, but these tools are still in the very early stages of adoption and validation. While Algos today represent only a small proportion of the diagnostics market, we expect their adoption to grow substantially in the future. We believe Algos represent a significant long-term opportunity that may be substantially larger than our other existing product lines. We believe our ability to launch Algos at scale is a key differentiator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340"/>
          </w:cols>
          <w:pgMar w:left="320" w:top="448" w:right="2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Algos Portfolio</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robust, multimodal dataset creates an opportunity for Algos that otherwise would not be possible and allows us to build AI models at scale, clinically validate them, and deploy the resulting Algos into clinical practice. We currently offer a suite of Algos in oncology, and have more in various stages of development. As of March 31, 2024, more than 58,000 molecular oncology Algos have been ordered with our various genomic assays. Most of the Algos we currently offer are part of our xR assay, and we do not bill separately for them. Some Algos will likely yield little to no reimbursement until their clinical utility is established or will be ordered separately with our existing NGS assays or diagnostics to enhance the actionable information for physicians, and some may obtain reimbursement at prevailing rates for comparable tests.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jc w:val="right"/>
              <w:ind w:right="51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Tumor Origin (“TO”) Test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 Predicts the site of origin for cancer patients whose primary tumor site is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unknown using tumor RNA expression results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 Intended use of the TO test is for cancers of unknown primary, or CUPs,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help clinicians make more informed decisions where other clinical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information like imaging and immunohistochemistry results do not provide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definitive diagnosis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 Uses information from analysis of nucleic acids by NGS performed as part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separately ordered genomic or transcriptomic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 Built using a large internal database of more than 20,000 annotated tumors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with transcriptomic molecular data. By comparing the molecular profile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(transcriptome) of the patient’s cancer with profiles of other cancers in our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database, we can help pinpoint the origin of the patient’s cancer, potentially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helping to inform the course of 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 For the year ended December 31, 2023, ordered on approximately 10% of our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solid tumor profiles</w:t>
            </w: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3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Homologous Recombination Deficiency (“HRD”)</w:t>
            </w:r>
          </w:p>
        </w:tc>
        <w:tc>
          <w:tcPr>
            <w:tcW w:w="1260" w:type="dxa"/>
            <w:vAlign w:val="bottom"/>
            <w:gridSpan w:val="2"/>
            <w:shd w:val="clear" w:color="auto" w:fill="CCEEFF"/>
          </w:tcPr>
          <w:p>
            <w:pPr>
              <w:jc w:val="right"/>
              <w:ind w:right="500"/>
              <w:spacing w:after="0" w:line="192" w:lineRule="exact"/>
              <w:rPr>
                <w:sz w:val="20"/>
                <w:szCs w:val="20"/>
                <w:color w:val="auto"/>
              </w:rPr>
            </w:pPr>
            <w:r>
              <w:rPr>
                <w:rFonts w:ascii="Times New Roman" w:cs="Times New Roman" w:eastAsia="Times New Roman" w:hAnsi="Times New Roman"/>
                <w:sz w:val="18"/>
                <w:szCs w:val="18"/>
                <w:color w:val="auto"/>
              </w:rPr>
              <w:t>2020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   A DNA-based algorithmic test that helps identify if a patient has HRD,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Test</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providing a comprehensive view into a patient’s ability to repair double-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stranded DNA breaks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 HRD status can be used to identify patients who may be sensitive to PARP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inhibitors and/or platinum-based chemotherapy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 Takes into account results from our solid tumor profiling, giving a full view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into commonly mutated genes in the HR-pathway, along with a genome wide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 LOH score, giving a clinician a complete view of HRD status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 Can be ordered across all major cancer subtypes and does not require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tissue from the patient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 Currently incorporating RNA into a second version of the algorithm, which is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intended to improve prediction</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176</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jc w:val="right"/>
              <w:ind w:right="51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398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5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Dihydropyrimidine Dehydrogenase Deficiency</w:t>
            </w:r>
          </w:p>
        </w:tc>
        <w:tc>
          <w:tcPr>
            <w:tcW w:w="12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w w:val="77"/>
              </w:rPr>
              <w:t> </w:t>
            </w:r>
          </w:p>
        </w:tc>
        <w:tc>
          <w:tcPr>
            <w:tcW w:w="5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xml:space="preserve">   Identifies certain alterations in the </w:t>
            </w:r>
            <w:r>
              <w:rPr>
                <w:rFonts w:ascii="Times New Roman" w:cs="Times New Roman" w:eastAsia="Times New Roman" w:hAnsi="Times New Roman"/>
                <w:sz w:val="18"/>
                <w:szCs w:val="18"/>
                <w:i w:val="1"/>
                <w:iCs w:val="1"/>
                <w:color w:val="auto"/>
                <w:w w:val="97"/>
              </w:rPr>
              <w:t>DPYD</w:t>
            </w:r>
            <w:r>
              <w:rPr>
                <w:rFonts w:ascii="Times New Roman" w:cs="Times New Roman" w:eastAsia="Times New Roman" w:hAnsi="Times New Roman"/>
                <w:sz w:val="18"/>
                <w:szCs w:val="18"/>
                <w:color w:val="auto"/>
                <w:w w:val="97"/>
              </w:rPr>
              <w:t xml:space="preserve"> gene, which may be associated 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(“DPYD”) Test</w:t>
            </w:r>
          </w:p>
        </w:tc>
        <w:tc>
          <w:tcPr>
            <w:tcW w:w="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a patient’s potential toxicity to 5-FU/Capecitabine chemotherapy based on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associated drug labeling and guidelines from the Clinical Pharmacogenomics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Implementation Consortium, or CPIC.</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 Provides insight into the potential likelihood of a patient developing severe 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even fatal toxicity of 5-FU/Capecitabine chemotherapy by covering five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SNVs in </w:t>
            </w:r>
            <w:r>
              <w:rPr>
                <w:rFonts w:ascii="Times New Roman" w:cs="Times New Roman" w:eastAsia="Times New Roman" w:hAnsi="Times New Roman"/>
                <w:sz w:val="18"/>
                <w:szCs w:val="18"/>
                <w:i w:val="1"/>
                <w:iCs w:val="1"/>
                <w:color w:val="auto"/>
              </w:rPr>
              <w:t>DPYD</w:t>
            </w:r>
            <w:r>
              <w:rPr>
                <w:rFonts w:ascii="Times New Roman" w:cs="Times New Roman" w:eastAsia="Times New Roman" w:hAnsi="Times New Roman"/>
                <w:sz w:val="18"/>
                <w:szCs w:val="18"/>
                <w:color w:val="auto"/>
              </w:rPr>
              <w:t xml:space="preserve"> genes, providing a more complete patient profile. According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 CPIC, 5-7% of patients test positive for DPYD deficiency and should be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considered for monitoring or dose reduction.</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 This algorithm uses sequencing data generated as a part of a separately-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ordered Tempus|xT Solid Tumor + Normal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 Tempus DPYD is available pan-cancer although it is most relevant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colorectal, breast, pancreatic and GI cancer patients who are being considered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treatment with 5-FU/Capecitabine chemotherapy.</w:t>
            </w: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line="257" w:lineRule="exact"/>
              <w:rPr>
                <w:sz w:val="20"/>
                <w:szCs w:val="20"/>
                <w:color w:val="auto"/>
              </w:rPr>
            </w:pPr>
            <w:r>
              <w:rPr>
                <w:rFonts w:ascii="Times New Roman" w:cs="Times New Roman" w:eastAsia="Times New Roman" w:hAnsi="Times New Roman"/>
                <w:sz w:val="18"/>
                <w:szCs w:val="18"/>
                <w:color w:val="auto"/>
              </w:rPr>
              <w:t>Tempus Purist</w:t>
            </w:r>
            <w:r>
              <w:rPr>
                <w:rFonts w:ascii="Times New Roman" w:cs="Times New Roman" w:eastAsia="Times New Roman" w:hAnsi="Times New Roman"/>
                <w:sz w:val="26"/>
                <w:szCs w:val="26"/>
                <w:color w:val="auto"/>
                <w:vertAlign w:val="superscript"/>
              </w:rPr>
              <w:t>SM</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line="257" w:lineRule="exact"/>
              <w:rPr>
                <w:sz w:val="20"/>
                <w:szCs w:val="20"/>
                <w:color w:val="auto"/>
              </w:rPr>
            </w:pPr>
            <w:r>
              <w:rPr>
                <w:rFonts w:ascii="Times New Roman" w:cs="Times New Roman" w:eastAsia="Times New Roman" w:hAnsi="Times New Roman"/>
                <w:sz w:val="18"/>
                <w:szCs w:val="18"/>
                <w:color w:val="auto"/>
              </w:rPr>
              <w:t>   Tempus Purist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test  is  an  algorithm  that  classifies  pancreatic  ductal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adenocarcinomas (PDAC) patients into one of two subtypes (basal-like 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classical).</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 Patients with the basal subtype have a worse prognosis and are less likely to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benefit from FOLFIRINOX therapy than classical patients.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 Uses information from nucleic acids by NGS performed as part of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separately ordered genomic or transcriptomic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 USES a k-top scoring pair (k-TSP) method (8 top scoring pairs, 16 genes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total) to assign a basal probability score. Patients with a basal probability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score of ≥50 are categorized as basal subtype, while those with basal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probability score &lt;50 are categorized as classical subtype.</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Cardiology Algos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Heart disease is the leading cause of death in the United States. About 630,000 Americans die from heart disease annually, with 11.7% of American adults diagnosed with heart disease and millions of patients suffering from undiagnosed, life-threatening, yet highly treatable conditions such as AFib, cardiomyopathy, and valvular heart disease, to name a few. Tempus is working on solutions to find, diagnose, and help treat these patients earlier in order to improve patient outcomes, using routinely generated clinical data, such as data from a 12-lead ECG, a widely used and easily acquired medical test that measures the electrical activity of the heart, to screen patients who might be at high risk and help navigate them to the appropriate interventional therapy.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340"/>
          </w:cols>
          <w:pgMar w:left="320" w:top="448" w:right="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cardiology, we ingest multimodal data and use over 60 algorithms to identify potential care gaps and continuously monitor patient data to find at-risk patients who may be falling through a care gap unbeknownst to their physician, and automatically notify care teams of any needed follow-up or disease progression. More than 80 hospitals nationwide are currently powered by Tempus Next and more than 44,000 patients are screened per month.</w:t>
      </w:r>
    </w:p>
    <w:p>
      <w:pPr>
        <w:spacing w:after="0" w:line="180" w:lineRule="exact"/>
        <w:rPr>
          <w:sz w:val="20"/>
          <w:szCs w:val="20"/>
          <w:color w:val="auto"/>
        </w:rPr>
      </w:pPr>
    </w:p>
    <w:p>
      <w:pPr>
        <w:jc w:val="both"/>
        <w:ind w:firstLine="454"/>
        <w:spacing w:after="0" w:line="232" w:lineRule="auto"/>
        <w:rPr>
          <w:sz w:val="20"/>
          <w:szCs w:val="20"/>
          <w:color w:val="auto"/>
        </w:rPr>
      </w:pPr>
      <w:r>
        <w:rPr>
          <w:rFonts w:ascii="Times New Roman" w:cs="Times New Roman" w:eastAsia="Times New Roman" w:hAnsi="Times New Roman"/>
          <w:sz w:val="18"/>
          <w:szCs w:val="18"/>
          <w:color w:val="auto"/>
        </w:rPr>
        <w:t>We are also developing algorithmic models that aid clinicians in identifying patients at increased risk of developing atrial fibrillation, or AFib, along with a variety of other cardiac conditions. These Algos are trained using a de-identified subset from approximately 3.5 million ECGs, across more than 700,000 patients, with decades of longitudinal clinical data, including outcome and response data. The FDA granted Tempus breakthrough status for our first ECG software device, which employs a diagnostic algorithm designed to identify patients at high risk of developing AFib in certain populations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p>
      <w:pPr>
        <w:sectPr>
          <w:pgSz w:w="11900" w:h="16838" w:orient="portrait"/>
          <w:cols w:equalWidth="0" w:num="1">
            <w:col w:w="11340"/>
          </w:cols>
          <w:pgMar w:left="320" w:top="448" w:right="239" w:bottom="1440" w:gutter="0" w:footer="0" w:header="0"/>
        </w:sect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Algo</w:t>
            </w:r>
          </w:p>
        </w:tc>
        <w:tc>
          <w:tcPr>
            <w:tcW w:w="2560" w:type="dxa"/>
            <w:vAlign w:val="bottom"/>
            <w:vMerge w:val="restart"/>
          </w:tcPr>
          <w:p>
            <w:pPr>
              <w:spacing w:after="0"/>
              <w:rPr>
                <w:sz w:val="13"/>
                <w:szCs w:val="13"/>
                <w:color w:val="auto"/>
              </w:rPr>
            </w:pPr>
          </w:p>
        </w:tc>
        <w:tc>
          <w:tcPr>
            <w:tcW w:w="1800" w:type="dxa"/>
            <w:vAlign w:val="bottom"/>
            <w:gridSpan w:val="3"/>
          </w:tcPr>
          <w:p>
            <w:pPr>
              <w:jc w:val="center"/>
              <w:ind w:left="1215"/>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0" w:type="dxa"/>
            <w:vAlign w:val="bottom"/>
          </w:tcPr>
          <w:p>
            <w:pPr>
              <w:spacing w:after="0"/>
              <w:rPr>
                <w:sz w:val="1"/>
                <w:szCs w:val="1"/>
                <w:color w:val="auto"/>
              </w:rPr>
            </w:pPr>
          </w:p>
        </w:tc>
      </w:tr>
      <w:tr>
        <w:trPr>
          <w:trHeight w:val="169"/>
        </w:trPr>
        <w:tc>
          <w:tcPr>
            <w:tcW w:w="300" w:type="dxa"/>
            <w:vAlign w:val="bottom"/>
            <w:tcBorders>
              <w:bottom w:val="single" w:sz="8" w:color="auto"/>
            </w:tcBorders>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Cardiology</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Atrial Fibrillation Test</w:t>
            </w:r>
          </w:p>
        </w:tc>
        <w:tc>
          <w:tcPr>
            <w:tcW w:w="17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4"/>
              </w:rPr>
              <w:t>clinical</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trial</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2"/>
              </w:rPr>
              <w:t>setting)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13335</wp:posOffset>
            </wp:positionV>
            <wp:extent cx="7197725" cy="133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line="258" w:lineRule="exact"/>
        <w:rPr>
          <w:sz w:val="20"/>
          <w:szCs w:val="20"/>
          <w:color w:val="auto"/>
        </w:rPr>
      </w:pPr>
    </w:p>
    <w:p>
      <w:pPr>
        <w:jc w:val="both"/>
        <w:ind w:left="360" w:hanging="349"/>
        <w:spacing w:after="0" w:line="267" w:lineRule="auto"/>
        <w:rPr>
          <w:sz w:val="20"/>
          <w:szCs w:val="20"/>
          <w:color w:val="auto"/>
        </w:rPr>
      </w:pPr>
      <w:r>
        <w:rPr>
          <w:rFonts w:ascii="Times New Roman" w:cs="Times New Roman" w:eastAsia="Times New Roman" w:hAnsi="Times New Roman"/>
          <w:sz w:val="18"/>
          <w:szCs w:val="18"/>
          <w:color w:val="auto"/>
        </w:rPr>
        <w:t>•     We have developed an algorithm designed to predict AFib from a normal ECG for certain populations.</w:t>
      </w:r>
    </w:p>
    <w:p>
      <w:pPr>
        <w:spacing w:after="0" w:line="78" w:lineRule="exact"/>
        <w:rPr>
          <w:sz w:val="20"/>
          <w:szCs w:val="20"/>
          <w:color w:val="auto"/>
        </w:rPr>
      </w:pPr>
    </w:p>
    <w:p>
      <w:pPr>
        <w:jc w:val="both"/>
        <w:ind w:left="360" w:hanging="349"/>
        <w:spacing w:after="0" w:line="251" w:lineRule="auto"/>
        <w:rPr>
          <w:sz w:val="20"/>
          <w:szCs w:val="20"/>
          <w:color w:val="auto"/>
        </w:rPr>
      </w:pPr>
      <w:r>
        <w:rPr>
          <w:rFonts w:ascii="Times New Roman" w:cs="Times New Roman" w:eastAsia="Times New Roman" w:hAnsi="Times New Roman"/>
          <w:sz w:val="18"/>
          <w:szCs w:val="18"/>
          <w:color w:val="auto"/>
        </w:rPr>
        <w:t>•     About 3.5% of patients who receive ECGs appear not to have AFib but will develop AFib, acute coronary syndrome, or similar condition within one year. This Algo is designed to predict major cardiac trauma and stroke risk from these normal ECG results.</w:t>
      </w:r>
    </w:p>
    <w:p>
      <w:pPr>
        <w:spacing w:after="0" w:line="92" w:lineRule="exact"/>
        <w:rPr>
          <w:sz w:val="20"/>
          <w:szCs w:val="20"/>
          <w:color w:val="auto"/>
        </w:rPr>
      </w:pPr>
    </w:p>
    <w:p>
      <w:pPr>
        <w:jc w:val="both"/>
        <w:ind w:left="360" w:hanging="349"/>
        <w:spacing w:after="0" w:line="227" w:lineRule="auto"/>
        <w:rPr>
          <w:sz w:val="20"/>
          <w:szCs w:val="20"/>
          <w:color w:val="auto"/>
        </w:rPr>
      </w:pPr>
      <w:r>
        <w:rPr>
          <w:rFonts w:ascii="Times New Roman" w:cs="Times New Roman" w:eastAsia="Times New Roman" w:hAnsi="Times New Roman"/>
          <w:sz w:val="18"/>
          <w:szCs w:val="18"/>
          <w:color w:val="auto"/>
        </w:rPr>
        <w:t>•     The Tempus AFib test received FDA breakthrough designation in March 2021 for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p>
      <w:pPr>
        <w:spacing w:after="0" w:line="88" w:lineRule="exact"/>
        <w:rPr>
          <w:sz w:val="20"/>
          <w:szCs w:val="20"/>
          <w:color w:val="auto"/>
        </w:rPr>
      </w:pPr>
    </w:p>
    <w:p>
      <w:pPr>
        <w:jc w:val="both"/>
        <w:ind w:left="360" w:hanging="349"/>
        <w:spacing w:after="0" w:line="255" w:lineRule="auto"/>
        <w:rPr>
          <w:sz w:val="20"/>
          <w:szCs w:val="20"/>
          <w:color w:val="auto"/>
        </w:rPr>
      </w:pPr>
      <w:r>
        <w:rPr>
          <w:rFonts w:ascii="Times New Roman" w:cs="Times New Roman" w:eastAsia="Times New Roman" w:hAnsi="Times New Roman"/>
          <w:sz w:val="18"/>
          <w:szCs w:val="18"/>
          <w:color w:val="auto"/>
        </w:rPr>
        <w:t>•     We are also advancing Algos that are designed to predict aortic stenosis, and we are working on other disease areas within cardiology, such as low ejection fraction and familial hypercholesterolemia.</w:t>
      </w:r>
    </w:p>
    <w:p>
      <w:pPr>
        <w:spacing w:after="0" w:line="194" w:lineRule="exact"/>
        <w:rPr>
          <w:sz w:val="20"/>
          <w:szCs w:val="20"/>
          <w:color w:val="auto"/>
        </w:rPr>
      </w:pPr>
    </w:p>
    <w:p>
      <w:pPr>
        <w:sectPr>
          <w:pgSz w:w="11900" w:h="16838" w:orient="portrait"/>
          <w:cols w:equalWidth="0" w:num="2">
            <w:col w:w="4660" w:space="320"/>
            <w:col w:w="6360"/>
          </w:cols>
          <w:pgMar w:left="320" w:top="448" w:right="239" w:bottom="1440" w:gutter="0" w:footer="0" w:header="0"/>
          <w:type w:val="continuous"/>
        </w:sect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algorithms based on NGS testing or in the cardiology space, we currently offer more than 50 algorithms and are continuing to develop additional algorithms derived from radiologic images and digital pathology slides. In October 2022, we acquired Arterys, Inc., a company that provides a platform to derive insights from radiologic medical images to improve 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340"/>
          </w:cols>
          <w:pgMar w:left="320" w:top="448" w:right="239" w:bottom="144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Case Studies: Aligning the Interests of Key Stakeholders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designed our Platform to help unlock data from existing silos and facilitate data exchanges across healthcare providers. We believe our technological advancements, deep relationships with providers, and rapid commercial adoption demonstrate the value our Platform creates for the healthcare ecosystem. We benefit from a flywheel effect; the more data we collect, the smarter our tests become, the more applications we launch, the more physicians join our network, further growing our database, making our tests smarter for clinicians and our database more valuable for researchers.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describe below select case studies that demonstrate the value we deliver to the healthcare ecosystem, with the ultimate goal of helping patients and improving clinical outcomes.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Healthcare Provider and Patient Case Study</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is designed to help raise the standard of care in precision medicine by enabling physicians to make real time data-driven decisions at the point of care. Physicians use our Intelligent Diagnostics, software solutions, and analytic support tools to bring clinically actionable insights to genetic analysis. We see the power of our Platform both in its widespread adoption and, most importantly, the impact it has on patients.</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 50-year old female patient was diagnosed with metastatic gastric cancer. The average life expectancy for someone with stage IV gastric cancer is less than one year, with approximately 5% of patients surviving for five years. The patient’s tumor harbored a mutation in a gene indicating that Epstein-Barr virus, or EBV, was involved in the pathogenesis. The tumor mutational burden was not high, but the tumor EBV made the patient a candidate for immunotherapy. Tempus’ NGS tests were used to evaluate the patient’s suitability for a cancer vaccine clinical trial, and two distinct aspects of Tempus’ tests led the treating physician to pursue new treatment recommendations. First, Tempus sequencing used paired tumor and normal specimens to make more accurate somatic mutation calls. Thus, Tempus’ test identified neoantigens that could be targeted by the immune system, while excluding germline variants of unknown significance that the immune system would not recognize as foreign. Second, Tempus used whole transcriptome RNA sequencing data to evaluate whether the neoantigens detected from the patient’s DNA were expressed in the cell. Ultimately, after evaluation for the vaccine trial, the treating physician recommended checkpoint inhibitor immunotherapy. While the patient responded well to immunotherapy, eventually side effects caused her to seek other treatment modalities. Additional testing identified a mutation downstream, which was used to match the patient into a clinical trial for an ERK inhibitor. Two other mutations indicating possible response to off-label therapies were also found, and the treating physician would be able to evaluate those therapies in the event of treatment failure.</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Insights Case Study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work with pharmaceutical and biotechnology companies in a number of ways, including (i) licensing de-identified data libraries on a one-time or limited duration basis; (ii) licensing de-identified data as part of a multi-year subscription; (iii) performing sequencing services for clinical trials on a bespoke basis or as part of a companion diagnostic, or CDx, claim; (iv) growing patient derived biological models (Organoids) to allow for high-throughput drug screening; and (v) helping companies identify and enroll patients for their clinical trials. Some companies may leverage one of our products, while our relationships with others are more comprehensive.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Insights Case Study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signed a multi-year strategic collaboration agreement with AstraZeneca in 2021 to identify and validate biomarkers that would inform patient selection strategies, accelerate the development of new molecular entities, and de-risk late phase clinical trials. One component of the collaboration involves leveraging our data insights to increase the Probability of Technical Success, or PTS, of late phase clinical trials. In the pilot program that AstraZeneca and Tempus ran together, we saw an average increase in PTS per study of five percentage points.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340"/>
          </w:cols>
          <w:pgMar w:left="320" w:top="448" w:right="2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After seeing these results, AstraZeneca decided to make this approach part of their governance process. Today, AstraZeneca’s Oncology Phase 3 study designs are informed by RWE dataset analyses combined with Tempus analysis. The average lift in PTS exemplifies Tempus’ potential as a partner to advance drug discovery, generate significant return on investment and more quickly deliver innovation to patients through the insights derived from Tempus’ data. In a separate example from the collaboration, AstraZeneca leveraged our TIME network to accelerate the identification and recruitment of patients for its SERENA-6 Phase III clinical trial which has supported the recruitment of 25% of US participants, as mentioned by AstraZeneca in their 2022 annual report.</w:t>
      </w: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Trials Case Study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created a dynamic marketplace for biopharmaceutical companies to leverage our data to identify eligible patients and activate appropriate sites to increase access to molecularly targeted clinical trials. We believe our offering is well suited for identifying patients for targeted trials. To detect specific mutations that may be the subject of a clinical trial, we offer solid tumor and liquid biopsy NGS panels that are able to detect specific molecular markers; however, we can also match patients tested through other sequencing companies via our direct EHR or clinical database integrations.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we identify a patient who meets the criteria of a participating clinical trial at one of our TIME Trial® program sites, we inform the patient’s treating physician of the trial and if the trial sponsor consents, we can rapidly activate the trial locally on-site. We have been able to substantially streamline the site activation process by leveraging technology and introducing a standard methodology, with Just-in-TIME activations taking approximately two weeks on average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-3810</wp:posOffset>
            </wp:positionV>
            <wp:extent cx="5052060" cy="9004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5206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TIME Trial® program has national coverage, including numerous underserved community oncology clinics, allowing us to reach cancer patients who previously did not have access to investigational therapies.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Sermonix is a powerful example of the potential for our Trials product to expand access to clinical trials and identify hard-to-reach patients. Sermonix, a pharmaceutical company focused on women’s oncology, opened a biomarker-driven trial and partnered with Tempus to identify ESR1-positive breast cancer patients. According to the Tempus database of de-identified patient data, ESR1 mutations develop in approximately 14% of all breast cancers. Before engaging Tempus, Sermonix targeted enrolling 24 patients in 18 months and estimated study completion in October 2022.</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After Sermonix enrolled in the Tempus TIME Trial® program, we were able to screen and enroll the first patient in September 2020, within weeks of the trial opening. Within the first month, we activated five TIME Trial® sites before the contract research organization, or CRO, with whom Sermonix was working was able to activate its first site. Ultimately, Tempus helped Sermonix activate ten new trial sites through the TIME Trial® program in an average of 16 days for each site to first consent. By comparison, it took an average of 234 days for the CRO to open each new site and achieve first consent. Tempus enrolled 13 of the ultimately 29 patients in the study, and helped shorten the estimated full enrollment time by approximately ten months.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340"/>
          </w:cols>
          <w:pgMar w:left="320" w:top="448" w:right="2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potential therapeutics or therapeutic pathways, often prescribed based on trial and error. When these conditions exist, we believe technology and AI have the potential to facilitate precision medicine through data associations that substantially reduce the guesswork associated with which drug to prescribe, in what amount, and in which order. We are currently focused on oncology, neuropsychiatry, cardiology, and radiology, in which there is over $3 trillion of economic burden according to publicly available sources.</w:t>
      </w:r>
    </w:p>
    <w:p>
      <w:pPr>
        <w:spacing w:after="0" w:line="187"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just oncology and neuropsychiatry, which includes an estimated addressable market opportunity for solid tumor recurrence and treatment monitoring of over $20 billion. Our Data and Services product line operates within a market in which life sciences companies spent an estimated $262 billion in 2023 on research and development according to Evaluate Pharma, and addresses needs within the $50 billion clinical trial services market, the $51 billion market for biomarker discovery, and the $18 billion market research for “real world evidence”, as estimated according to Mordor Intelligence and our internal estimates based on third-party research. Over time, we believe that the potential market opportunity for our Algos product line could be substantially larger than our other product lines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130810</wp:posOffset>
            </wp:positionV>
            <wp:extent cx="5052060" cy="3084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052060" cy="308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 Product Line Market Opportunity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automated lab infrastructure is capable of a variety of testing modalities and applications, spanning both anatomic and molecular diagnostics. We believe this infrastructure will enable us to address a wide range of emerging testing applications. We are currently focused on both liquid and tissue molecular testing in oncology, as well as tests for neuropsychiatry and infectious disease. In oncology alone, the market for NGS sequencing is expected to grow substantially over the next several decades.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340"/>
          </w:cols>
          <w:pgMar w:left="320" w:top="448"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 Testing Market Opportunity</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At present, we offer three main assays in cancer, including solid tumor profiling, liquid biopsy, and inherited cancer risk screening, and expect to commercialize our fourth assay for cancer recurrence monitoring and measuring minimal residual disease in 2024. We believe that our technology integration, and go to market and commercial infrastructure may provide a strategic advantage, and our assays provide a comprehensive and holistic range of options for physicians and patients. Over time, we anticipate being able to address other emerging NGS oncology markets, such as early disease screening, as our most recent cancer recurrence and MRD assay (xM) is based on joint methylation signature and variant calling workflow for minimal residual disease detection.</w:t>
      </w:r>
    </w:p>
    <w:p>
      <w:pPr>
        <w:spacing w:after="0" w:line="15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believe the oncology testing market is underpenetrated and represents an estimated $60 billion annual global market opportunity across the following testing applications on which we are focused.</w:t>
      </w:r>
    </w:p>
    <w:p>
      <w:pPr>
        <w:spacing w:after="0" w:line="168"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Therapy selection: </w:t>
      </w:r>
      <w:r>
        <w:rPr>
          <w:rFonts w:ascii="Times New Roman" w:cs="Times New Roman" w:eastAsia="Times New Roman" w:hAnsi="Times New Roman"/>
          <w:sz w:val="16"/>
          <w:szCs w:val="16"/>
          <w:color w:val="auto"/>
        </w:rPr>
        <w:t>We address the market for therapy selection with our current tissue and liquid biopsy assay offerings and immunohistochemistry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staining. We believe that NGS is increasingly becoming the standard of care to help physicians choose a therapy for their cancer patients across multiple cancer types. There were approximately 20 million patients estimated to be newly diagnosed with cancer globally in 2022 according to GLOBOCAN, and NGS was performed on less than 3 million of these patients according to our estimates. Genomic markers are connected to FDA approved therapeutics for cancers including breast, cervical, cholangiocarcinoma, colorectal, skin, esophageal, stomach, head and neck, leukemia, certain other blood cancers, ovarian, prostate, sarcoma, melanoma, thyroid and urothelial. Moreover, there are additional FDA approved therapeutics that are pan-cancer in nature, for which the therapeutic agent may provide treatment options for patients with the identified targeted biomarker, no matter what type of cancer. In addition to newly diagnosed cancer patients, there is also the opportunity for NGS testing to profile patients participating in clinical trials. According to ClinicalTrials.gov, there are approximately 750 immuno-oncology and 600 targeted oncology therapy programs ongoing with more than 225,000 patients enrolled. Combined, we estimate that therapy selection accounted for 20 million tests globally in 2023 and believe that this will grow substantially as patients may be tested multiple times in the future to inform therapy. According to the National Cancer Institute, an estimated 2 million patients were diagnosed with new cancer in the United States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267335</wp:posOffset>
            </wp:positionV>
            <wp:extent cx="5052060" cy="26092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052060" cy="2609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340"/>
          </w:cols>
          <w:pgMar w:left="320" w:top="448" w:right="2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Monitoring: </w:t>
      </w:r>
      <w:r>
        <w:rPr>
          <w:rFonts w:ascii="Times New Roman" w:cs="Times New Roman" w:eastAsia="Times New Roman" w:hAnsi="Times New Roman"/>
          <w:sz w:val="18"/>
          <w:szCs w:val="18"/>
          <w:color w:val="auto"/>
        </w:rPr>
        <w:t>We launched our liquid biopsy test for cancer recurrence monitoring and minimal residual disease on June 1, 2024 covering colorectal cancer.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this market opportunity is currently emerging, we anticipate that newly diagnosed cancer patients would benefit from a test that could monitor for cancer recurrence following surgical resection or first line therapy as well as monitor for minimal residual disease (MRD) while on therapy. For those estimated 20 million newly diagnosed cancer patients globally in 2022 according to GLOBOCAN, we believe that multiple tests within the first year following treatment to monitor for recurrence and minimal residual disease could improve clinical outcomes and become the standard of care for many subtypes in the future. In addition, we believe that a test to monitor for recurrence over a longer time period would also benefit a subset of cancer survivors that are at high risk of recurrence. According to our estimates, a substantial number of cancer patients across all cancers will recur within their lifetime and we estimate a higher percentage are at high risk of recurrence. There were approximately 53.5 million cancer survivors in 2022 globally that were diagnosed within the five years previous to 2022 and there are approximately 18.1 million cancer survivors in the United States in 2022. We anticipate that a majority of these patients would benefit from a periodic test over time to test for cancer recurrence and believe it may become standard to test these patients regularly as a means of monitoring their disease progression. Based on certain of our estimates and assumptions, we believe that in newly diagnosed patients alone our recurrence monitoring and minimal residual disease test had a more than 50 million test annual global opportunity in 2022.</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Neuropsychiatry Market Opportunity</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estimate the market opportunity for our nP pharmacogenetic test to inform therapy for patients with depression, anxiety, and bipolar disorder was approximately $10 billion in 2020. Over 13 million patients per year receive treatment for major depressive disorder, or MDD, according to data provided by the National Institute of Mental Health. We believe the opportunity to bring AI to neuropsychiatry is significant and we are at the early stage of the market evolution. The Anxiety &amp; Depression Association of America estimates that 40 million Americans alone suffer from anxiety, and over 26 million Americans have had an episode of depression in 2021 alone according to the National Institute of Mental Health. Despite its growing prevalence, treating depression and anxiety remains difficult. Today, there are dozens of antidepressants that are typically prescribed in a trial and error format, where psychiatrists alter the dose and class of medications when one fails to work. The difficulties in prescribing medications leads to many patients taking the wrong medications in the wrong dose. Emerging evidence suggests that there are molecular mechanisms that suggest one drug, or class of drugs, may work better than another based on the genetic profile of the patient. This field, pharmacogenomics, has only recently emerged and has the potential to be as transformative in neuropsychiatry as it has been in oncology.</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 Product Line Market Opportunity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Data and Services product line provides pharmaceutical and biotechnology companies an alternative to acquire data that they would otherwise need to generate through other more expensive means, like running studies, to inform decisions across the drug development lifecycle. It also helps facilitate patient identification and recruitment for clinical trials. According to Evaluate Pharma, in 2023, an estimated $262 billion was spent on clinical development in the United States. Within this market, our Data and Services product line addresses the following spending categories for biotechnology and pharmaceutical researchers:</w:t>
      </w:r>
    </w:p>
    <w:p>
      <w:pPr>
        <w:spacing w:after="0" w:line="95" w:lineRule="exact"/>
        <w:rPr>
          <w:sz w:val="20"/>
          <w:szCs w:val="20"/>
          <w:color w:val="auto"/>
        </w:rPr>
      </w:pPr>
    </w:p>
    <w:p>
      <w:pPr>
        <w:ind w:left="1000" w:hanging="549"/>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market: $50 billion spend in 2023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 discovery: $51 billion spend in 2023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world evidence: $18 billion spend in 2024 according to our estimates based on third-party research.</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 Product Line Market Opportunity</w:t>
      </w:r>
    </w:p>
    <w:p>
      <w:pPr>
        <w:spacing w:after="0" w:line="110" w:lineRule="exact"/>
        <w:rPr>
          <w:sz w:val="20"/>
          <w:szCs w:val="20"/>
          <w:color w:val="auto"/>
        </w:rPr>
      </w:pPr>
    </w:p>
    <w:p>
      <w:pPr>
        <w:ind w:firstLine="454"/>
        <w:spacing w:after="0" w:line="270" w:lineRule="auto"/>
        <w:rPr>
          <w:sz w:val="20"/>
          <w:szCs w:val="20"/>
          <w:color w:val="auto"/>
        </w:rPr>
      </w:pPr>
      <w:r>
        <w:rPr>
          <w:rFonts w:ascii="Times New Roman" w:cs="Times New Roman" w:eastAsia="Times New Roman" w:hAnsi="Times New Roman"/>
          <w:sz w:val="18"/>
          <w:szCs w:val="18"/>
          <w:color w:val="auto"/>
        </w:rPr>
        <w:t xml:space="preserve">Over the longer term, we estimate that the potential market opportunity for our </w:t>
      </w:r>
      <w:r>
        <w:rPr>
          <w:rFonts w:ascii="Times New Roman" w:cs="Times New Roman" w:eastAsia="Times New Roman" w:hAnsi="Times New Roman"/>
          <w:sz w:val="18"/>
          <w:szCs w:val="18"/>
          <w:i w:val="1"/>
          <w:iCs w:val="1"/>
          <w:color w:val="auto"/>
        </w:rPr>
        <w:t>AI Applications</w:t>
      </w:r>
      <w:r>
        <w:rPr>
          <w:rFonts w:ascii="Times New Roman" w:cs="Times New Roman" w:eastAsia="Times New Roman" w:hAnsi="Times New Roman"/>
          <w:sz w:val="18"/>
          <w:szCs w:val="18"/>
          <w:color w:val="auto"/>
        </w:rPr>
        <w:t xml:space="preserve"> product line could be orders of magnitude larger than the current total combined market opportunity of our Genomics and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340"/>
          </w:cols>
          <w:pgMar w:left="320" w:top="448"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Data and Services product lines. Although such tests currently represent a small portion of laboratory testing volume today, we believe in the long-term, they could represent a significant percentage of the market, as more and more algorithms are developed that produce diagnostic insights. Within the United States, there are more than seven billion clinical diagnostic tests run annually according to the American Clinical Laboratory Association. We believe our integrated diagnostic Platform provides us with a differentiated foundation for the development and deployment of algorithmic diagnostics, uniquely positioning us to capitalize on this new and emerging market opportunity.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the combined power of technology, data, and AI will have a profound impact on the broader healthcare industry, transforming diagnostics, and enabling physicians and researchers to make data-driven decisions that improve clinical outcomes for patients. The industry today largely relies on diagnostics that are often based on a single source of data and do not employ datasets that are appropriate for many researchers and are frequently unable to provide adequate clinical context to inform personalized therapeutics. Tempus, on the other hand, has created an integrated Platform through which we can deploy AI, and has assembled what we consider to be one of the world’s largest libraries of clinical and molecular data, and an operating system to make our information useful for physicians and researchers. We believe our competitive advantages, which we describe below, will enable us to drive widespread commercial adoption of our Platform.</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both a technology company and a healthcare company, allowing us to harness the advantages of both to advance precision medicine.</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the challenge of bringing technology, data, and AI to healthcare requires deep industry expertise across both healthcare and technology. We believe Tempus is well positioned as both a technology company, harnessing the power of data and analytics to help usher in a new era of personalized medicine and a healthcare company, providing AI-driven diagnostics across multiple disease areas. We bring technological capabilities across data and generative AI, which are rarely found among diagnostics companies and yet are necessary for precision medicine. We believe we are differentiated from potential technology competitors in that we have built our Platform to successfully operate in the highly regulated healthcare environment, perform diagnostic testing services as a covered entity, and ingest, collect, structure, and deploy patient data benefiting key stakeholders in the healthcare ecosystem. The team we have assembled has broad experience across technology and healthcare commensurate with the challenge we are undertaking. Our leadership has successfully founded, grown and held leadership positions at technology companies, healthcare providers, life sciences companies, and regulatory bodies such as the FDA. We have approximately 2,300 employees, including hundreds with diverse expertise in genetics, molecular and computational biology, bioinformatics, regulatory affairs, medical, product and engineering, and data science. Roughly one-third of our team is technical, with approximately 250 PhDs and MDs on staff. In addition, as a testament to our balanced workforce, we have almost as many lab technicians as we have software engineers.</w:t>
      </w:r>
    </w:p>
    <w:p>
      <w:pPr>
        <w:spacing w:after="0" w:line="297"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built a Platform that is connected to hundreds of provider networks, allowing us to amass a large repository of multimodal data that we believe is essential for bringing AI to healthcare.</w:t>
      </w:r>
    </w:p>
    <w:p>
      <w:pPr>
        <w:spacing w:after="0" w:line="6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believe we are the first to build an Intelligent Diagnostic platform at scale that is connected to vast amounts of multimodal data and an operating system to make that information useful for both physicians and researchers, with the ultimate goal of serving patients. Our Platform consists of integrated elements working together to grow our database, generate Intelligent Diagnostics, and help physicians make data-driven decisions in real time in the clinical setting. We have established dedicated data pipelines to ingest large amounts of complex multimodal data from healthcare institutions through approximately 450 direct data connections, many of which supply us with data in near real time, across more than 2,000 healthcare institutions that order our products and services. We also built a laboratory infrastructure that is capable of providing a robust suite of testing services, including tissue and liquid biopsy sequencing for our customers. Although our company was founded in late 2015, we have already demonstrated the ability to bring AI to healthcare and provide Intelligent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340"/>
          </w:cols>
          <w:pgMar w:left="320" w:top="448" w:right="2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Diagnostics to enable precision medicine at scale. Our database of multimodal, de-identified records has grown to be more than 50 times the size of The Cancer Genome Atlas, the largest public genomic dataset that we know of in oncology. We also now have more than 200 petabytes of data in our cloud environment. We have also extended our Platform into neuropsychiatry, radiology, and cardiology. We believe each of the elements of our Platform is difficult for others to replicate.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Intelligent Diagnostics provide significant value to our customers, which has fostered broad adoption of many of our products.</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Platform was designed to align the interests of, and benefit, key stakeholders across the healthcare ecosystem, with the ultimate goal of helping patients. For physicians and other healthcare providers, we offer a suite of products and services that enable them to accelerate their precision medicine efforts, regardless of whether they work in the community setting or within a large healthcare institution. We offer a comprehensive molecular testing portfolio that includes tissue and liquid biopsy NGS tests, which are intelligent, able to provide clinical context for patients, and may help inform therapeutic decisions as a result. In addition to Intelligent Diagnostics, we offer physicians and researchers numerous analytical and software tools to help them manage patients, perform analytics, and derive insights from being a part of our network. We make available to those providers and researchers the raw files that result from our sequencing together with structured clinical data we abstract related to that testing. Through our Trials product offering, we also help oncologists identify patients eligible for clinical trials. Over time, we believe our AI Applications product line will offer physicians and patients unique and clinically actionable insights that are only possible by virtue of the data we have assembled. For pharmaceutical and biotechnology companies, we offer paid access to our de-identified database, with unique breadth, quality, and diversity of data, to inform drug discovery and development. We believe our dataset is the largest and most comprehensive to date in oncology (with other disease areas following), spanning multiple data modalities including: phenotypes, pathology slides, radiology scales, DNA, RNA, TCR/BCR, cfDNA, HLA types, immunohistochemistry, lab results, therapy outcome and response data, single cell sequencing, methylation, microbiomics, and epigenomes.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 has inherent network effects that help drive adoption and improve our data advantage with each new order placed.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Each of our three product lines is designed to collectively leverage our database, strengthen the other product lines, and create network effects and competitive advantages within our markets. Our Genomics product line, including our core diagnostics offering, serves as a foundation for our Data and Services product line, which in turn drives our AI Applications product line. As we collect more data, our tests become more accurate, we launch more applications, and more physicians join our network, thereby growing our database even further to make our tests more precise for clinicians and our database more valuable for researchers. There are multiple network effects we believe will provide a significant competitive advantage and drive adoption of our Platform over time. First, as our Platform becomes more accurate and precise, we believe it inherently drives commercial adoption with physicians and other providers. The breadth and diversity of our multimodal database enables us to deploy generative AI to improve upon our current tests by making them more accurate and more precise. This helps drive new physicians onto our Platform which further increases the size of our database. As our database grows, it increases our ability to develop entirely new tests, such as Algos, which can further drive adoption among physicians. Second, the growth of our database inherently drives commercial adoption with pharmaceutical and biotechnology companies. An increasing number of physicians and other providers using our tests helps grow our database, which increases its value to researchers, as well as results in a larger customer network through which we can facilitate therapy selection and clinical trial recruitment. Unlike traditional laboratory diagnostics, we have the ability to monetize de-identified data in multiple ways, which provides an opportunity to drive revenue beyond just the revenue we receive for running a laboratory test. We believe this creates a competitive advantage as our business model allows us to offer genomic solutions and build proprietary datasets in ways other lab testing providers cannot, as many of them are focused on maximizing reimbursement and do not have ancillary revenue streams as we do. Moreover, the longitudinal nature of the data we collect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340"/>
          </w:cols>
          <w:pgMar w:left="320" w:top="448" w:right="2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further enhances our revenue opportunity as the records we collect have value over time, given that outcomes and response evolve as patients progress through treatment.</w:t>
      </w:r>
    </w:p>
    <w:p>
      <w:pPr>
        <w:spacing w:after="0" w:line="271" w:lineRule="exact"/>
        <w:rPr>
          <w:sz w:val="20"/>
          <w:szCs w:val="20"/>
          <w:color w:val="auto"/>
        </w:rPr>
      </w:pPr>
    </w:p>
    <w:p>
      <w:pPr>
        <w:ind w:left="460" w:right="6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Platform was built to collect, structure, harmonize and analyze large amounts of multimodal data and make use of large language models deploying generative AI applications in healthcare.</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designed our Platform to be data agnostic. Our Platform can ingest and harmonize data from a wide variety of different healthcare data modalities. Unlike many other laboratory testing providers that focus on a specific modality of data, such as genomics, we currently ingest longitudinal clinical data from EHR including imaging data, generate DNA and RNA profiles along with other forms of molecular data, and perform anatomic pathology analysis. Our unique dataset allows us to leverage multimodal data to deploy generative AI across the large language models we develop and provide Intelligent Diagnostics that generate insights that may be more powerful than insights provided by a single modality of data alone. We believe the healthcare industry is continuing to move towards using orthogonal and varied datasets to inform decision-making, and we are well positioned to be a partner of choice to facilitate this transformation.</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Platform is disease agnostic and facilitates rapid expansion into different disease categories.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While we started in oncology, our capabilities to collect, structure, and harmonize data, and deploy AI solutions, are applicable to other disease areas. We believe having a multi-disease focus enables us to engage with providers and pharmaceutical companies in a more comprehensive manner than if we were focused on a single disease. As institutions are often looking for ways to deploy precision medicine broadly across diseases, we believe we are well positioned to be their partner, particularly given our established traction within precision oncology and our emerging strength in other disease areas. We have successfully leveraged the core capabilities of our Platform to expand our offering beyond oncology as we entered into neuropsychiatry in 2020 (MDD, bipolar disease, anxiety), radiology and cardiology in 2023.</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database and the breadth of our multimodal data capabilities position us well to be able to launch AI Applications at scale.</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believe our AI Applications product line represents an emerging category of diagnostics that are algorithmic in nature and has the potential to be highly disruptive across a broad set of disease areas. For example, our currently deployed Algos use data the same way laboratory diagnostics companies use chemistry in the battle against disease, improving patient care by learning from the patients who have come before, and tailoring test results based on each patient’s unique profile. We believe that as our database grows, we will be able to expand our AI Applications offering, representing a significant long-term opportunity that may be substantially larger than our other existing product lines. We believe our ability to launch AI Applications at scale is a key differentiator of our Platform. We believe our unique data set will enable us to bring the benefits of generative AI and large language models to healthcare, as our curated, multimodal database can be used as a proprietary training set to build a variety of AI based applications, which we intend to deploy through our existing network and distribution platform.</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Many of our products and services are already widely used throughout the healthcare ecosystem.</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established a network that we believe would be difficult for potential competitors to replicate. We have relationships with providers, life sciences companies, and leading industry associations that help provide key competitive advantages around our Platform. We work with hundreds of provider networks, including more than 65% of all academic medical centers in the United States. We have approximately 450 direct unique data connections, many of which supply us with complex multimodal data in near real time, across more than 2,000 healthcare institutions that order our products and services. In addition, we work with numerous industry associations, such as ASCO to structure and distribute the oncology data they collect as part of CancerLinq, which is their oncology data effort. To align interests with the healthcare providers who share data with us, we have developed software products and services that help our partners leverage data and benefit from being part 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340"/>
          </w:cols>
          <w:pgMar w:left="320" w:top="448" w:right="2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our network to improve patient care and research. These products have gained significant traction over the past five years, as our offerings are used by more than 7,000 physicians in some way. Between our sequencing and data collection efforts, we are connected in some way to more than 50% of all oncologists practicing in the United States. The value of our products is further evidenced by our volume of repeat ordering from oncologists. Through December 2023, the 12-month retention rate for physicians ordering more than 5 oncology NGS tests was 87% and for physicians ordering more than 25 oncology NGS tests, it was 92%. We define an active physician as those that have placed an oncology NGS test in the last 365 days. The 2023 retention rates are calculated by dividing the number of active physicians in 2022 who have placed more than 5 or 25 oncology NGS tests and also placed an order in 2023 by the total number of active physicians in 2022 who placed more than 5 or 25 oncology NGS tests. As of December 31, 2023, the number of active physicians that had ordered more than 5 oncology NGS tests in the last 365 days was 3,186, and the number of physicians that had previously ordered more than 5 oncology NGS tests but did not order one in 2023 was</w:t>
      </w:r>
    </w:p>
    <w:p>
      <w:pPr>
        <w:spacing w:after="0" w:line="6" w:lineRule="exact"/>
        <w:rPr>
          <w:sz w:val="20"/>
          <w:szCs w:val="20"/>
          <w:color w:val="auto"/>
        </w:rPr>
      </w:pPr>
    </w:p>
    <w:p>
      <w:pPr>
        <w:ind w:firstLine="5"/>
        <w:spacing w:after="0" w:line="247" w:lineRule="auto"/>
        <w:tabs>
          <w:tab w:leader="none" w:pos="3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number of active ordering physicians that had ordered more than 25 oncology NGS tests in the prior 365 days was 1,977, and the number of physicians that had previously ordered more than 25 oncology NGS tests but did not order one in 2023 was 162.</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goal is to make the promise of precision medicine a reality, and dramatically improve outcomes for those most in need through the broad adoption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AI-enabled diagnostics. Our growth strategy is to:</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Grow our database and the number of providers connected to our Platform.</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Our database is core to our business model and our ability to deploy AI at scale to enable precision medicine and generate value for ourselves and our customers. We believe we have developed a unique leadership position in the industry, in the United States, given the data we have been able to amass and aim to continue to fuel this growth. We intend to do so by driving commercial adoption of our Platform with healthcare providers, expanding our data sharing relationships, and growing the number of our unique data connections and the hospitals with whom we share data. We also intend to expand our relationships and establish new relationships with industry bodies and associations to help them structure and harmonize their own data to facilitate improvements in patient care. We expect to invest in our laboratory capabilities to leverage the latest technologies and to expand into additional diagnostic modalities as they become adopted by our customers and relevant for helping patients find optimal therapeutics. We are agnostic as to where data originates so long as it enhances precision medicine. Over time, we may also use our Platform to help catalyze the value of data produced by other sources, including other labs. As such, we may evaluate business development opportunities to help grow and consolidate data, whether produced by us or others, both in the United States and abroad.</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Genomics product across healthcare providers.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serve clinical and research customers broadly through our Genomics product line. We are focused on driving market adoption with physicians by providing a complete portfolio of Intelligent Diagnostics and a suite of software applications that enable them to enhance their precision medicine efforts. We leverage customer feedback to inform product development, including making our tests more precise, and develop new tests and applications that help physicians deliver better clinical outcomes. In oncology, while we currently provide information to help physicians select the right therapy and make sure their patients have access to the most appropriate clinical trials, we are also expanding into other applications, such as disease monitoring and recurrence detection through our new minimal residual disease test, which is currently being validated. We also help clinicians practice precision medicine and provide genetic testing in other disease areas, including neuropsychiatry and infectious disease. We employ a direct sales force in the United States focused on driving adoption with the clinical community and raising awareness of the benefits of our Platform. For research, we aim to drive adoption of our Genomics product line with life sciences companies by supporting their testing needs for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340"/>
          </w:cols>
          <w:pgMar w:left="320" w:top="448" w:right="2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clinical trials and through the development of companion diagnostics. At present, we have more than 211 sales representatives focused on our Genomics offering, and intend to significantly add resources to the team over time.</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data licensing and clinical trial matching products with pharmaceutical and biotechnology companies.</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As of March 31, 2024, we have worked with over 200 biotech companies, as well as 19 of the 20 largest public pharmaceutical companies based on 2023 revenue. Our goal is to provide our pharmaceutical and biotechnology customers with a Platform that helps them address challenges throughout their entire product lifecycle. Access to our database, provider network, and laboratory testing capabilities allow our customers to advance their research and clinical initiatives from biomarker discovery through commercialization. The value of multimodal data for informing drug discovery and development is becoming increasingly well understood by life sciences companies. We plan to take advantage of this trend and work to grow the number of companies purchasing de-identified data from us through our Insights product, both those that license data on a per-de-identified record basis as well as those that subscribe to our broader database. We also plan to continue to develop and commercialize software and analytic tools that make the products and services built on our Platform easier to use, including our Lens application that enhances cloud and compute analytical capabilities for researchers. For our Trials product, we aim to grow the number of oncologists and the number of clinical trials participating in our network, and to increase the number of patients we identify to enroll into clinical trials. We are leveraging our direct sales force focused on providers to facilitate the onboarding of oncologists and have an enterprise sales team that focuses on pharmaceutical and biotechnology companies to increase the number of clinical trials in the network.</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Validate and deploy AI Applications at scale.</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currently have AI Applications commercially launched through our three Algos in oncology: our TO test, our HRD test, and our DPYD test. We seek to launch additional Algos in oncology and other disease categories, such as cardiology where we have multiple Algos in development. For example, we received breakthrough designation from the FDA for our AFib algorithm based largely on ECG data, and we have a number of other cardiology Algos in development that use ECG data as a primary predictor of potential indications and outcomes. We also intend to focus on growing our primary AI Applications product called “Next,” which is an AI-platform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 We will also seek to launch additional AI Applications, such as implementing new software as a medical device and building and deploying clinical decision support tools. We are commercializing our current Algos to physicians through our direct sales force focused on the clinical market. As more Algos are clinically validated, we expect to leverage this channel to sell additional Algo tests. Over time, we may open our database to third parties to allow them to develop their own Algos using our database, or add our Algos to their existing laboratory tests. We believe the size, breadth, and diversity of our data will ultimately facilitate development of AI Applications across multiple disease categories.</w:t>
      </w:r>
    </w:p>
    <w:p>
      <w:pPr>
        <w:spacing w:after="0" w:line="296" w:lineRule="exact"/>
        <w:rPr>
          <w:sz w:val="20"/>
          <w:szCs w:val="20"/>
          <w:color w:val="auto"/>
        </w:rPr>
      </w:pPr>
    </w:p>
    <w:p>
      <w:pPr>
        <w:ind w:left="460" w:right="8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Expand our capabilities and commercial traction outside of oncology, including in neuropsychiatry, radiology, cardiology, and other disease categories.</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built our Platform to be disease agnostic, and we aim to grow adoption in disease categories in which connecting multimodal data and AI can improve decisions and analytics for physicians and researchers. We believe our AI-enabled Platform is uniquely positioned to generate insights when there exist both heterogeneous conditions among a diseased population and a variety of potential therapeutics or therapeutic pathways, often prescribed based on trial and error. In these disease categories, technology and AI have the potential to facilitate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340"/>
          </w:cols>
          <w:pgMar w:left="320" w:top="448" w:right="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data associations and substantially reduce the guesswork as to which drug to prescribe, in what amount, and in which order. We believe these conditions exist in oncology, neuropsychiatry, and cardiology, as well as numerous other life-threatening and chronic diseases. Through our existing relationships with providers and life science companies, we believe we have a high level of visibility into where key healthcare stakeholders desire to advance precision medicine. We believe our Platform is applicable across multiple disease categories, and we plan to extend our offering into additional disease areas. Over time, we believe AI enabled diagnostics will impact all disease categories, and our disease agnostic Platform, broad technology capabilities, and vast customer network, position us well.</w:t>
      </w: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internationally.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the opportunity to deploy data and AI in healthcare is global. In many geographies, we believe the healthcare infrastructure is ripe for AI, and in some cases, the ecosystem is even more developed than in the United States. Over time, we intend to expand our capabilities internationally. We are evaluating multiple expansion opportunities, both organic and inorganic. We may acquire or partner with an established entity to facilitate market entry, or we may choose an alternative path focused on organic expansion, such as our Joint Venture in Japan. See “Prospectus Summary—Recent Developments—Japan Joint Venture and Related Agreements” for additional information.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commercial efforts are generally focused on driving increased adoption of our various products and services, both by increasing the utilization of existing customers and securing new customers. We employ targeted sales and business development organizations, whose team members are engaged in direct sales and marketing efforts. Our commercial teams typically target healthcare providers and life sciences companies, which are the main purchasers of our products and services. We describe below our overall commercial strategy for each of our three products.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Genomics product line, largely made up of molecular testing, has two primary customers: physicians and bio-pharma companies. When we sell our tests to physicians we are typically providing them as part of routine clinical care and we are often billing insurance and seeking reimbursement on behalf of the patients for whom the test was ordered. When we sell our test to bio-pharma, we are typically being paid as a contract sequencing provider, either for the trials they are running or as a companion diagnostic to their drug. On the physician side, we commercialize our Genomics products in the United States to clinicians and healthcare providers largely through our dedicated clinical sales organization, that calls on individual doctors or medical practices. As of March 31, 2024, our clinical sales organization in the United States included more than 199 sales representatives who are primarily contacting oncologists, psychiatrists, and other healthcare providers. Our sales representatives typically have backgrounds either in a particular disease area (such as oncology or neuropsychiatry) or in laboratory testing and therapeutics more generally. We supplement our commercial team with clinical specialists with extensive medical affairs experience who provide molecular support in the field.</w:t>
      </w:r>
    </w:p>
    <w:p>
      <w:pPr>
        <w:spacing w:after="0" w:line="19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oncology, which currently is our largest market, we are focused on driving adoption by targeting individual treating physicians, academic medical centers, community oncology practices, leading physician networks, and industry associations. We also are exploring relationships with third-party payers and governmental institutions. We have a land and expand strategy, by account, whereby we attempt to sign new accounts and increase adoption of our platform within these accounts over time. As such, we often begin a relationship that is transactional in nature, but seek over time, to work on a more comprehensive basis with healthcare providers, serving an ever increasing percentage of our molecular diagnostic needs over time. We find that once a physician starts using Tempus, if they order more than 5 oncology NGS tests from us, their 12-month retention rate is 87%.</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340"/>
          </w:cols>
          <w:pgMar w:left="320" w:top="448" w:right="2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we believe that interactions among treating physicians help drive adoption of our products. We are focused on key opinion leaders in the industry through direct outreach and indirect marketing efforts. As of March 31, 2024, we have either published or been acknowledged in 485 publications (401 Tempus-authored), including the following:</w:t>
      </w:r>
    </w:p>
    <w:p>
      <w:pPr>
        <w:spacing w:after="0" w:line="89" w:lineRule="exact"/>
        <w:rPr>
          <w:sz w:val="20"/>
          <w:szCs w:val="20"/>
          <w:color w:val="auto"/>
        </w:rPr>
      </w:pPr>
    </w:p>
    <w:p>
      <w:pPr>
        <w:ind w:left="1000" w:hanging="549"/>
        <w:spacing w:after="0" w:line="267"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126 total (93 Tempus-authored) peer-reviewed articles published or accepted for publication in major journals, including publications such as </w:t>
      </w:r>
      <w:r>
        <w:rPr>
          <w:rFonts w:ascii="Times New Roman" w:cs="Times New Roman" w:eastAsia="Times New Roman" w:hAnsi="Times New Roman"/>
          <w:sz w:val="18"/>
          <w:szCs w:val="18"/>
          <w:i w:val="1"/>
          <w:iCs w:val="1"/>
          <w:color w:val="auto"/>
        </w:rPr>
        <w:t>Nature Biotechnology, Clinical Breast Cancer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Nature Medicine,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Cell</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272 total (237 Tempus-authored) poster presentations based on clinical and research data that have been accepted and presented at major scientific conferences.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oral presentations at scientific meetings such as the ASCO, ASCO Gastrointestinal and Genitourinary Cancer Symposiums, San Antonio Breast Cancer Symposium, and the American Heart Association Scientific Sessions.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a similar strategy in neuropsychiatry, in which we aim to increase the commercial adoption of our nP test for depression as part of the rapidly growing market for pharmacogenomic testing, with a goal to better understand, diagnose and treat neuropsychiatric disorders.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commercial strategy for other disease areas is expected to follow our strategy in oncology, which is to focus on offering a broad range of molecular diagnostics to the market, that are connected to clinical data, so we can track how molecular results correlate with outcomes and responses, thereby making our tests smarter and more personalized overtime.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Testing</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small component of our genomic testing involves testing performed in a research capacity. This type of testing is typically done under an agreed upon contracted arrangement for specific tests at specific prices and volumes. Typical customers in these arrangements are pharmaceutical companies engaged in testing for clinical trials, researchers who need genomic testing to further research activities, or a company marketing products or services of their own who elects to use us as a reference laboratory. In this type of research testing, the agreed upon rate for testing may vary significantly, and in some cases may even be offered as an in-kind service in exchange for other rights we obtain in the contracted relationship.</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it relates to selling our Genomic Products to bio-pharma, we have a dedicated team of sales executives focused on calling on biotech and pharmaceutical companies who use genomic sequencing services predominantly for the research they are conducting, the clinical trials they are running, or as a companion diagnostic to the extent their therapeutic relies on a bio-marker. To this group, we are typically selling retrospective and prospective sample testing services, as well as companion diagnostic development to support the approval and commercialization of therapeutics.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our field sales force, our Data and Services products rely on a dedicated business development team focused on enterprise sales to pharmaceutical and biotechnology companies in the United States and abroad. Our strategy with each customer is to demonstrate the value proposition of our Platform and de-identified datasets, and to expand the utilization of our Data and Services products across the organization from early-stage research through clinical development to commercialization. Given the broad and differentiated utility of our Platform, we believe we can support our pharmaceutical and biopharmaceutical customers across many applications, including:</w:t>
      </w:r>
    </w:p>
    <w:p>
      <w:pPr>
        <w:spacing w:after="0" w:line="95" w:lineRule="exact"/>
        <w:rPr>
          <w:sz w:val="20"/>
          <w:szCs w:val="20"/>
          <w:color w:val="auto"/>
        </w:rPr>
      </w:pPr>
    </w:p>
    <w:p>
      <w:pPr>
        <w:ind w:left="1000" w:hanging="549"/>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research and development;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new targets and mechanisms of acquired resistance;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340"/>
          </w:cols>
          <w:pgMar w:left="320" w:top="448"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patient identification and enrollment;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 services, including cloud and compute.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expect to be able to capture other commercial opportunities from our genomic data, which can be used in combination with clinical outcomes or claims data for multiple applications, including novel target identification, label expansion, and other commercial applications.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March 31, 2024, we had approximately 47 sales executives in our Data and Services product line development organization. We divide these individuals by both geography and strategic account to ensure consistency and coordination across our sales efforts.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third product line, AI Applications, is focused on developing and providing diagnostics that are algorithmic in nature, implementing new software as a medical device, and building and deploying clinical decision support tools. Our primary AI Applications product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develop Algos in three ways: (i) we may develop them internally based on our robust de-identified dataset; (ii) we may collaborate with a third party to develop Algos together; and (iii) we may license an existing Algo from a third party. Once we clinically validate an Algo, we typically bring it to market through our existing provider network by leveraging our Genomics sales force. For example, our HRD and TO Algos in oncology have been added to our standard requisition forms, online portal, and EHR integrations. Treating clinicians can order these Algos at the same time they place their standard clinical testing orders for our other Genomics products. We believe clinicians find significant value in being able to receive multiple answers from Tempus while only needing to provide one set of biospecimens, thereby reducing the burden on their patients and their staff. At present, we expect our Algos in other disease areas to go to market through our network of EHR integrations and clinical collaborations.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October 2022, we acquired Arterys, Inc., a company that provides a platform to derive insights from radiology medical images to improve diagnostic decision-making, efficiency, and productivity across multiple disease areas. We have also developed algorithms based on IHC and H&amp;E staining, which can be used, among other things, to help identify patients who may be eligible for additional treatments or clinical trials.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commercialize AI Applications in multiple ways. With respect to Algos, historically, we have billed our Algos in oncology to third-party payers just like our other clinical tests. Beginning January 1, 2023, these three Algos were no longer billed separately as there is now a dedicated CPT code to bill for the underlying wet lab procedure. The commercialization of future Algos will depend the nature of each and whether we are able to bill insurance separately. When we do so, we expect reimbursement will be limited for most Algos at launch and may grow over time as we build additional evidence to support the clinical utility and benefit of each Algo.</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to billing third-party payers, we also work with pharmaceutical companies and healthcare providers to deploy AI Applications that we bill directly to the customer.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increasing value of using data to inform clinical care and drug development decisions is leading more companies to attempt to develop offerings that are marketed in a manner that makes them appear comparable to ours. As a result, each of our products faces increasing competition from a number of other companies.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340"/>
          </w:cols>
          <w:pgMar w:left="320" w:top="448" w:right="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Genomics products line primarily faces competition from diagnostics companies that profile genes in cancers and other disease areas, based on either single-marker or comprehensive genomic profile testing, using NGS to evaluate either blood or tissue. Our primary competitors for our currently marketed precision oncology tests include Foundation Medicine, Inc., which was acquired by Roche Holdings, Inc., Caris Life Sciences, Guardant Health, Inc., Natera, Neogenomics, ResolutionBio, which was acquired by Agilent, and others. As we expand into other applications such as recurrence monitoring or minimal residual disease, as well as potentially testing for early detection in the future, we anticipate facing competition from a broader universe of companies. Legacy diagnostic laboratories, such as Quest and LabCorp may also pose competitive threats within the market. Competitors for our pharmacogenetic test in neuropsychiatry include Myriad Genetics, Inc. and Genomind, Inc.</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 and Services products primarily face competition from companies that help pharmaceutical and biotechnology companies acquire data to inform drug discovery and development. Our main competitors in this area are Flatiron Health, Inc., IQVIA Holdings Inc., ConcertAI, and others. Our Data and Services products also face competition from CROs, such as Fortrea, ICON, Syneos, PPD, and others, who provide data and clinical trial matching services to pharmaceutical and biotechnology companies.</w:t>
      </w:r>
    </w:p>
    <w:p>
      <w:pPr>
        <w:spacing w:after="0" w:line="184"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Our AI Applications products face competition from providers that are focused on providing laboratory testing or algorithm-based diagnostics for the disease and application areas in which our Algos are focused. Our TO test competes with liquid or tissue-based diagnostic tests from Roche Holdings, Inc., Caris Life Sciences, Guardant Health, Inc. Illumina, Inc, and others. Our HRD test competes with tests from Myriad Genetics, Inc., Caris Life Sciences, and others. We may also compete with companies developing or commercializing algorithm-based diagnostics using a variety of different data modalities, including digital pathology companies such as PathAI, Inc. and PaigeAI. In cardiology we may compete with companies such as HeartFlow Inc. and Eko Devices, Inc. We expect other competitors to enter this market, including academic medical centers who develop their own Algos and are looking for new ways to commercialize them. We believe we are positioned well against this competition given our broad provider network and our ability to deploy AI solutions at scale through our Platform.</w:t>
      </w:r>
    </w:p>
    <w:p>
      <w:pPr>
        <w:spacing w:after="0" w:line="16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Many of our competitors may have substantially greater financial and other resources than us, including larger research and development staff, or more established marketing and sales forces. Other competitors are in the process of developing novel technologies for the diagnostics and healthcare data markets that may lead to products that rival or replace our products. While we cannot be certain as to how the market will evolve, today we believe we are substantially differentiated from our competitors for many reasons, including the network effects of our products, proprietary technologies, rigorous product development processes and scalable infrastructure, customer experience, and multidisciplinary teams.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further discussion of the risks we face relating to competition, see the section titled “Risk factors—Risks Related to Our Business and Strategy.”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Payer coverage and reimbursement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 majority of the genomic testing we perform is clinical in nature. We typically receive reimbursement for these tests from commercial payers and from government health benefits programs, such as Medicare and Medicaid. In almost all of our arrangements for clinical testing, we take on the obligation (and risk) to bill the patient’s insurance for the testing being provided, subject to other laws that may require us to directly bill the healthcare provider in limited circumstances. We also have a small number of “direct pay” arrangements where the provider may agree to pay us a specific amount and take on the billing obligation (and associated risk of payment) for the testing performed for that customer’s patients, or where a third-party advocacy group or government agency has arranged for and agreed to pay for testing.</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Laboratory tests such as our genomic tests, as with most other healthcare services, are classified for reimbursement purposes under a coding system maintained by the American Medical Association known as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340"/>
          </w:cols>
          <w:pgMar w:left="320" w:top="448" w:right="2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current procedure terminology, or CPT, which we use to bill and receive reimbursement for our tests. CPT codes are associated with the particular test that we have provided to the patient, but do not always precisely describe the testing offered.</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Once the American Medical Association establishes a CPT code, the Centers for Medicare &amp; Medicaid Services, or CMS, establish payment levels and coverage rules under Medicare (sometimes through national coverage determinations, or NCDs), although it delegates some of that authority to local Medicare administrative contractors, or MACs, who may have local coverage determinations, or LCDs, in place. Private payers establish their rates and coverage rules independently.</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December 31, 2023, we had received payment on approximately 50% of our clinical oncology NGS tests across all payors performed from January 1, 2021 through December 31, 2022. We calculated this metric on a trailing basis based on payor adjudication timing. However, we continued to perform our NGS tests through December 31, 2023. For the years ended December 31, 2022 and 2023, our average reimbursement for NGS tests in oncology was approximately $916 and $1,452, respectively. Our strategy to improve reimbursement is as follows:</w:t>
      </w:r>
    </w:p>
    <w:p>
      <w:pPr>
        <w:spacing w:after="0" w:line="92" w:lineRule="exact"/>
        <w:rPr>
          <w:sz w:val="20"/>
          <w:szCs w:val="20"/>
          <w:color w:val="auto"/>
        </w:rPr>
      </w:pPr>
    </w:p>
    <w:p>
      <w:pPr>
        <w:ind w:left="1000" w:hanging="549"/>
        <w:spacing w:after="0" w:line="267"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NGS, our local MAC in Chicago, to maintain coverage of current assays, obtain coverage of new assays through engagement and reconsideration requests, and to continue various appeals when coverage is denied.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our new MAC, Palmetto, which covers our tests when performed out of our newest lab in Raleigh, North Carolina, to get the technical assessment of our assays approved and coverage policy in place for reimbursement.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seek FDA approval of additional assays.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work with commercial payers to both get in network and get our assay approved and reimbursement at a higher rate than it currently is.</w:t>
      </w:r>
    </w:p>
    <w:p>
      <w:pPr>
        <w:spacing w:after="0" w:line="23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At present, we have a team that is dedicated to the above, and if we are successful we would expect our reimbursement per assay to be more in line with other NGS providers who have adopted similar strategies, such as FMI and Guardant.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Because we expect the Algos we bring to market to provide value to a wide variety of stakeholders in the healthcare ecosystem, we anticipate that the payment we may be able to obtain will vary substantially. Value obtained is likely to depend on the nature of the underlying product or service developed, as well as the disease area and manner in which the product or service is made available. For example, while the current HRD and TO offerings are point-of-care ordered, and are reimbursed through our xR assay, we do not expect to be limited only to payment and reimbursement through the typical fee-for-service reimbursement model based solely on point-of-care clinical testing. We may also develop Algos in combination with life sciences companies in which we are paid directly or through alternative payment structures.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sum, we expect that reimbursement for our Genomics products and Algos may provide value to, and potentially be paid for by, pharmaceutical companies, health maintenance organizations, managed care organizations, pharmacy benefit managers, large employers, and integrated delivery network health systems, in addition to being reimbursed by government healthcare programs, private insurers and other third-party payers. Those arrangements may take many forms. Pharmaceutical companies have expressed interest in using some of our Algos to better identify, screen, stratify, and enroll patients in clinical trials, payers have expressed interest in Algos that could assist them in value-based care initiatives that reduce spending waste in the healthcare system, and large health systems have expressed interest in certain population health screening Algos that could assist them in providing higher quality care, better outcomes for patients, and/or in reducing costs.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340"/>
          </w:cols>
          <w:pgMar w:left="320" w:top="448" w:right="2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perform our laboratory tests, including our NGS and anatomic pathology tests in our clinical laboratories in Chicago, Atlanta, and Raleigh. Our Chicago, Atlanta and Raleigh laboratories are CAP-accredited and CLIA-certified, and licensed in other states including New York, California, Maryland, Pennsylvania, and Rhode Island.</w:t>
      </w:r>
    </w:p>
    <w:p>
      <w:pPr>
        <w:spacing w:after="0" w:line="18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scale our laboratories have been able to achieve in the approximately 7 year period since we ran our first clinical test is a direct result of the quality and experience of our laboratory staff, our investment in technologies in the laboratory that assist with automation and workflow improvements, and the ability of our engineering staff to build fit for purpose applications in a rapid development environment to support the laboratory’s evolving needs. Our leadership staff in laboratory operations has decades of experience in running high-quality, high-throughput assays and have been instrumental in putting in place the necessary standard operating procedures to perform the volume of testing we do in a repeatable, reliable manner while constantly looking for opportunities to improve and refine our processes. The workflows in our laboratory are designed for high-throughput testing and numerous steps in the process are fully automated or semi-automated using robotics and other advanced workflow technologies. At present, for our xT and xF tests, our laboratory workflows enable us to successfully deliver results over 95% of the time, assuming tissue is received that meets the minimum requirements we have outlined for our assays.</w:t>
      </w:r>
    </w:p>
    <w:p>
      <w:pPr>
        <w:spacing w:after="0" w:line="16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investments have allowed us to continuously drive turnaround time downward, to provide results to doctors and their patients in a timeframe that we believe now meets or exceeds many of our competitors who have been operating in the NGS space for longer. As of December 31, 2023, our average turnaround time for our xT assays was approximately nine days, and our average turnaround time for xF was seven days.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that the strong foundational infrastructure in our laboratory operations, along with the technology used in our lab and the engineering expertise we have on hand is further differentiated when coupled with the connections we can rapidly deploy with our customers, and the experienced research scientists and doctors we employ, who are able to design and refine our highest volume assays in-house. We believe this unique combination will continue to allow us to rapidly respond to the changing needs of our customers and evolving market conditions.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Collaborations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AstraZeneca Master Services Agreement</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In November 2021, we entered into a Master Services Agreement, or, as amended in October 2022, February 2023 and December 2023,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minimum commitment may increase to $320 million upon the occurrence of any of the following events: (i) at AstraZeneca’s election on or before December 31, 2024, (ii) the date that AstraZeneca exercises the warrant issued pursuant to the terms thereof (as described below), or (iii) in the event of an initial public offering, if the average closing price of our common stock exceeds two times the offering price for any 30-day trading period following the one-year anniversary of such initial public offering. The term of the master services agreement will continue through December 31, 2028, unless terminated sooner.</w:t>
      </w:r>
    </w:p>
    <w:p>
      <w:pPr>
        <w:spacing w:after="0" w:line="16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Under the warrant, AstraZeneca has the right to purchase up to $100 million in shares of our Class A common stock at an exercise price equal to the initial public offering price in this offering. The number of shares of Class A common stock issuable upon exercise of the warrant will be 2,702,703, based on the initial public offering price of $37.00 per share. The warrant may be exercised any time following the date that is 180 days following the pricing of our initial public offering through December 31, 2026. AstraZeneca will be entitled to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340"/>
          </w:cols>
          <w:pgMar w:left="320" w:top="448" w:right="2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w:t>
      </w:r>
    </w:p>
    <w:p>
      <w:pPr>
        <w:spacing w:after="0" w:line="2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GSK Master Services Agreement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August 2022, we entered into a Strategic Collaboration Agreement, or, as amended in May 2024,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w:t>
      </w:r>
    </w:p>
    <w:p>
      <w:pPr>
        <w:spacing w:after="0" w:line="2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Recursion Master Agreement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Class A common stock and Class B common stock outstanding on November 3, 2023, or the date immediately preceding the date of any shares of Class A common stock issued pursuant to the Recursion Agreement, whichever is less. We have customary registration rights with respect to any shares of Recursion’s Class A common stock issued pursuant to the Recursion Agreement.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are committed to providing reliable and accurate molecular information to our customers. We have established sophisticated laboratory workflows and automated procedures to ensure accurate specimen identification, timely communication of results, and prompt discovery and correction of errors. We monitor our quality through a variety of methods, including objectively measured performance improvement indicators. Any quality concerns and incidents are subject to risk assessment, root cause analysis, and corrective action plans. Safeguarding protected health information, or PHI, is of primary importance.</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established a comprehensive quality assurance program for our laboratory. Our quality assurance program includes policies and procedures covering personnel qualifications and training requirements, process and test validation, quality control of reagents and test processes, proficiency testing, routine monitoring, 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340"/>
          </w:cols>
          <w:pgMar w:left="320" w:top="448" w:right="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internal audit. We have implemented policies and procedures to adhere to applicable requirements necessary for federal and state licenses and accreditation for clinical diagnostic laboratories, including policies and procedures related to patient and employee safety, hazardous waste disposal, and general laboratory management.</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a highly automatic system in place to manage our workflow called LIMS, which also connects to our various supply chain systems through which we ensure materials our ordered in a timely manner, and the logistics of each order are overseen to ensure we are delivering orders, in the shortest time possible, with the highest quality possible.</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maintain significant inventory on hand of both laboratory consumables and other materials to avoid work stoppages and/or material delays. Our systems, processes, and procedures are designed to scale, as evidenced by the fact that we have become one of the largest sequences of cancer patients in the United States in just a few years.</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to provide our products and services. Illumina, Inc., is our primary supplier of sequencers and laboratory reagents; however, we purchase laboratory supplies from other companies as well, such as Roche Holdings, Inc., Integrated DNA Technologies, and PerkinsElmer. We rely on standard commercial carriers for the delivery of samples to our laboratories.</w:t>
      </w:r>
    </w:p>
    <w:p>
      <w:pPr>
        <w:spacing w:after="0" w:line="18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 June 2021, we entered into a supply agreement with Illumina to provide products and services that can be used for certain research and clinical activities, including certain sequencers, reagents, and other consumables for use with the Illumina sequencers, as well as service contracts for the maintenance and repair of the sequencers. The supply agreement does not require us to order minimum amounts of hardware, or to use exclusively the Illumina platform for conducting our sequencing. The term of the supply agreement continues for a period of 12 years, unless either we or Illumina terminate the supply agreement for the other’s uncured material breach, bankruptcy or insolvency-related events, or in the event a regulatory authority notifies such party that continued performance under the supply agreement would violate applicable laws or regulations. Illumina may terminate the agreement in the event we consummate a change of control transaction with a sequencing products company, and we may terminate the supply agreement for convenience upon 90 days’ prior written notice.</w:t>
      </w:r>
    </w:p>
    <w:p>
      <w:pPr>
        <w:spacing w:after="0" w:line="16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to suppliers who provide products supporting our provision of laboratory tests, we have cloud agreements with both AWS and Google. In June 2020, we signed a multi-year strategic partnership with Google that included an agreement through which Tempus procures extensive cloud services from Google. The cloud agreement includes a convertible note that is reduced as we procure services from Google and also contemplates co-innovation projects that we may work on with Google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Laboratory Workflow Applications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With respect to the provision of laboratory services, in addition to Hub, our consumer- facing application, we have developed multiple software tools that facilitate back-end processing, workflow, and report generation. Our back-office software stack was custom developed around our workflow, allowing us to automate material components of our laboratory and order generation process. The following diagram represents the software applications supporting our laboratory workflow.</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340"/>
          </w:cols>
          <w:pgMar w:left="320" w:top="448" w:right="2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205105</wp:posOffset>
            </wp:positionV>
            <wp:extent cx="5052060" cy="3684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052060" cy="368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We have also developed a series of tools that allow us to access our connected dataset and our internal workflow tools, as we seek to query our own data and make it available both internally and externally. In an effort to facilitate a connection between our providers and our data, we built an application called </w:t>
      </w:r>
      <w:r>
        <w:rPr>
          <w:rFonts w:ascii="Times New Roman" w:cs="Times New Roman" w:eastAsia="Times New Roman" w:hAnsi="Times New Roman"/>
          <w:sz w:val="18"/>
          <w:szCs w:val="18"/>
          <w:i w:val="1"/>
          <w:iCs w:val="1"/>
          <w:color w:val="auto"/>
        </w:rPr>
        <w:t xml:space="preserve">Tempus One, </w:t>
      </w:r>
      <w:r>
        <w:rPr>
          <w:rFonts w:ascii="Times New Roman" w:cs="Times New Roman" w:eastAsia="Times New Roman" w:hAnsi="Times New Roman"/>
          <w:sz w:val="18"/>
          <w:szCs w:val="18"/>
          <w:color w:val="auto"/>
        </w:rPr>
        <w:t>which is both a physical device and a mobile software application that has AI assistant capabilities and relays information contained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oncology reports and supporting database to physicians through voice activated interactions in real time. We believe Tempus One has the potential to create a more efficient workflow for healthcare professionals, reducing the time needed to review and process information, providing more time for them to focus on patient care. Over time, we intend to embed more insights into Tempus One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other similar applications we develop, thereby enhancing the amount of information readily available to our ordering physicians.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Structuring Applications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After we generate a clinical report through the provision of laboratory services, or once we obtain data through one of our dedicated connections to providers, we utilize a different suite of proprietary software applications to abstract, structure, and de-identify the resulting data to help augment our existing multimodal dataset and provide additional healthcare services to our customers. Our tools have become highly efficient over time allowing us to abstract data, often between 50-100 discrete data elements per patient case, in approximately an hour (or the cost equivalent), which do both onshore and offshore through dedicated teams we have established to perform the data curation and abstraction. In addition, we have the capability to perform enhanced abstraction, which can take several hours per patient case, allowing us to define a custom set of features over a defined period of time that we want abstracted. Each of our proprietary tools is designed to enhance our customers’ experience, either by creating useful information that assists in the treatment of patients, or by creating an efficient back-end infrastructure that allows us to deliver our services more quickly and efficiently.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340"/>
          </w:cols>
          <w:pgMar w:left="320" w:top="448" w:right="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Security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maintain a robust information security program in an effort to protect all of the sensitive data we maintain, including PHI and PII and we take all threats to the availability, integrity and confidentiality of that data with the utmost seriousness. Our security program consists of a layered defense approach starting with appropriate data and system design through architectural principles that include security as a core component at every step of the process. This security by design approach is enhanced with physical security, host and endpoint device management, application security, and infrastructure and cloud security. In each of those areas, we utilize industry-standard third-party tools that are designed to assist our team of security professionals in their various tasks and we work closely with our vendors, including those who provide cloud computing services that make up substantial parts of our infrastructure (e.g., Google and Amazon).</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security program is operationalized through documented policies, procedures and required training for all staff in the entire company, with special emphasis on key teams in engineering and IT operations who develop, monitor and maintain the applications and systems used in our business. In an effort to ensure that these policies are adhered to and that no new vulnerabilities arise, we conduct regular auditing of a wide swath of our security related measures, including a mix of self-audits, external penetration testing, external application security audits and audits performed by our customers and partners. Our security team is also instrumental in maintaining our ISO 27001 certification and assisting the compliance and legal teams with other legally required audits and provides detailed reports regularly to upper management and the Board on security related matters.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technology, defend and enforce our intellectual property rights, preserve the confidentiality of our trade secrets, and operate without infringing, misappropriating or otherwise violating valid and enforceable intellectual property and proprietary rights of others. We are actively involved in research and development and therefore seek to protect the investments we have made into the development of our products and technology by relying on a combination of patents, trademarks, trade secrets, know-how, and license agreements. We also seek to protect our proprietary technology, in part, by requiring our employees, consultants, contractors and other third parties to execute confidentiality agreements and invention assignment agreements and by implementing technological protections for our intellectual property.</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As of March 31, 2024, our patent portfolio and patent applications included 82 issued U.S. patents and allowed applications, 113 pending U.S. non-provisional patent applications, 16 pending U.S. provisional patent applications, 7 pending Patent Cooperation Treaty (international) patent applications, 25 issued foreign patents, 166 pending foreign patent applications, 6 licensed issued U.S. patents, 1 licensed pending U.S. patent application, 10 licensed issued foreign patents and 3 licensed pending foreign patent applications. Our issued patents are expected to begin expiring in 2033, assuming payment of all appropriate maintenance, renewal, annuity or other governmental fees. These patents and applications generally fall into four broad categories:</w:t>
      </w:r>
    </w:p>
    <w:p>
      <w:pPr>
        <w:spacing w:after="0" w:line="95" w:lineRule="exact"/>
        <w:rPr>
          <w:sz w:val="20"/>
          <w:szCs w:val="20"/>
          <w:color w:val="auto"/>
        </w:rPr>
      </w:pPr>
    </w:p>
    <w:p>
      <w:pPr>
        <w:ind w:left="1000" w:hanging="549"/>
        <w:spacing w:after="0" w:line="267"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Platform, including claims directed to product ordering processes; data processing and multimodal data analytics;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Genomics business, including claims directed to detecting and monitoring cancer and other diseases by determining genetic variations and other biomarkers in biological samples;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Data business, including claims directed to analysis of healthcare records and patient outcomes;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related to our Algos business, including claims directed to machine learning diagnostics and predictions in cancer and cardiology.</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or intend to file, including the United States, the patent term is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340"/>
          </w:cols>
          <w:pgMar w:left="320" w:top="448" w:right="2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20 years from the earliest date of filing a non-provisional patent application. Additionally, a U.S. provisional patent application expires twelve months from its filing date, and its subject matter can only be claimed in an issued patent if, among other things, we timely file a non-provisional patent application making a valid priority claim to that provisional patent application before it expires. In the United States, a patent’s term may be lengthened by patent term adjustment, which compensates a patentee for administrative delays by the USPTO in examining and granting a patent, or may be shortened if a patent is terminally disclaimed over an earlier filed patent. We cannot be sure that patents will be granted with respect to any current pending patent application or with respect to any patent applications filed by us in the future, nor can we be sure that any current or future patents will be commercially useful in protecting our platform, products, services, technologies and processes. In addition, any patents that we may hold, whether owned or licensed, may be challenged, circumvented or invalidated by third parties.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success of our business strategy also depends in part on our continued ability to protect our branded services, and we own registered trademarks on “TEMPUS” and product related brand names in the United States and worldwide.</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rely on trade secrets, including know-how, unpatented technology and other proprietary information, to strengthen our competitive position. We seek to protect trade secrets and confidential and unpatented know-how, in part, by entering into non-disclosure and confidentiality agreements with parties who have access to such knowledge, such as our employees, collaborators, manufacturers, consultants, advisors and other third parties. We also seek to enter into confidentiality and invention or patent assignment agreements with our employees and consultants that obligate them to maintain confidentiality and assign their inventions to us.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ability to stop third parties from making, using, selling, offering to sell or importing our Platform, services and products depends on the extent to which we have rights under valid and enforceable patents, trade secrets or other intellectual property and proprietary rights that cover these activities. We pursue intellectual property protection to the extent we believe it would advance our business objectives. Notwithstanding these efforts, there can be no assurance that we will adequately protect our intellectual property or provide any competitive advantage. For more information regarding risks relating to intellectual property, see “Risk Factors—Risks Related to Our Intellectual Property.”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United States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diagnostic products and services are subject to extensive and ongoing regulation by the FDA under the Federal Food, Drug, and Cosmetic Act of 1938 and its implementing regulations, collectively referred to as the FDCA, as well as other federal and state regulatory bodies in the United States. The laws and regulations govern, among other things, product design and development, pre-clinical and clinical testing, manufacturing, packaging, labeling, storage, record keeping and reporting, clearance or approval, marketing, distribution, promotion, import and export and post-marketing surveillance. Failure to comply with applicable requirements may subject a device and/or its manufacturer to a variety of administrative sanctions, such as FDA refusal to approve pending premarket applications, issuance of warning letters, mandatory product recalls, import detentions, civil monetary penalties, and/or judicial sanctions, such as product seizures, injunctions and criminal prosecution.</w:t>
      </w:r>
    </w:p>
    <w:p>
      <w:pPr>
        <w:spacing w:after="0" w:line="29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United States requires either FDA clearance of a 510(k) premarket notification, approval of a petition for premarket approval, or PMA, or grant of a de novo request for classification. During public emergencies, the FDA also may grant emergency use authorizations, or EUA, to allow commercial distribution of devices intended to address the public health emergency. Under the FDCA, medical devices are classified into one of three classes—Class I, Class II 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340"/>
          </w:cols>
          <w:pgMar w:left="320" w:top="448" w:right="2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Class III—depending on the degree of risk associated with each medical device and the extent of manufacturer and regulatory control needed to provide reasonable assurance of its safety and effectiveness. Classification of a device is important because the class to which a device is assigned determines, among other things, the necessity and type of FDA review required prior to marketing the device.</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 devices include those with the lowest risk to the patient and are those for which safety and effectiveness can be reasonably assured by adherence to the FDA’s ‘‘general controls’’ for medical devices, which include compliance with the applicable portions of the FDA’s Quality System Regulation, or QSR, facility registration and product listing, reporting of adverse medical events and malfunctions through the submission of Medical Device Reports, or MDRs, and appropriate, truthful and non-misleading labeling, advertising, and promotional materials. Some Class I devices also require 510(k) premarket notification clearance as described below.</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 devices are moderate risk devices subject to the FDA’s general controls, and any other ‘‘special controls’’ deemed necessary by the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process. The 510(k) submission must demonstrate that the device is ‘‘substantially equivalent’’ to a legally marketed predicate device, which in some cases may require submission of clinical data.</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life-sustaining, life-supporting or implantable devices and devices deemed not substantially equivalent to a predicate device following a 510(k) submission. The safety and effectiveness of Class III devices cannot be reasonably assured solely by general or special controls. Submission and FDA approval of a PMA application is required before marketing of a Class III device can proceed. A PMA application is intended to demonstrate that the device is reasonably safe and effective for its intended use and must be supported by extensive data, typically including data from pre-clinical studies and clinical trials.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Emergency Use Authorization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emergency situations, such as a pandemic, the FDA has the authority to allow unapproved medical products or unapproved uses of cleared or approved medical products to be used in an emergency to diagnose, treat or prevent serious or life-threatening diseases or conditions when there are no adequate, approved, and available alternatives.</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Under this authority, the FDA may issue an EUA for an unapproved device if the following four statutory criteria have been met: (1) a serious or life-threatening condition exists; (2) evidence of effectiveness of the 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U.S. HHS. The ‘‘may be effective’’ standard for EUAs requires a lower level of evidence than the ‘‘effectiveness’’ standard that the FDA uses for product clearances or approvals in non-emergency situations. Once granted, an EUA will remain in effect and generally terminate on the earlier of (1) the determination by the Secretary of U.S.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340"/>
          </w:cols>
          <w:pgMar w:left="320" w:top="448" w:right="2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Clinical trials are typically required to support a PMA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the FDA requires the device sponsor to submit an IDE application to the FDA, which must be approved prior to commencing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w:t>
      </w:r>
    </w:p>
    <w:p>
      <w:pPr>
        <w:spacing w:after="0" w:line="18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IDE supplement must be submitted to, and approved by, the FDA before a sponsor or investigator may make a change to the investigational plan that may affect its scientific soundness, study plan or the rights, safety or welfare of human subjects. In addition, the clinical trials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clinical trials may begin at a specific number of investigational sites with a specific number of patients, as approved by the FDA. If the device is considered a ‘‘non-significant risk,’’ IDE submission to FDA is not required. Instead, only approval from the IRB overseeing the investigation at each clinical trial site is required.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121" w:lineRule="exact"/>
        <w:rPr>
          <w:sz w:val="20"/>
          <w:szCs w:val="20"/>
          <w:color w:val="auto"/>
        </w:rPr>
      </w:pPr>
    </w:p>
    <w:p>
      <w:pPr>
        <w:ind w:left="1000" w:hanging="549"/>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registration and device listing with the FDA;</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and contract manufacturers, including any third-party manufacturers, to follow stringent design, testing, control, documentation and other quality assurance procedures during all aspects of the design and manufacturing process;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labeling regulations and FDA prohibitions against the promotion of investigational products, or “off-label” uses of cleared or approved products;</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a cleared device;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product removals or recalls if undertaken to reduce a risk to health posed by the device or to remedy a violation of the FDCA that may present a risk to health;</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340"/>
          </w:cols>
          <w:pgMar w:left="320" w:top="448" w:right="2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right="20" w:firstLine="454"/>
        <w:spacing w:after="0" w:line="267"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78" w:lineRule="exact"/>
        <w:rPr>
          <w:sz w:val="20"/>
          <w:szCs w:val="20"/>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withdrawal, administrative detention or seizure;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or delay in granting our requests for 510(k) clearance or PMA approval of new tests or modified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PMA approvals that are already granted;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Laboratory-Developed Tests (LDTs)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LDTs have generally been considered to be tests that are designed, developed, validated and used within a single laboratory. The FDA takes the position that it has the authority to regulate such tests as medical devices under the FDCA. The FDA has historically exercised enforcement discretion and has not required clearance or approval of LDTs prior to marketing. On May 6, 2024, the FDA published final regulations taking effect on July 5, 2024 that will phase-out enforcement discretion over a period of four years and require compliance with device registration and listing requirements, medical device reporting requirements, 510(k) clearance, denovo authorization or Premarket Approval and the requirements of the FDA’s Quality System Regulation. In addition to FDA regulation, the New York Clinical Laboratory Evaluation Program separately approves certain LDTs offered to New York State patients.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CLIA and State Laboratory Licensing</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Under the Clinical Laboratory Improvement Amendments, or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 We have a current CLIA certificate to perform our tests at our laboratories in Chicago, Illinois, Atlanta, Georgia and Raleigh, North Carolina. To renew our CLIA certificate, we are subject to survey and inspection every two years to assess compliance with program standards.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Laboratories performing high complexity testing are required to meet more stringent requirements than laboratories performing less complex tests. In addition, a laboratory that is certified as “high complexity” under CLIA may develop, manufacture, validate and use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340"/>
          </w:cols>
          <w:pgMar w:left="320" w:top="448" w:right="2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w:t>
      </w:r>
      <w:r>
        <w:rPr>
          <w:rFonts w:ascii="Times New Roman" w:cs="Times New Roman" w:eastAsia="Times New Roman" w:hAnsi="Times New Roman"/>
          <w:sz w:val="16"/>
          <w:szCs w:val="16"/>
          <w:b w:val="1"/>
          <w:bCs w:val="1"/>
          <w:color w:val="auto"/>
        </w:rPr>
        <w:t>.</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Illinois, Atlanta, Georgia and Raleigh, North Carolina laboratories.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Health Care Laws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Physician Self-Referral Prohibition</w:t>
      </w:r>
    </w:p>
    <w:p>
      <w:pPr>
        <w:spacing w:after="0" w:line="11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are also subject to the federal physician self-referral prohibition, commonly known as the Stark Law, and to comparable state laws. Together these restrictions generally prohibit us from billing a patient or governmental or private payer for certain designated health services, including clinical laboratory services, when the physician ordering the service, or a member of such physician’s immediate family, has a financial relationship, such as an ownership or investment interest in or compensation arrangement, with us, unless the relationship meets an applicable exception to the prohibition. Several Stark Law exceptions are relevant to many common financial relationships involving clinical laboratories and referring physicians, including: (1) fair market value compensation for the provision of items or services; (2) payments by physicians to a laboratory for clinical laboratory services; (3) space and equipment rental arrangements that satisfy certain requirements and (4) personal services arrangements that satisfy certain requirements. The laboratory cannot submit claims to the Medicare Part B program for services furnished in violation of the Stark Law, and Medicaid reimbursements may be at risk as well. These prohibitions apply regardless of any intent by the parties to induce or reward referrals or the reasons for the financial relationship and the referral. Penalties for violating the Stark Law include significant civil, criminal and administrative penalties, such as the return of funds received for all prohibited referrals, fines, civil monetary penalties, exclusion from the federal healthcare programs, integrity oversight and reporting obligations, and imprisonment. In addition, knowing violations of the Stark Law may also serve as the basis for liability under the federal False Claims Act, or FCA, which can result in additional civil and criminal penalties.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Anti-Kickback Law</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federal Anti-Kickback Statute, or AKS,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340"/>
          </w:cols>
          <w:pgMar w:left="320" w:top="448" w:right="2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violate it in order to have committed a violation. Although the AKS applies only to items and services reimbursable under any federal health care program, a number of states have passed statutes substantially similar to the AKS that apply to all payers. Penalties for violations of such state laws include imprisonment and significant monetary fines.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provisions of an applicable exception or safe harbor, it is deemed not to violate the AKS. An arrangement must fully comply with each element of an applicable exception or safe harbor in order to qualify for protection. Failure to meet the requirements of the safe harbor, however, does not render an arrangement illegal. Rather, the government may evaluate such arrangements on a case-by-case basis, taking into account all facts and circumstances.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 Care Laws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payer.</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statute. Moreover, in certain cases, providers who routinely waive copayments and deductibles for Medicare and Medicaid beneficiaries, for example, in connection with patient assistance programs, can also be held liable under the AKS and FCA. One of the statutory exceptions to the prohibition is non-routine, unadvertised waivers of copayments or deductible amounts based on individualized determinations of financial need or exhaustion of reasonable collection efforts. The Office of Inspector General of the HHS emphasizes, however, that this exception should only be used occasionally to address special financial needs of a particular patient.</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in order to have committed a violation.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340"/>
          </w:cols>
          <w:pgMar w:left="320" w:top="448" w:right="2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Eliminating Kickbacks in Recovery Act of 2018, or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ten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w:t>
      </w:r>
    </w:p>
    <w:p>
      <w:pPr>
        <w:spacing w:after="0" w:line="189"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Physician Payments Sunshine Act, enacted as part of the Patient Protection and Affordable Care Act, as amended by the Health Care and Education Affordability Reconciliation Act, or the ACA, also imposed annual reporting requirements on manufacturers of certain devices, drugs and biologics for payments and other transfers of value by them during the previous year to physicians (defined to include doctors, dentists, optometrists, podiatrists and chiropractors) and teaching hospitals, as well as ownership and investment interests held by such physicians and their immediate family members. Beginning in 2022, applicable manufacturers are required in certain circumstances to report such information regarding their payments and other transfers of value to physician assistants, nurse practitioners, clinical nurse specialists, anesthesiologist assistants, certified registered nurse anesthetists and certified nurse midwives during the previous year.</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Also, many states have laws similar to those listed above that may be broader in scope and may apply regardless of payer.</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Efforts to ensure that our internal operations and business arrangements with third parties comply with applicable laws and regulations involve substantial costs. Any action brought against us for violation of these or other laws or regulations, even if we successfully defend against it, could cause us to incur significant legal expenses and divert our management’s attention from the operation of our business. Additionally, certain of our business practices, including our consulting and advisory board arrangements with physicians and other healthcare providers, a small number of whom may receive stock or restricted stock units as compensation for services provided, may not comply with current or future corporate practice of medicine statutes, regulations, agency guidance or case law. If our operations are found to be in violation of any of the fraud and abuse laws described above or any other laws that apply to us, we may be subject to penalties, including potentially significant criminal, civil and administrative penalties, damages, fines, disgorgement, imprisonment, exclusion from participation in government healthcare programs, contractual damages, reputational harm, integrity oversight and reporting obligations, limitations to the sale of certain products or services, diminished profits and future earnings, and the curtailment or restructuring of our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340"/>
          </w:cols>
          <w:pgMar w:left="320" w:top="448" w:right="2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are, or may become, subject to numerous federal, state, local and foreign laws, regulations, standards, and guidance regarding data privacy and security. For example, HIPAA, as mentioned above,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including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 efforts. Failure or perceived failure to comply with these laws, where applicable, can result in material adverse effects to our business, including the imposition of significant civil and/or criminal penalties and private litigation.</w:t>
      </w:r>
    </w:p>
    <w:p>
      <w:pPr>
        <w:spacing w:after="0" w:line="191"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California Consumer Privacy Act, or CCPA, which went into effect January 1, 2020, is an example of the increasingly stringent privacy laws at the state level in the United States. The CCPA, among other things, imposes several obligations on covered companies, including requiring specific disclosures related to a business’s collection, use and sharing of personal information and requirements to respond to requests related to their personal information (e.g. requests to understand personal information collection practices, to delete personal information, and to opt out of certain disclosures of their information). The CCPA also created a private right of action with statutory damages for certain data breaches, thereby potentially increasing risks associated with a data breach.</w:t>
      </w:r>
    </w:p>
    <w:p>
      <w:pPr>
        <w:spacing w:after="0" w:line="15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in November 2020, California voters passed the California Privacy Rights Act of 2020, or CPRA. The CPRA, which went into effect on January 1, 2023 and creates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 For example, Virginia passed the Virginia Consumer Data Protection Act, and Colorado passed the Colorado Privacy Act, both of which differ from the CPRA and became effective in 2023.</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Outside the United States, there are an increasing number of laws and regulations governing the collection, use and processing of personal data. For example, the European Union’s General Data Protection Regulation, or EU GDPR applies to any company established in the European Economic Area, or EEA, and to companies established outside the EEA that process personal information in connection with the offering of goods or services to data subjects in the EEA or the monitoring of the behavior of data subjects in the EEA. These regulations are often more restrictive than those in the United States and may restrict transfers of personal data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340"/>
          </w:cols>
          <w:pgMar w:left="320" w:top="448" w:right="2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from the EEA to the United States and other countries unless certain requirements are met. The EU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substantially similar form in the United Kingdom’s national law. Failure to comply with any of these obligations could expose us to material adverse effects, including significant fines.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more information regarding risks relating to data privacy and security, see “Risk Factors – Risks Related to Our Highly Regulated Industry –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Reform</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March 2010,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w:t>
      </w:r>
    </w:p>
    <w:p>
      <w:pPr>
        <w:spacing w:after="0" w:line="146"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Further, on August 16, 2022, President Biden signed the Inflation Reduction Act of 2022, or IRA, into law, which among other things extends enhanced subsidies for individuals purchasing health insurance coverage in the ACA marketplaces through plan year 2025. The IRA also eliminates the “donut hole” under the Medicare Part D program beginning in 2025 by significantly lowering the beneficiary maximum out-of-pocket cost and establishing a new manufacturer discount program. It is unclear how any such challenges and litigation, and the healthcare reform measures of the Biden administration will impact the ACA.</w:t>
      </w:r>
    </w:p>
    <w:p>
      <w:pPr>
        <w:spacing w:after="0" w:line="19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 unless additional Congressional action is taken.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expect that additional state, federal, and foreign healthcare reform measures will be adopted in the future.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payers is essential for most patients to be able to afford our current and future diagnostic products. Each payer makes its own decision as to whether to provide coverage for our tests, whether to enter into a contract with us and the reimbursement rate for a test.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340"/>
          </w:cols>
          <w:pgMar w:left="320" w:top="448" w:right="2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Coverage determinations by a payer may depend on a number of factors, including but not limited to a payer’s determination that a test is appropriate, medically necessary or cost-effective. Negotiating with payers is time-consuming, and payers often insist on their standard form contracts, which may allow payers to terminate coverage on short notice, impose significant obligations on us and create additional regulatory and compliance hurdles for us. Further, when we contract with a payer as a participating provider, reimbursements by the payer are generally made pursuant to a negotiated fee schedule and are limited to only covered indications or where prior approval has been obtained. Becoming a participating provider can result in higher reimbursement amounts for covered uses of our tests and, potentially, no reimbursement for non-covered uses identified under the payer’s policies or the contract.</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Although we are a participating provider with several commercial payers, some large commercial payers have issued non-coverage policies that consider tissue and liquid comprehensive genomic profile testing, including certain of our Genomics tests, as experimental or investigational.</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2023, Medicare claims represented 26% of our clinical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For example, Medicare’s NCD for NGS, first established in 2018 and subsequently updated in 2020, states that NGS oncology tests (such as our Tempus xT and Tempus xF tests), would be covered by Medicare nationally if and when: (1) performed in a CLIA-certified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will meet the criteria for reimbursement under the NCD. The NGS NCD also states that each MAC may provide local coverage of other NGS tests for cancer patients only when the test is performed by a CLIA-certified laboratory, ordered by a treating physician and the patient meets the same clinical and treatment criteria required of nationally covered NGS tests under the NGS NCD. An NGS typically test is not covered by Medicare when cancer patients do not have the above-noted indications for cancer under either an NCD or LCD.</w:t>
      </w:r>
    </w:p>
    <w:p>
      <w:pPr>
        <w:spacing w:after="0" w:line="191"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In addition to claims submitted after the March 25, 2021 guidance, on July 23, 2021, the Local MAC issued revised instructions for CPT coding, which may be applicable to our NGS oncology tests performed after the date of the revised guidance, and further updated those instructions on July 29, 2021. We have sought additional clarification on this guidance from the Local MAC in order to understand its impact on our coding procedures. We are also attempting to assess the impact of this updated guidance on the payments we may receive for Medicare claims submitted to the Local MAC. Claims submitted under the March 2021 and July 2021 guidance were summarily denied and we are in the process of appealing these denials, but the process is typically slow and costly, and multiple levels of appeal may be required for adjudication of outstanding claims.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340"/>
          </w:cols>
          <w:pgMar w:left="320" w:top="448" w:right="2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Initial indications suggest that the LCD has generally had a favorable impact on reimbursement for claims submitted after April 1, 2022.</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We requested that the Local MAC add the new CPT code to the LCD, which they did effective January 1, 2023.</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Palmettto is the MAC jurisdiction that determines reimbursement for tests conducted at our Raleigh and Atlanta laboratories through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on our xF assay in March 2024.</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Furthermore, on September 27, 2023, the Centers for Medicare and Medicaid Services (CMS) published calendar year 2024 preliminary payment determinations for new and reconsidered codes on the Medicare clinical laboratory fee schedule (CLFS), including new codes that may apply to tests we offer through our Genomics business. In doing so, CMS rejected the recommendations from experts on the Clinical Diagnostic Laboratory Test (CDLT) Advisory Panel and recommended reimbursement rates for several new procedure codes describing genomic profiling tests that are substantially below our costs to perform them. Following a comment period, CMS revised its preliminary determination and assigned each of the new codes to gapfill - a process by which each of the individual MACs prices the codes, and the resulting median price across the MACs becomes the price on the Medicare CLFS. We are currently participating in the gapfill process with the MACs within which we operate. On May 1, 2024, CMS posted the MAC-specific payment recommendations which indicated that the codes applicable to our tests would be reimbursed at the same or a higher level than they were previously reimbursed. These recommendations are currently open for public comment and CMS will publish the final MAC-specific amounts in September. If CMS ultimately prices the new codes at lower rates than they have previously reimbursed our tests at, such pricing decision may have a significant impact on business, results of operations, financial condition and prospects. National Government Services, Inc. revised its coding guidance on February 5, 2024, informing laboratories that they should begin using the new molecular diagnostic CPT codes effective January 1, 2024 even though those codes are not priced because they are going through the gapfill process.</w:t>
      </w:r>
    </w:p>
    <w:p>
      <w:pPr>
        <w:spacing w:after="0" w:line="378"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340"/>
          </w:cols>
          <w:pgMar w:left="320" w:top="448" w:right="2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Certain countries, including a number of member states of the European Union, set prices and make reimbursement decisions for diagnostic products, with limited participation from the marketing authorization or CE mark holders, or may take decisions that are unfavorable to the authorization or CE mark holder where they have participated in the process. There can be no assurance that we can achieve acceptable prices and reimbursement decisions.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based on our current knowledge,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Although no formal legal proceeding has been instituted, from time to time, we receive requests from governmental agencies, or third parties working on their behalf, for documents and information related to our products and services. For example, on May 19, 2022, Tempus received a subpoena from the Office of the Ohio Attorney General. The subpoena required production of certain billing and patient records associated with nine Ohio Medicaid patients who received Tempus clinical diagnostic tests between 2019 and 2022. Tempus provided responsive documents in June 2022 and has not received additional inquiry since that time. 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Rule. We provided an initial production on April 4, 2024, and expect to continue producing responsive documents on a rolling basis over the next several months. While the Company believes its programs and payments comply with the Anti-Kickback statute, no assurance can be given as to the timing or outcome of the government’s investigation, or that it will not result in a material adverse effect on the Company’s business. In addition, we have received requests for medical records and billing information from certain Unified Program Integrity Coordinators regarding clinical diagnostic services provided by Tempus to patients enrolled in the Medicare and Medicaid programs. We have responded to all such requests for information.</w:t>
      </w:r>
    </w:p>
    <w:p>
      <w:pPr>
        <w:spacing w:after="0" w:line="19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11, 2024, Guardant filed a complaint against us in the U.S. District Court for the District of Delaware. The complaint alleges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We intend to vigorously defend ourselves in this matter. Based on our initial review, we believe that we have reasonable defenses available.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340"/>
          </w:cols>
          <w:pgMar w:left="320" w:top="448" w:right="2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headquarters is located in Chicago, Illinois, where we lease approximately 180,000 square feet of laboratory and office space pursuant to a lease that expires in February 2029. We also lease an aggregate of approximately 25,000 square feet of laboratory and office space in Atlanta, Georgia pursuant to two leases that expire in September 2024 and September 2025, respectively. We also have a new genomics lab in Raleigh, North Carolina, which became operational in 2022 and from which we began offering commercial laboratory tests in the second half of 2022. Our CLIA-certified laboratories are located in these facilities. We also have offices in New York, New York and Redwood City, California. We do not own any real property. While we believe our existing facilities are adequate to meet our current requirements, we expect to expand our facilities as our operations grow over time. We believe we will be able to obtain such additional space on acceptable and commercially reasonable terms.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As of March 31, 2024, we had more than 2,300 employees, of which 757 were technical and were engaged in product and engineering, and research and development. As of March 31, 2024, 983 employees were based at our headquarters in Chicago, Illinois, 88 employees were based in Atlanta, Georgia, and 122 employees were based in Raleigh, North Carolina. None of our employees are currently represented by a labor union or covered under a collective bargaining agreement, and we have never experienced a work stoppage. However, on February 8, 2024, the International Association of Machinists and Aerospace Workers, or the IAM, District Lodge 8, filed a Petition for Election with the National Labor Relations Board, or the NLRB, to serve as the collective bargaining representative of certain of our laboratory employees located in Chicago, Illinois. On March 6 and 7, 2024, the NLRB held an election, at which the defined collective bargaining unit voted to unionize and for the IAM to serve as the collective bargaining representative. We have begun the process of negotiating a collective bargaining agreement with the IAM. Even though we are currently unaware of other unionization efforts, it is possible that other employees may also seek to unionize. We consider our relationship with our employees to be positive.</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and other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340"/>
          </w:cols>
          <w:pgMar w:left="320" w:top="448" w:right="2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as of May 31, 2024, regarding our current executive officers and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60" w:type="dxa"/>
            <w:vAlign w:val="bottom"/>
          </w:tcPr>
          <w:p>
            <w:pPr>
              <w:spacing w:after="0"/>
              <w:rPr>
                <w:sz w:val="14"/>
                <w:szCs w:val="1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Lefkofsky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Founder and 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Ryan Fukushima</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Erik Phelps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22"/>
                <w:szCs w:val="22"/>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Administrative and Legal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Officer and Assistant Secretary</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Andrew Polovin</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James Rogers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Peter J. Barris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Eric D. Belcher</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Jennifer A. Doudna, Ph.D.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David R. Epstein</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Wayne A.I. Frederick, M.D.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line="210" w:lineRule="exact"/>
              <w:rPr>
                <w:sz w:val="20"/>
                <w:szCs w:val="20"/>
                <w:color w:val="auto"/>
              </w:rPr>
            </w:pPr>
            <w:r>
              <w:rPr>
                <w:rFonts w:ascii="Times New Roman" w:cs="Times New Roman" w:eastAsia="Times New Roman" w:hAnsi="Times New Roman"/>
                <w:sz w:val="16"/>
                <w:szCs w:val="16"/>
                <w:color w:val="auto"/>
              </w:rPr>
              <w:t>Robert Ghenchev</w:t>
            </w:r>
            <w:r>
              <w:rPr>
                <w:rFonts w:ascii="Times New Roman" w:cs="Times New Roman" w:eastAsia="Times New Roman" w:hAnsi="Times New Roman"/>
                <w:sz w:val="24"/>
                <w:szCs w:val="24"/>
                <w:color w:val="auto"/>
                <w:vertAlign w:val="superscript"/>
              </w:rPr>
              <w:t>(1)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 Gottlieb, M.D.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Theodore J. Leonsis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Nadja West, M.D.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60" w:hanging="455"/>
        <w:spacing w:after="0" w:line="267" w:lineRule="auto"/>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resigned from our board of directors effective immediately prior to the effectiveness of the registration statement of which this prospectus forms a part.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0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Lefkofsky </w:t>
      </w:r>
      <w:r>
        <w:rPr>
          <w:rFonts w:ascii="Times New Roman" w:cs="Times New Roman" w:eastAsia="Times New Roman" w:hAnsi="Times New Roman"/>
          <w:sz w:val="18"/>
          <w:szCs w:val="18"/>
          <w:color w:val="auto"/>
        </w:rPr>
        <w:t>is our Founder and has served as our Chief Executive Officer and a member of our board of directors since our inception. Before founding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Tempus, Mr. Lefkofsky co-founded Groupon, Inc. in 2008, where he held various roles, including member of the board of directors (through November 2023), Chairman of the board of directors (November 2015 to June 2020), Executive Chairman (through August 2013) and Chief Executive Officer (August 2013 to November 2015). Mr. Lefkofsky also co-founded Lightbank LLC in 2008, a private venture capital firm specializing in investments in technology companies, and has served as its managing member since inception and General Partner since January 2019. Mr. Lefkofsky also co-founded InnerWorkings, Inc., Mediaocean, LLC, Echo Global Logistics, Inc., and Pathos AI, Inc., and served on each company’s board of directors or board of managers. In addition, Mr. Lefkofsky has served on the board of directors of Northwestern Memorial Healthcare since February 2024. Mr. Lefkofsky holds a bachelor’s degree from the University of Michigan and a J.D. from the University of Michigan Law School. We believe that Mr. Lefkofsky is qualified to serve on our board of directors because of his perspective and experience as our Founder and Chief Executive Officer, and his extensive knowledge of the venture capital and technology industries.</w:t>
      </w:r>
    </w:p>
    <w:p>
      <w:pPr>
        <w:spacing w:after="0" w:line="189"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Ryan Fukushima </w:t>
      </w:r>
      <w:r>
        <w:rPr>
          <w:rFonts w:ascii="Times New Roman" w:cs="Times New Roman" w:eastAsia="Times New Roman" w:hAnsi="Times New Roman"/>
          <w:sz w:val="18"/>
          <w:szCs w:val="18"/>
          <w:color w:val="auto"/>
        </w:rPr>
        <w:t>has served as our Chief Operating Officer since September 2015. Prior to joining us, Mr. Fukushima was an Entrepreneur-in-Residence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Vice President at Lightbank LLC, a private venture capital firm specializing in investments in technology companies, from February 2014 to September 2015, and currently serves as a co-founder and interim CEO of Pathos AI, Inc. Mr. Fukushima holds a B.S. from California Polytechnic University and a M.B.A. from the Ross School of Business at the University of Michigan.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340"/>
          </w:cols>
          <w:pgMar w:left="320" w:top="448" w:right="2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 Phelps </w:t>
      </w:r>
      <w:r>
        <w:rPr>
          <w:rFonts w:ascii="Times New Roman" w:cs="Times New Roman" w:eastAsia="Times New Roman" w:hAnsi="Times New Roman"/>
          <w:sz w:val="18"/>
          <w:szCs w:val="18"/>
          <w:color w:val="auto"/>
        </w:rPr>
        <w:t>has served as our Executive Vice President and Chief Administrative and Legal Officer since June 2020. Prior to this, Mr. Phelps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Vice President and General Counsel from March 2017 to June 2020. Prior to joining us, Mr. Phelps served as the General Counsel at Epic Systems Corporation, a software company that provides electronic health records for medical groups, hospitals and healthcare organizations, from May 2013 to March 2017. Mr. Phelps holds a B.A. from Beloit College and a J.D. from the George Washington University Law School.</w:t>
      </w:r>
    </w:p>
    <w:p>
      <w:pPr>
        <w:spacing w:after="0" w:line="177"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Polovin </w:t>
      </w:r>
      <w:r>
        <w:rPr>
          <w:rFonts w:ascii="Times New Roman" w:cs="Times New Roman" w:eastAsia="Times New Roman" w:hAnsi="Times New Roman"/>
          <w:sz w:val="18"/>
          <w:szCs w:val="18"/>
          <w:color w:val="auto"/>
        </w:rPr>
        <w:t>has served as our General Counsel since June 2020 and our Executive Vice President and Secretary since April 2024. From August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June 2020, Mr. Polovin was the General Counsel and Secretary of Uptake Technologies, Inc., a company specializing in Artificial Intelligence software for industrial machinery. Before transitioning to help lead growth stage technology companies, Mr. Polovin was a partner at the law firm of Bartlit Beck, one of the nation’s leading trial boutiques, served as an Assistant United States Attorney in the Northern District of Illinois, and clerked for the Chief Judge of the United States Court of Appeals. Mr. Polovin holds a B.A. from Colgate University and a J.D. from Northwestern University School of Law.</w:t>
      </w:r>
    </w:p>
    <w:p>
      <w:pPr>
        <w:spacing w:after="0" w:line="182" w:lineRule="exact"/>
        <w:rPr>
          <w:sz w:val="20"/>
          <w:szCs w:val="20"/>
          <w:color w:val="auto"/>
        </w:rPr>
      </w:pPr>
    </w:p>
    <w:p>
      <w:pPr>
        <w:jc w:val="both"/>
        <w:ind w:firstLine="454"/>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James Rogers </w:t>
      </w:r>
      <w:r>
        <w:rPr>
          <w:rFonts w:ascii="Times New Roman" w:cs="Times New Roman" w:eastAsia="Times New Roman" w:hAnsi="Times New Roman"/>
          <w:sz w:val="16"/>
          <w:szCs w:val="16"/>
          <w:color w:val="auto"/>
        </w:rPr>
        <w:t>has served as our Chief Financial Officer since April 2021. Prior to this, Mr. Rogers served as our Vice President of Finance from February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to April 2021, as our Senior Director of Finance from February 2018 to February 2020, and as our Director of Finance from August 2017 to February 2018. Prior to joining us, Mr. Rogers held various finance positions at Groupon from April 2011 to August 2017, including most recently leading financial planning and analysis for its North America business from February 2017 to August 2017 and serving as the financial controller of Asia Pacific operations from January 2015 to January 2017. Mr. Rogers holds a B.B.A. from the University of Notre Dame and an M.S. from Northern Illinois University.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0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J. Barris </w:t>
      </w:r>
      <w:r>
        <w:rPr>
          <w:rFonts w:ascii="Times New Roman" w:cs="Times New Roman" w:eastAsia="Times New Roman" w:hAnsi="Times New Roman"/>
          <w:sz w:val="18"/>
          <w:szCs w:val="18"/>
          <w:color w:val="auto"/>
        </w:rPr>
        <w:t>has served as a member of our board of directors since September 2017. Mr. Barris has also served on the board of directors of Sprout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Social, Inc. since February 2011. Previously, Mr. Barris served on the board of directors of Berkshire Grey, Inc. from April 2016 to July 2023, ZeroFox Holdings, Inc. from April 2014 to June 2023, NextNav Inc. from July 2014 to August 2022 and Groupon from January 2008 to August 2022.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Emeritus of NEA. Mr. Barris holds a B.S. from Northwestern University and an M.B.A. from the Tuck School of Business at Dartmouth University. We believe that Mr. Barris is qualified to serve on our board of directors because of his investment management and financial expertise, and his experience serving on public company boards.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D. Belcher </w:t>
      </w:r>
      <w:r>
        <w:rPr>
          <w:rFonts w:ascii="Times New Roman" w:cs="Times New Roman" w:eastAsia="Times New Roman" w:hAnsi="Times New Roman"/>
          <w:sz w:val="18"/>
          <w:szCs w:val="18"/>
          <w:color w:val="auto"/>
        </w:rPr>
        <w:t>has served as a member of our board of directors since January 2019. Mr. Belcher has served as the Chief Executive Officer of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We believe that Mr. Belcher is qualified to serve on our board of directors because of his extensive experience in the technology industry and leading high growth companies.</w:t>
      </w:r>
    </w:p>
    <w:p>
      <w:pPr>
        <w:spacing w:after="0" w:line="183" w:lineRule="exact"/>
        <w:rPr>
          <w:sz w:val="20"/>
          <w:szCs w:val="20"/>
          <w:color w:val="auto"/>
        </w:rPr>
      </w:pPr>
    </w:p>
    <w:p>
      <w:pPr>
        <w:jc w:val="both"/>
        <w:ind w:firstLine="454"/>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A. Doudna, Ph.D. </w:t>
      </w:r>
      <w:r>
        <w:rPr>
          <w:rFonts w:ascii="Times New Roman" w:cs="Times New Roman" w:eastAsia="Times New Roman" w:hAnsi="Times New Roman"/>
          <w:sz w:val="18"/>
          <w:szCs w:val="18"/>
          <w:color w:val="auto"/>
        </w:rPr>
        <w:t>has served as a member of our board of directors since April 2021. Dr. Doudna has also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Johnson &amp; Johnson since April 2018. Since July 2002, Dr. Doudna has served as a Professor of Biochemistry &amp; Molecular Biology at the University of California, Berkeley, where she directs the Innovative Genomics Institute, a joint UC Berkeley-UC San Francisco center, holds the Li Ka</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340"/>
          </w:cols>
          <w:pgMar w:left="320" w:top="448" w:right="2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each of which are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w:t>
      </w:r>
    </w:p>
    <w:p>
      <w:pPr>
        <w:spacing w:after="0" w:line="18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R. Epstein </w:t>
      </w:r>
      <w:r>
        <w:rPr>
          <w:rFonts w:ascii="Times New Roman" w:cs="Times New Roman" w:eastAsia="Times New Roman" w:hAnsi="Times New Roman"/>
          <w:sz w:val="18"/>
          <w:szCs w:val="18"/>
          <w:color w:val="auto"/>
        </w:rPr>
        <w:t>has served as a member of our board of directors since February 2024. Mr. Epstein also serves as a board member at a privately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biotherapeutics company, Valo Health, LLC. He is a Director at the non-profit Three Opinions Foundation Inc and at South Florida’s Pelican Harbor Seabird Station. Mr. Epstein previously served as the Chief Executive Officer and a member of the board of directors of Seagen Inc. (Nasdaq: SGEN) from November 2022 until Seagen’s acquisition by Pfizer Inc. in December 2023. From October 2021 to December 2023, Mr. Epstein served on the board of directors of OPY Acquisition Corp. I (Nasdaq: OHAA). From June 2022 to June 2023, Mr. Epstein served as a member of the board of directors of Senti Biosciences, Inc. (Nasdaq: SNTI) and was previously a member of the board of Senti’s predecessor, Dynamics Special Purpose Corp. (Nasdaq: DYNS) since March 2021. From March 2017 to February 2023, he served as a director at Evelo Biosciences, Inc. (Nasdaq: EVLO), including as the Chair of its board of directors from September 2019 to June 2022. From 2017 until October 2022, Mr. Epstein was a consultant and executive partner at Flagship Pioneering. From May 2019 to October 2022, Mr. Epstein served on the board of directors and as Chairman of Axcella Health Inc. (formerly Axcella Therapeutics) (Nasdaq: AXLA) and, from January 2017 to October 2022, Mr. Epstein served on the board of directors of Rubius Therapeutics, Inc. (Nasdaq: RUBY), he served on the board of directors of Seer, Inc. (Nasdaq: SEER). From 2010 to mid-2016, he served as the Chief Executive Officer of Novartis Pharmaceuticals, a division of Novartis AG. Previously, he started and led Novartis’ Oncology and Molecular Diagnostic units. Under his leadership, Norvartis’ oncology business grew to the second largest in the world. Early in his career, he was an associate in the strategy practice of consulting firm Booz, Allen and Hamilton. Mr. Epstein holds a B.S. in pharmacy from Rutgers University College of Pharmacy and an M.B.A. in finance and marketing from Columbia University Graduate School of Business. We believe that Mr. Epstein is qualified to serve on our board of directors because of his extensive experience serving in executive roles in the life sciences industry and leading the development and commercialization of numerous therapeutics.</w:t>
      </w:r>
    </w:p>
    <w:p>
      <w:pPr>
        <w:spacing w:after="0" w:line="19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Wayne A.I. Frederick, M.D. </w:t>
      </w:r>
      <w:r>
        <w:rPr>
          <w:rFonts w:ascii="Times New Roman" w:cs="Times New Roman" w:eastAsia="Times New Roman" w:hAnsi="Times New Roman"/>
          <w:sz w:val="18"/>
          <w:szCs w:val="18"/>
          <w:color w:val="auto"/>
        </w:rPr>
        <w:t>has served as a member of our board of directors since October 2020. Dr. Frederick has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other public companies, including serving as a member of the board of directors of Workday, Inc. since July 2022, Insulet Corp since October 2020 and Humana Inc. since February 2020. From July 2020 to October 2022, Dr. Frederick served as a member of the board of director of Forma Therapeutics Holdings, Inc. He also serves on the boards of directors of privately held companies and charitable organizations. Dr. Frederick is currently the President Emeritus of Howard University, after serving as President since July 2014, and also serves as the Charles R. Drew Endowed Chair of Surgery at Howard University’s College of Medicine. Dr. Frederick holds a B.S./M.D. dual degree, and an M.B.A. from Howard University. We believe that Dr. Frederick is qualified to serve on our board of directors because of his vast experience in medical research, healthcare academics and business administration, and his service on the boards of multiple public companies.</w:t>
      </w:r>
    </w:p>
    <w:p>
      <w:pPr>
        <w:spacing w:after="0" w:line="186"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Ghenchev </w:t>
      </w:r>
      <w:r>
        <w:rPr>
          <w:rFonts w:ascii="Times New Roman" w:cs="Times New Roman" w:eastAsia="Times New Roman" w:hAnsi="Times New Roman"/>
          <w:sz w:val="18"/>
          <w:szCs w:val="18"/>
          <w:color w:val="auto"/>
        </w:rPr>
        <w:t>has served as a member of our board of directors since May 2019 and is currently employed as Managing Partner and Head of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at Novo Holdings A/S. Prior to joining Novo Holdings in January of 2018, Mr. Ghenchev served as a Senior Vice President at Moelis &amp; Company in London where he focused on mergers and acquisitions within the healthcare industry, from April 2010 to January 2018. Mr. Ghenchev also serves on the boards of directors of Exscientia plc, a Nasdaq-listed public company, Oxford Biomedica plc, a company listed on the London Stock Exchange, and other private companies. Mr. Ghenchev</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340"/>
          </w:cols>
          <w:pgMar w:left="320" w:top="448" w:right="2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holds a B.A. in Economics and Finance from McGill University and an M.Sc. in Financial Economics from the University of Oxford. We believe that Mr. Ghenchev is qualified to serve on our board of directors because of his expertise in finance and the healthcare industry.</w:t>
      </w:r>
    </w:p>
    <w:p>
      <w:pPr>
        <w:spacing w:after="0" w:line="16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Gottlieb, M.D. </w:t>
      </w:r>
      <w:r>
        <w:rPr>
          <w:rFonts w:ascii="Times New Roman" w:cs="Times New Roman" w:eastAsia="Times New Roman" w:hAnsi="Times New Roman"/>
          <w:sz w:val="18"/>
          <w:szCs w:val="18"/>
          <w:color w:val="auto"/>
        </w:rPr>
        <w:t>has served as a member of our board of directors since October 2019. Dr. Gottlieb has also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Illumina, Inc. since February 2020 and Pfizer Inc. since June 2019. Dr. Gottlieb has served as a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Dr. Gottlieb holds a B.A. from Wesleyan University and an M.D. from Mount Sinai School of Medicine. We believe that Dr. Gottlieb is qualified to serve on our board of directors because of his extensive experience as a medical policy expert and public health advocate.</w:t>
      </w:r>
    </w:p>
    <w:p>
      <w:pPr>
        <w:spacing w:after="0" w:line="186"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Theodore J. Leonsis </w:t>
      </w:r>
      <w:r>
        <w:rPr>
          <w:rFonts w:ascii="Times New Roman" w:cs="Times New Roman" w:eastAsia="Times New Roman" w:hAnsi="Times New Roman"/>
          <w:sz w:val="16"/>
          <w:szCs w:val="16"/>
          <w:color w:val="auto"/>
        </w:rPr>
        <w:t>has served as a member of our board of directors since January 2019. In November 2011, Mr. Leonsis co-founded Revolution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Growth, a private investment firm, and has served as a General Partner thereof since that time. Since 1999, Mr. Leonsis has served as the Founder, Chairman, Majority Owner, and Chief Executive Officer of Monumental Sports &amp; Entertainment, LLC, a sports, entertainment, media, and technology company that owns the NBA’s Washington Wizards, the NHL’s Washington Capitals, the WNBA’s Washington Mystics, the Capital City Go-Go, Wizards District Gaming, Caps Gaming, the Capital One Arena in Washington, D.C. and Monumental Sports Network. Mr. Leonsis has served as a director of American Express Co. since July 2010. Mr. Leonsis has also served on the board of directors of Groupon, Inc. since June 2009, including as Chairman of the board of directors from August 2013 to November 2015 and, again, since June 2020. Mr. Leonsis also serves on the boards of directors of several private internet and technology companies, as well as charitable organizations. Mr. Leonsis holds a bachelor’s degree from Georgetown University. We believe that Mr. Leonsis is qualified to serve on our board of directors because of his significant operational, investment and financial experience, and his service on the boards of two public companies.</w:t>
      </w:r>
    </w:p>
    <w:p>
      <w:pPr>
        <w:spacing w:after="0" w:line="16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Nadja West, M.D. </w:t>
      </w:r>
      <w:r>
        <w:rPr>
          <w:rFonts w:ascii="Times New Roman" w:cs="Times New Roman" w:eastAsia="Times New Roman" w:hAnsi="Times New Roman"/>
          <w:sz w:val="18"/>
          <w:szCs w:val="18"/>
          <w:color w:val="auto"/>
        </w:rPr>
        <w:t>has served as a member of our board of directors since April 2021. Dr. West has also served on the boards of directors of several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Americares and The Woodruff Foundation. She was recently appointed an independent member of the NCAA Board of Governors. Dr. West holds a B.S. from the United States Military Academy at West 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which currently consists of ten directors. Mr. Ghenchev is expected to resign from our board of directors immediately prior to the effectiveness of the registration statement of which this prospectus forms a part. Accordingly, our board of directors is expected to consist of nine directors upon the consummation of this offering. Each director is elected to the board of directors for a one-year term, to serve until the election and qualification of a successor director at our annual meeting of stockholders, or until the director’s earlier removal, resignation, or death. All of our directors currently serve on the board of directors pursuant to the provisions of a voting agreement between us and several of our stockholders. This agreement will terminate upon the closing of this offering, after which there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340"/>
          </w:cols>
          <w:pgMar w:left="320" w:top="448" w:right="2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will be no further contractual obligations regarding the election of our directors. Following the closing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none of our directors, other than Mr. Lefkofsky, has any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an executive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After this offering, our audit committee will consist of Eric D. Belcher, Peter J. Barris and Wayne A.I. Frederick. Our board of directors has determined that each of Messrs. Belcher, Barris and Frederick satisfies the independence requirements under the Nasdaq Stock Market listing standards and Rule 10A-3(b)(1) of the Exchange Act. The chair of our audit committee will be Mr. Belcher. Our board of directors has determined that each of Messrs. Belcher and Frederick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audit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maintain and foster an open avenue of communication between management and the independent registered public accounting firm;</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340"/>
          </w:cols>
          <w:pgMar w:left="320" w:top="448" w:right="2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to be performed by the independent registered public accounting firm;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material risks relating to data privacy, technology and information security, including cybersecurity.</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audit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our compensation committee will consist of Peter J. Barris, David R. Epstein and Nadja West. The chair of our compensation committee will be Mr. Barris. Our board of directors has determined that each of Messrs. Barris and Epstein and Ms. West is independent under Nasdaq listing standards and a “non-employee director” as defined in Rule 16b-3 promulgated under the Exchange Act.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compensation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compensation consultants and outside service providers and advisors;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and non-equity incentive plans;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succession plans for the executive officers;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compensation clawback or similar policies;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compensation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After this offering, our nominating and corporate governance committee will consist of Theodore J. Leonsis, Jennifer A. Doudna and Scott Gottlieb. The chair of our nominating and corporate governance committee will be Mr. Leonsis. Our board of directors has determined that each member of the nominating and corporate governance committee is independent under the applicable listing standards of the Nasdaq Stock Market. In addition, Mr. Lefkofsky will serve as an observer on our nominating and corporate governance committee.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340"/>
          </w:cols>
          <w:pgMar w:left="320" w:top="448" w:right="2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 among other things:</w:t>
      </w:r>
    </w:p>
    <w:p>
      <w:pPr>
        <w:spacing w:after="0" w:line="121" w:lineRule="exact"/>
        <w:rPr>
          <w:sz w:val="20"/>
          <w:szCs w:val="20"/>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 and its committees;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director search firms;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ESG activities, as applicable;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board’s performance.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nominating and corporate governance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executive committee comprised of Peter J. Barris, Theodore J. Leonsis and Eric Lefkofsky. The executive committee was formed to facilitate approval of certain corporate actions in the intervals between full meetings of the board. The executive committee has the authority to exercise the power and authority of the board, except with respect to matters which, under the Delaware General Corporation Law or the rules and regulations of the Nasdaq Stock Market, cannot be delegated by the board of directors to a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www.tempus.com.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340"/>
          </w:cols>
          <w:pgMar w:left="320" w:top="448" w:right="2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information regarding compensation earned by or paid to our non-employee directors for the year ended December 31, 2023:</w:t>
      </w:r>
    </w:p>
    <w:p>
      <w:pPr>
        <w:spacing w:after="0" w:line="24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520" w:type="dxa"/>
            <w:vAlign w:val="bottom"/>
            <w:vMerge w:val="restart"/>
          </w:tcPr>
          <w:p>
            <w:pPr>
              <w:spacing w:after="0"/>
              <w:rPr>
                <w:sz w:val="13"/>
                <w:szCs w:val="13"/>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(1)(2)</w:t>
            </w:r>
          </w:p>
        </w:tc>
        <w:tc>
          <w:tcPr>
            <w:tcW w:w="100" w:type="dxa"/>
            <w:vAlign w:val="bottom"/>
          </w:tcPr>
          <w:p>
            <w:pPr>
              <w:spacing w:after="0"/>
              <w:rPr>
                <w:sz w:val="13"/>
                <w:szCs w:val="13"/>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880" w:type="dxa"/>
            <w:vAlign w:val="bottom"/>
            <w:gridSpan w:val="3"/>
          </w:tcPr>
          <w:p>
            <w:pPr>
              <w:jc w:val="right"/>
              <w:ind w:right="1040"/>
              <w:spacing w:after="0" w:line="15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7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75,000</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75,000</w:t>
            </w:r>
          </w:p>
        </w:tc>
        <w:tc>
          <w:tcPr>
            <w:tcW w:w="300" w:type="dxa"/>
            <w:vAlign w:val="bottom"/>
          </w:tcPr>
          <w:p>
            <w:pPr>
              <w:spacing w:after="0"/>
              <w:rPr>
                <w:sz w:val="18"/>
                <w:szCs w:val="18"/>
                <w:color w:val="auto"/>
              </w:rPr>
            </w:pPr>
          </w:p>
        </w:tc>
        <w:tc>
          <w:tcPr>
            <w:tcW w:w="17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18"/>
                <w:szCs w:val="18"/>
                <w:color w:val="auto"/>
              </w:rPr>
            </w:pPr>
          </w:p>
        </w:tc>
        <w:tc>
          <w:tcPr>
            <w:tcW w:w="17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945,500</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1,045,500</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20" w:type="dxa"/>
            <w:vAlign w:val="bottom"/>
          </w:tcPr>
          <w:p>
            <w:pPr>
              <w:spacing w:after="0"/>
              <w:rPr>
                <w:sz w:val="19"/>
                <w:szCs w:val="19"/>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75,000</w:t>
            </w:r>
          </w:p>
        </w:tc>
        <w:tc>
          <w:tcPr>
            <w:tcW w:w="300" w:type="dxa"/>
            <w:vAlign w:val="bottom"/>
          </w:tcPr>
          <w:p>
            <w:pPr>
              <w:spacing w:after="0"/>
              <w:rPr>
                <w:sz w:val="19"/>
                <w:szCs w:val="19"/>
                <w:color w:val="auto"/>
              </w:rPr>
            </w:pPr>
          </w:p>
        </w:tc>
        <w:tc>
          <w:tcPr>
            <w:tcW w:w="17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9184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1" w:lineRule="exact"/>
        <w:rPr>
          <w:sz w:val="20"/>
          <w:szCs w:val="20"/>
          <w:color w:val="auto"/>
        </w:rPr>
      </w:pPr>
    </w:p>
    <w:p>
      <w:pPr>
        <w:jc w:val="both"/>
        <w:ind w:left="460" w:hanging="455"/>
        <w:spacing w:after="0" w:line="279" w:lineRule="auto"/>
        <w:tabs>
          <w:tab w:leader="none" w:pos="4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represent the aggregate grant date fair value of RSUs granted to our non-employee directors during 2023 under our 2015 Plan, computed in accordance with the Financial Accounting Standard Board Accounting Standards Codification, Topic 718, or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2" w:lineRule="exact"/>
        <w:rPr>
          <w:rFonts w:ascii="Times New Roman" w:cs="Times New Roman" w:eastAsia="Times New Roman" w:hAnsi="Times New Roman"/>
          <w:sz w:val="16"/>
          <w:szCs w:val="16"/>
          <w:color w:val="auto"/>
        </w:rPr>
      </w:pPr>
    </w:p>
    <w:p>
      <w:pPr>
        <w:ind w:left="460" w:hanging="455"/>
        <w:spacing w:after="0" w:line="247" w:lineRule="auto"/>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aggregate number of shares underlying outstanding RSUs under our 2015 Plan held by each of our non-employee directors was as follows:</w:t>
      </w:r>
    </w:p>
    <w:p>
      <w:pPr>
        <w:spacing w:after="0" w:line="190"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40" w:type="dxa"/>
            <w:vAlign w:val="bottom"/>
            <w:vMerge w:val="restart"/>
          </w:tcPr>
          <w:p>
            <w:pPr>
              <w:spacing w:after="0"/>
              <w:rPr>
                <w:sz w:val="13"/>
                <w:szCs w:val="13"/>
                <w:color w:val="auto"/>
              </w:rPr>
            </w:pPr>
          </w:p>
        </w:tc>
        <w:tc>
          <w:tcPr>
            <w:tcW w:w="3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384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1300" w:type="dxa"/>
            <w:vAlign w:val="bottom"/>
            <w:gridSpan w:val="2"/>
          </w:tcPr>
          <w:p>
            <w:pPr>
              <w:jc w:val="right"/>
              <w:ind w:right="240"/>
              <w:spacing w:after="0" w:line="156" w:lineRule="exact"/>
              <w:rPr>
                <w:sz w:val="20"/>
                <w:szCs w:val="20"/>
                <w:color w:val="auto"/>
              </w:rPr>
            </w:pPr>
            <w:r>
              <w:rPr>
                <w:rFonts w:ascii="Times New Roman" w:cs="Times New Roman" w:eastAsia="Times New Roman" w:hAnsi="Times New Roman"/>
                <w:sz w:val="14"/>
                <w:szCs w:val="14"/>
                <w:b w:val="1"/>
                <w:bCs w:val="1"/>
                <w:color w:val="auto"/>
                <w:w w:val="99"/>
              </w:rPr>
              <w:t>Underlying RSUs</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0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(a)</w:t>
            </w: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20" w:type="dxa"/>
            <w:vAlign w:val="bottom"/>
          </w:tcPr>
          <w:p>
            <w:pPr>
              <w:spacing w:after="0"/>
              <w:rPr>
                <w:sz w:val="18"/>
                <w:szCs w:val="18"/>
                <w:color w:val="auto"/>
              </w:rPr>
            </w:pPr>
          </w:p>
        </w:tc>
        <w:tc>
          <w:tcPr>
            <w:tcW w:w="1300" w:type="dxa"/>
            <w:vAlign w:val="bottom"/>
            <w:gridSpan w:val="2"/>
          </w:tcPr>
          <w:p>
            <w:pPr>
              <w:ind w:left="60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(b)</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20" w:type="dxa"/>
            <w:vAlign w:val="bottom"/>
          </w:tcPr>
          <w:p>
            <w:pPr>
              <w:spacing w:after="0"/>
              <w:rPr>
                <w:sz w:val="18"/>
                <w:szCs w:val="18"/>
                <w:color w:val="auto"/>
              </w:rPr>
            </w:pPr>
          </w:p>
        </w:tc>
        <w:tc>
          <w:tcPr>
            <w:tcW w:w="1300" w:type="dxa"/>
            <w:vAlign w:val="bottom"/>
            <w:gridSpan w:val="2"/>
          </w:tcPr>
          <w:p>
            <w:pPr>
              <w:ind w:left="600"/>
              <w:spacing w:after="0" w:line="210"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4"/>
                <w:szCs w:val="24"/>
                <w:color w:val="auto"/>
                <w:vertAlign w:val="superscript"/>
              </w:rPr>
              <w:t>(c)</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220" w:type="dxa"/>
            <w:vAlign w:val="bottom"/>
          </w:tcPr>
          <w:p>
            <w:pPr>
              <w:spacing w:after="0"/>
              <w:rPr>
                <w:sz w:val="24"/>
                <w:szCs w:val="24"/>
                <w:color w:val="auto"/>
              </w:rPr>
            </w:pP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7"/>
              </w:rPr>
              <w:t>25,000</w:t>
            </w:r>
            <w:r>
              <w:rPr>
                <w:rFonts w:ascii="Times New Roman" w:cs="Times New Roman" w:eastAsia="Times New Roman" w:hAnsi="Times New Roman"/>
                <w:sz w:val="26"/>
                <w:szCs w:val="26"/>
                <w:color w:val="auto"/>
                <w:w w:val="97"/>
                <w:vertAlign w:val="superscript"/>
              </w:rPr>
              <w:t>(d)</w:t>
            </w:r>
          </w:p>
        </w:tc>
        <w:tc>
          <w:tcPr>
            <w:tcW w:w="0" w:type="dxa"/>
            <w:vAlign w:val="bottom"/>
          </w:tcPr>
          <w:p>
            <w:pPr>
              <w:spacing w:after="0"/>
              <w:rPr>
                <w:sz w:val="1"/>
                <w:szCs w:val="1"/>
                <w:color w:val="auto"/>
              </w:rPr>
            </w:pPr>
          </w:p>
        </w:tc>
      </w:tr>
    </w:tbl>
    <w:p>
      <w:pPr>
        <w:jc w:val="both"/>
        <w:ind w:left="460" w:hanging="455"/>
        <w:spacing w:after="0" w:line="242"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fourth of which vest on April 1, 2021,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ind w:left="460" w:hanging="455"/>
        <w:spacing w:after="0" w:line="274" w:lineRule="auto"/>
        <w:tabs>
          <w:tab w:leader="none" w:pos="4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25,000 RSUs, 1/20 of which vest on January 1, 2021 and quarterly thereafter, provided that the recipient remains in continuous service with us through each vesting date, and subject to the earlier to occur of (i) the consummation of this offering and (ii) a change in control of our company.</w:t>
      </w:r>
    </w:p>
    <w:p>
      <w:pPr>
        <w:jc w:val="both"/>
        <w:ind w:left="460" w:hanging="455"/>
        <w:spacing w:after="0" w:line="243"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RSUs, one fourth of which vest on July 1, 2020 and quarterly thereafter, and 25,000 RSUs, one fifth of which vest on July 1, 2024, and 1/20 of which vest quarterly thereafter, provided that, in each case,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fifth of which vest on April 1, 2021, and 1/20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340"/>
          </w:cols>
          <w:pgMar w:left="320" w:top="448" w:right="2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in connection with Mr. Epstein’s appointment to our board of directors, he received 15,000 RSUs, which vest ratably on a quarterly basis over a period of 15 quarters beginning on February 5, 2024, provided that Mr. Epstein remains in continuous service with us through each vesting date.</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Mr. Lefkofsky, our Chief Executive Officer, Founder and Chairman, is also a member of our board of directors but does not receive any additional compensation for his service as a director. See the section titled “Executive Compensation” for more information regarding the compensation earned by Mr. Lefkofsky.</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board of directors adopted a non-employee director compensation policy in February 2024 that will become effective upon the effectiveness of the registration statement of which this prospectus forms a part and will be applicable to all of our non-employee directors. This compensation policy provides that each such non-employee director will receive the following compensation for service on our board of directors:</w:t>
      </w:r>
    </w:p>
    <w:p>
      <w:pPr>
        <w:spacing w:after="0" w:line="89" w:lineRule="exact"/>
        <w:rPr>
          <w:sz w:val="20"/>
          <w:szCs w:val="20"/>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$50,000 (plus an additional $12,500 for the non-executive chair of our board of directors or lead independent direct, if any);</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$12,500 for service as a member of the audit committee, compensation committee and the nominating and corporate governance committee;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RSU grant having grant date fair value of $500,000 on the date of each such non-employee director’s appointment to our board of directors;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refresh RSU grant having a grant date fair value of $500,000 on the fifth anniversary of such non-employee director’s initial RSU grant or initial public offering grant, as described below; as applicable;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RSU grant having grant date fair value of $125,000 on the date of each of our annual stockholder meetings.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Under the non-employee director compensation policy, directors may elect to receive some or all of their eligible cash compensation in the form of RSUs.</w:t>
      </w:r>
    </w:p>
    <w:p>
      <w:pPr>
        <w:spacing w:after="0" w:line="23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connection with this offering, we will grant each of our non-employee directors RSUs with a grant date fair value of $500,000 on the date of this prospectus.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Each of the RSU grants described above under the non-employee director compensation policy will be granted under our 2024 Plan, the terms of which are described in more detail below under the section titled “Executive Compensation—Equity Incentive Plans—2024 Equity Incentive Plan.” Each of the initial RSU grants and grants made in connection with this offering, as applicable, will vest in substantially equal quarterly installments over a five-year period, subject to the director’s continuous service to us through each vesting date. Each annual RSU grant will vest and become exercisable subject to the director’s continuous service to us through the earlier of the first anniversary of the date of grant or the next annual stockholder meeting.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340"/>
          </w:cols>
          <w:pgMar w:left="320" w:top="448" w:right="2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named executive officers, consisting of our principal executive officer and the next two most highly compensated executive officers,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were:</w:t>
      </w:r>
    </w:p>
    <w:p>
      <w:pPr>
        <w:spacing w:after="0" w:line="103" w:lineRule="exact"/>
        <w:rPr>
          <w:sz w:val="20"/>
          <w:szCs w:val="20"/>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Chief Executive Officer, Founder and Chairman;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Rogers, Chief Financial Officer;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Fukushima, Chief Operating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presents all of the compensation awarded to or earned by or paid to our named executive officers for the years ended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Name and Principal Position</w:t>
            </w:r>
          </w:p>
        </w:tc>
        <w:tc>
          <w:tcPr>
            <w:tcW w:w="2360" w:type="dxa"/>
            <w:vAlign w:val="bottom"/>
            <w:vMerge w:val="restart"/>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3"/>
                <w:szCs w:val="13"/>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3"/>
                <w:szCs w:val="13"/>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720" w:type="dxa"/>
            <w:vAlign w:val="bottom"/>
            <w:tcBorders>
              <w:bottom w:val="single" w:sz="8" w:color="auto"/>
            </w:tcBorders>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37"/>
              <w:spacing w:after="0" w:line="156" w:lineRule="exact"/>
              <w:rPr>
                <w:sz w:val="20"/>
                <w:szCs w:val="20"/>
                <w:color w:val="auto"/>
              </w:rPr>
            </w:pPr>
            <w:r>
              <w:rPr>
                <w:rFonts w:ascii="Times New Roman" w:cs="Times New Roman" w:eastAsia="Times New Roman" w:hAnsi="Times New Roman"/>
                <w:sz w:val="14"/>
                <w:szCs w:val="14"/>
                <w:b w:val="1"/>
                <w:bCs w:val="1"/>
                <w:color w:val="auto"/>
                <w:w w:val="99"/>
              </w:rPr>
              <w:t>Awards</w:t>
            </w:r>
            <w:r>
              <w:rPr>
                <w:rFonts w:ascii="Times New Roman" w:cs="Times New Roman" w:eastAsia="Times New Roman" w:hAnsi="Times New Roman"/>
                <w:sz w:val="10"/>
                <w:szCs w:val="10"/>
                <w:b w:val="1"/>
                <w:bCs w:val="1"/>
                <w:color w:val="auto"/>
                <w:w w:val="99"/>
              </w:rPr>
              <w:t>(1)</w:t>
            </w:r>
          </w:p>
        </w:tc>
        <w:tc>
          <w:tcPr>
            <w:tcW w:w="480" w:type="dxa"/>
            <w:vAlign w:val="bottom"/>
          </w:tcPr>
          <w:p>
            <w:pPr>
              <w:spacing w:after="0"/>
              <w:rPr>
                <w:sz w:val="15"/>
                <w:szCs w:val="15"/>
                <w:color w:val="auto"/>
              </w:rPr>
            </w:pPr>
          </w:p>
        </w:tc>
        <w:tc>
          <w:tcPr>
            <w:tcW w:w="1500" w:type="dxa"/>
            <w:vAlign w:val="bottom"/>
            <w:gridSpan w:val="3"/>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w w:val="94"/>
              </w:rPr>
              <w:t>2023</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640" w:type="dxa"/>
            <w:vAlign w:val="bottom"/>
            <w:tcBorders>
              <w:top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 Founder and Chairmain</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4"/>
              </w:rPr>
              <w:t>2022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4"/>
              <w:spacing w:after="0" w:line="210" w:lineRule="exact"/>
              <w:rPr>
                <w:sz w:val="20"/>
                <w:szCs w:val="20"/>
                <w:color w:val="auto"/>
              </w:rPr>
            </w:pPr>
            <w:r>
              <w:rPr>
                <w:rFonts w:ascii="Times New Roman" w:cs="Times New Roman" w:eastAsia="Times New Roman" w:hAnsi="Times New Roman"/>
                <w:sz w:val="16"/>
                <w:szCs w:val="16"/>
                <w:color w:val="auto"/>
              </w:rPr>
              <w:t>2,100</w:t>
            </w:r>
            <w:r>
              <w:rPr>
                <w:rFonts w:ascii="Times New Roman" w:cs="Times New Roman" w:eastAsia="Times New Roman" w:hAnsi="Times New Roman"/>
                <w:sz w:val="24"/>
                <w:szCs w:val="24"/>
                <w:color w:val="auto"/>
                <w:vertAlign w:val="superscript"/>
              </w:rPr>
              <w:t>(2)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95"/>
        </w:trPr>
        <w:tc>
          <w:tcPr>
            <w:tcW w:w="4080" w:type="dxa"/>
            <w:vAlign w:val="bottom"/>
            <w:gridSpan w:val="2"/>
          </w:tcPr>
          <w:p>
            <w:pPr>
              <w:spacing w:after="0" w:line="294" w:lineRule="exact"/>
              <w:rPr>
                <w:sz w:val="20"/>
                <w:szCs w:val="20"/>
                <w:color w:val="auto"/>
              </w:rPr>
            </w:pPr>
            <w:r>
              <w:rPr>
                <w:rFonts w:ascii="Times New Roman" w:cs="Times New Roman" w:eastAsia="Times New Roman" w:hAnsi="Times New Roman"/>
                <w:sz w:val="18"/>
                <w:szCs w:val="18"/>
                <w:color w:val="auto"/>
              </w:rPr>
              <w:t>James Rogers</w:t>
            </w:r>
            <w:r>
              <w:rPr>
                <w:rFonts w:ascii="Times New Roman" w:cs="Times New Roman" w:eastAsia="Times New Roman" w:hAnsi="Times New Roman"/>
                <w:sz w:val="26"/>
                <w:szCs w:val="26"/>
                <w:color w:val="auto"/>
                <w:vertAlign w:val="superscript"/>
              </w:rPr>
              <w:t>(3)</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4"/>
              </w:rPr>
              <w:t>2023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5"/>
              </w:rPr>
              <w:t>491,667</w:t>
            </w:r>
          </w:p>
        </w:tc>
        <w:tc>
          <w:tcPr>
            <w:tcW w:w="10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2,762,550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414"/>
              <w:spacing w:after="0" w:line="294" w:lineRule="exact"/>
              <w:rPr>
                <w:sz w:val="20"/>
                <w:szCs w:val="20"/>
                <w:color w:val="auto"/>
              </w:rPr>
            </w:pPr>
            <w:r>
              <w:rPr>
                <w:rFonts w:ascii="Times New Roman" w:cs="Times New Roman" w:eastAsia="Times New Roman" w:hAnsi="Times New Roman"/>
                <w:sz w:val="18"/>
                <w:szCs w:val="18"/>
                <w:color w:val="auto"/>
              </w:rPr>
              <w:t>2,100</w:t>
            </w:r>
            <w:r>
              <w:rPr>
                <w:rFonts w:ascii="Times New Roman" w:cs="Times New Roman" w:eastAsia="Times New Roman" w:hAnsi="Times New Roman"/>
                <w:sz w:val="26"/>
                <w:szCs w:val="26"/>
                <w:color w:val="auto"/>
                <w:vertAlign w:val="superscript"/>
              </w:rPr>
              <w:t>(2)</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3,306,317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0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4"/>
              </w:rPr>
              <w:t>2022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5"/>
              </w:rPr>
              <w:t>450,000</w:t>
            </w:r>
          </w:p>
        </w:tc>
        <w:tc>
          <w:tcPr>
            <w:tcW w:w="10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2,975,250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414"/>
              <w:spacing w:after="0"/>
              <w:rPr>
                <w:sz w:val="20"/>
                <w:szCs w:val="20"/>
                <w:color w:val="auto"/>
              </w:rPr>
            </w:pPr>
            <w:r>
              <w:rPr>
                <w:rFonts w:ascii="Times New Roman" w:cs="Times New Roman" w:eastAsia="Times New Roman" w:hAnsi="Times New Roman"/>
                <w:sz w:val="18"/>
                <w:szCs w:val="18"/>
                <w:color w:val="auto"/>
              </w:rPr>
              <w:t>2,100</w:t>
            </w:r>
            <w:r>
              <w:rPr>
                <w:rFonts w:ascii="Times New Roman" w:cs="Times New Roman" w:eastAsia="Times New Roman" w:hAnsi="Times New Roman"/>
                <w:sz w:val="26"/>
                <w:szCs w:val="26"/>
                <w:color w:val="auto"/>
                <w:vertAlign w:val="superscript"/>
              </w:rPr>
              <w:t>(2)</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3,427,350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Ryan Fukushima</w:t>
            </w:r>
            <w:r>
              <w:rPr>
                <w:rFonts w:ascii="Times New Roman" w:cs="Times New Roman" w:eastAsia="Times New Roman" w:hAnsi="Times New Roman"/>
                <w:sz w:val="24"/>
                <w:szCs w:val="24"/>
                <w:color w:val="auto"/>
                <w:vertAlign w:val="superscript"/>
              </w:rPr>
              <w:t>(4)</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4"/>
              </w:rPr>
              <w:t>2023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5"/>
              </w:rPr>
              <w:t>390,625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2"/>
              </w:rPr>
              <w:t>200,000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4,604,250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4"/>
              <w:spacing w:after="0" w:line="210" w:lineRule="exact"/>
              <w:rPr>
                <w:sz w:val="20"/>
                <w:szCs w:val="20"/>
                <w:color w:val="auto"/>
              </w:rPr>
            </w:pPr>
            <w:r>
              <w:rPr>
                <w:rFonts w:ascii="Times New Roman" w:cs="Times New Roman" w:eastAsia="Times New Roman" w:hAnsi="Times New Roman"/>
                <w:sz w:val="16"/>
                <w:szCs w:val="16"/>
                <w:color w:val="auto"/>
              </w:rPr>
              <w:t>78,468</w:t>
            </w:r>
            <w:r>
              <w:rPr>
                <w:rFonts w:ascii="Times New Roman" w:cs="Times New Roman" w:eastAsia="Times New Roman" w:hAnsi="Times New Roman"/>
                <w:sz w:val="24"/>
                <w:szCs w:val="24"/>
                <w:color w:val="auto"/>
                <w:vertAlign w:val="superscript"/>
              </w:rPr>
              <w:t>(5)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5,273,343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4"/>
              </w:rPr>
              <w:t>2022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5"/>
              </w:rPr>
              <w:t>499,858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5,550,870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4"/>
              <w:spacing w:after="0" w:line="210" w:lineRule="exact"/>
              <w:rPr>
                <w:sz w:val="20"/>
                <w:szCs w:val="20"/>
                <w:color w:val="auto"/>
              </w:rPr>
            </w:pPr>
            <w:r>
              <w:rPr>
                <w:rFonts w:ascii="Times New Roman" w:cs="Times New Roman" w:eastAsia="Times New Roman" w:hAnsi="Times New Roman"/>
                <w:sz w:val="16"/>
                <w:szCs w:val="16"/>
                <w:color w:val="auto"/>
              </w:rPr>
              <w:t>90,816</w:t>
            </w:r>
            <w:r>
              <w:rPr>
                <w:rFonts w:ascii="Times New Roman" w:cs="Times New Roman" w:eastAsia="Times New Roman" w:hAnsi="Times New Roman"/>
                <w:sz w:val="24"/>
                <w:szCs w:val="24"/>
                <w:color w:val="auto"/>
                <w:vertAlign w:val="superscript"/>
              </w:rPr>
              <w:t>(5)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6,141,544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jc w:val="both"/>
        <w:ind w:left="460" w:hanging="455"/>
        <w:spacing w:after="0" w:line="248"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RSUs granted to our executive officers during the fiscal year under our 2015 Plan, computed in accordance with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executive officer.</w:t>
      </w:r>
    </w:p>
    <w:p>
      <w:pPr>
        <w:spacing w:after="0" w:line="2"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represents parking fees in the amount of $2,100.</w:t>
      </w:r>
    </w:p>
    <w:p>
      <w:pPr>
        <w:spacing w:after="0" w:line="3"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Rogers’ annualized base salary for 2022 was $450,000. As described below under “—Employment Arrangements,” he entered into a new employment agreement, effective January 2023, providing for an annualized base salary of $500,000.</w:t>
      </w:r>
    </w:p>
    <w:p>
      <w:pPr>
        <w:jc w:val="both"/>
        <w:ind w:left="460" w:hanging="455"/>
        <w:spacing w:after="0" w:line="243"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Fukushima’s annualized base salary for 2022 was $500,000. As described below under “—Employment Arrangements,” he entered into a new employment agreement, effective January 2023, providing for an annualized base salary of $375,000, which represents a proration based on the amount of time subject to outside activities that Mr. Fukushima devotes to Pathos AI, Inc. See the section titled “Certain Relationships and Related Party Transactions —Agreements with Pathos” in this prospectus for more information.</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represents a housing stipend earned during each of the years presented.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340"/>
          </w:cols>
          <w:pgMar w:left="320" w:top="448" w:right="2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2023</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certain information about outstanding equity awards granted to our named executive officers that remain outstanding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2"/>
          </w:tcPr>
          <w:p>
            <w:pPr>
              <w:jc w:val="center"/>
              <w:ind w:right="414"/>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414"/>
              <w:spacing w:after="0" w:line="145"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122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of Shares or</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Vesting Commencement</w:t>
            </w:r>
          </w:p>
        </w:tc>
        <w:tc>
          <w:tcPr>
            <w:tcW w:w="1520" w:type="dxa"/>
            <w:vAlign w:val="bottom"/>
            <w:gridSpan w:val="2"/>
          </w:tcPr>
          <w:p>
            <w:pPr>
              <w:jc w:val="center"/>
              <w:ind w:right="414"/>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122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0" w:type="dxa"/>
            <w:vAlign w:val="bottom"/>
          </w:tcPr>
          <w:p>
            <w:pPr>
              <w:spacing w:after="0"/>
              <w:rPr>
                <w:sz w:val="1"/>
                <w:szCs w:val="1"/>
                <w:color w:val="auto"/>
              </w:rPr>
            </w:pPr>
          </w:p>
        </w:tc>
      </w:tr>
      <w:tr>
        <w:trPr>
          <w:trHeight w:val="144"/>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9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520" w:type="dxa"/>
            <w:vAlign w:val="bottom"/>
            <w:gridSpan w:val="2"/>
          </w:tcPr>
          <w:p>
            <w:pPr>
              <w:jc w:val="center"/>
              <w:ind w:right="414"/>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22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gridSpan w:val="2"/>
          </w:tcPr>
          <w:p>
            <w:pPr>
              <w:jc w:val="right"/>
              <w:ind w:right="1020"/>
              <w:spacing w:after="0" w:line="156" w:lineRule="exact"/>
              <w:rPr>
                <w:sz w:val="20"/>
                <w:szCs w:val="20"/>
                <w:color w:val="auto"/>
              </w:rPr>
            </w:pPr>
            <w:r>
              <w:rPr>
                <w:rFonts w:ascii="Times New Roman" w:cs="Times New Roman" w:eastAsia="Times New Roman" w:hAnsi="Times New Roman"/>
                <w:sz w:val="14"/>
                <w:szCs w:val="14"/>
                <w:b w:val="1"/>
                <w:bCs w:val="1"/>
                <w:color w:val="auto"/>
              </w:rPr>
              <w:t>Date</w:t>
            </w:r>
          </w:p>
        </w:tc>
        <w:tc>
          <w:tcPr>
            <w:tcW w:w="1520" w:type="dxa"/>
            <w:vAlign w:val="bottom"/>
            <w:gridSpan w:val="2"/>
          </w:tcPr>
          <w:p>
            <w:pPr>
              <w:jc w:val="center"/>
              <w:ind w:right="414"/>
              <w:spacing w:after="0" w:line="156"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122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w w:val="95"/>
              </w:rPr>
              <w:t>Vested</w:t>
            </w:r>
            <w:r>
              <w:rPr>
                <w:rFonts w:ascii="Times New Roman" w:cs="Times New Roman" w:eastAsia="Times New Roman" w:hAnsi="Times New Roman"/>
                <w:sz w:val="10"/>
                <w:szCs w:val="10"/>
                <w:b w:val="1"/>
                <w:bCs w:val="1"/>
                <w:color w:val="auto"/>
                <w:w w:val="95"/>
              </w:rPr>
              <w:t>(2)</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July 14, 2021</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February 1, 2021</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4,866,000</w:t>
            </w:r>
          </w:p>
        </w:tc>
        <w:tc>
          <w:tcPr>
            <w:tcW w:w="500" w:type="dxa"/>
            <w:vAlign w:val="bottom"/>
            <w:tcBorders>
              <w:top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2"/>
              </w:rPr>
              <w:t>(3)</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184,032,120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November 11, 2017</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July 31, 2017</w:t>
            </w:r>
          </w:p>
        </w:tc>
        <w:tc>
          <w:tcPr>
            <w:tcW w:w="1520" w:type="dxa"/>
            <w:vAlign w:val="bottom"/>
            <w:gridSpan w:val="2"/>
          </w:tcPr>
          <w:p>
            <w:pPr>
              <w:jc w:val="right"/>
              <w:ind w:right="274"/>
              <w:spacing w:after="0" w:line="297" w:lineRule="exact"/>
              <w:rPr>
                <w:sz w:val="20"/>
                <w:szCs w:val="20"/>
                <w:color w:val="auto"/>
              </w:rPr>
            </w:pPr>
            <w:r>
              <w:rPr>
                <w:rFonts w:ascii="Times New Roman" w:cs="Times New Roman" w:eastAsia="Times New Roman" w:hAnsi="Times New Roman"/>
                <w:sz w:val="18"/>
                <w:szCs w:val="18"/>
                <w:color w:val="auto"/>
              </w:rPr>
              <w:t>24,000</w:t>
            </w:r>
            <w:r>
              <w:rPr>
                <w:rFonts w:ascii="Times New Roman" w:cs="Times New Roman" w:eastAsia="Times New Roman" w:hAnsi="Times New Roman"/>
                <w:sz w:val="26"/>
                <w:szCs w:val="26"/>
                <w:color w:val="auto"/>
                <w:vertAlign w:val="superscript"/>
              </w:rPr>
              <w:t>(4)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907,680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March 13, 2018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24, 2018</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26,000</w:t>
            </w:r>
            <w:r>
              <w:rPr>
                <w:rFonts w:ascii="Times New Roman" w:cs="Times New Roman" w:eastAsia="Times New Roman" w:hAnsi="Times New Roman"/>
                <w:sz w:val="24"/>
                <w:szCs w:val="24"/>
                <w:color w:val="auto"/>
                <w:vertAlign w:val="superscript"/>
              </w:rPr>
              <w:t>(4)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17, 2019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15, 2020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2020</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21, 2021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20,000</w:t>
            </w:r>
            <w:r>
              <w:rPr>
                <w:rFonts w:ascii="Times New Roman" w:cs="Times New Roman" w:eastAsia="Times New Roman" w:hAnsi="Times New Roman"/>
                <w:sz w:val="24"/>
                <w:szCs w:val="24"/>
                <w:color w:val="auto"/>
                <w:vertAlign w:val="superscript"/>
              </w:rPr>
              <w:t>(3)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21, 2021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March 9, 2021</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27, 2022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15, 2022</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4"/>
                <w:szCs w:val="24"/>
                <w:color w:val="auto"/>
                <w:vertAlign w:val="superscript"/>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18, 2023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March 15, 2023</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3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July 18, 2023</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March 31, 2023</w:t>
            </w:r>
          </w:p>
        </w:tc>
        <w:tc>
          <w:tcPr>
            <w:tcW w:w="1520" w:type="dxa"/>
            <w:vAlign w:val="bottom"/>
            <w:gridSpan w:val="2"/>
          </w:tcPr>
          <w:p>
            <w:pPr>
              <w:jc w:val="right"/>
              <w:ind w:right="274"/>
              <w:spacing w:after="0"/>
              <w:rPr>
                <w:sz w:val="20"/>
                <w:szCs w:val="20"/>
                <w:color w:val="auto"/>
              </w:rPr>
            </w:pPr>
            <w:r>
              <w:rPr>
                <w:rFonts w:ascii="Times New Roman" w:cs="Times New Roman" w:eastAsia="Times New Roman" w:hAnsi="Times New Roman"/>
                <w:sz w:val="18"/>
                <w:szCs w:val="18"/>
                <w:color w:val="auto"/>
              </w:rPr>
              <w:t>60,000</w:t>
            </w:r>
            <w:r>
              <w:rPr>
                <w:rFonts w:ascii="Times New Roman" w:cs="Times New Roman" w:eastAsia="Times New Roman" w:hAnsi="Times New Roman"/>
                <w:sz w:val="26"/>
                <w:szCs w:val="26"/>
                <w:color w:val="auto"/>
                <w:vertAlign w:val="superscript"/>
              </w:rPr>
              <w:t>(7)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2,269,200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March 13, 2018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September 25, 2017</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April 17, 2019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4"/>
                <w:szCs w:val="24"/>
                <w:color w:val="auto"/>
                <w:vertAlign w:val="superscript"/>
              </w:rPr>
              <w:t>(4)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October 16, 2019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October 16, 2019</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21, 2021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150,000</w:t>
            </w:r>
            <w:r>
              <w:rPr>
                <w:rFonts w:ascii="Times New Roman" w:cs="Times New Roman" w:eastAsia="Times New Roman" w:hAnsi="Times New Roman"/>
                <w:sz w:val="24"/>
                <w:szCs w:val="24"/>
                <w:color w:val="auto"/>
                <w:vertAlign w:val="superscript"/>
              </w:rPr>
              <w:t>(3)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21, 2021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3,500</w:t>
            </w:r>
            <w:r>
              <w:rPr>
                <w:rFonts w:ascii="Times New Roman" w:cs="Times New Roman" w:eastAsia="Times New Roman" w:hAnsi="Times New Roman"/>
                <w:sz w:val="24"/>
                <w:szCs w:val="24"/>
                <w:color w:val="auto"/>
                <w:vertAlign w:val="superscript"/>
              </w:rPr>
              <w:t>(4)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3, 2022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January 3, 2022</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4"/>
                <w:szCs w:val="24"/>
                <w:color w:val="auto"/>
                <w:vertAlign w:val="superscript"/>
              </w:rPr>
              <w:t>(5)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27, 2022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15, 2022</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36,000</w:t>
            </w:r>
            <w:r>
              <w:rPr>
                <w:rFonts w:ascii="Times New Roman" w:cs="Times New Roman" w:eastAsia="Times New Roman" w:hAnsi="Times New Roman"/>
                <w:sz w:val="24"/>
                <w:szCs w:val="24"/>
                <w:color w:val="auto"/>
                <w:vertAlign w:val="superscript"/>
              </w:rPr>
              <w:t>(5)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18, 2023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15, 2023</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18, 2023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31, 2023</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line="253"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awards listed in this table represent RSUs granted pursuant to our 2015 Plan, the terms of which are described below under “—Equity Incentive Plans—2015 Stock Plan.”</w:t>
      </w:r>
    </w:p>
    <w:p>
      <w:pPr>
        <w:spacing w:after="0" w:line="1"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fair market value of a share of our common stock of $37.82 as of December 31, 2023 as determined by our board of directors, multiplied by the amount shown in the column “Stock Awards—Number of Shares or Units of Stock that Have Not Vested.”</w:t>
      </w:r>
    </w:p>
    <w:p>
      <w:pPr>
        <w:jc w:val="both"/>
        <w:ind w:left="460" w:hanging="455"/>
        <w:spacing w:after="0" w:line="243"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RSUs vest on the one-year anniversary of the vesting commencement date and 1/12 of the remaining RSUs vest quarterly thereafter, provided that the recipient remains in continuous service with us through each vesting date, and subject to the earlier to occur of (i) the consummation of this offering and (ii) a change in control of our company, each of which we refer to as a Liquidity Event. These PSUs were originally granted as Performance-Vesting Restricted Stock Unit awards, or PSUs, which included both a Liquidity Event vesting requirement and a performance-vesting condition. In July 2023, our board of directors approved the removal of the performance-vesting condition, following which these PSUs are treated as RSUs, as more fully described in the section titled “—Equity Incentive Plans—2015 Stock Plan” below.</w:t>
      </w:r>
    </w:p>
    <w:p>
      <w:pPr>
        <w:spacing w:after="0" w:line="2"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RSUs vest on the one-year anniversary of the vesting commencement date and 1/12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fifth of these RSUs vest on the one-year anniversary of the vesting commencement date and 1/16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340"/>
          </w:cols>
          <w:pgMar w:left="320" w:top="448" w:right="2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hanging="455"/>
        <w:spacing w:after="0" w:line="253"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have satisfied the service-based vesting requirement, and will become fully vested and settleable upon the occurrence of a Liquidity Event, provided that the recipient remains in continuous service with us through such vesting date.</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of these RSUs vest quarterly during the first year commencing on the vesting commencement date, 1/12 of these RSUs vest quarterly during the second year and one eighth of these RSUs vest quarterly during the third year,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eighth of these RSUs vest quarterly starting on the second anniversary of the vesting commencement date, provided that the recipient remains in continuous service with us through each vesting date, and subject to the earlier to occur of (i) the consummation of this offering and (ii) a change in control of our company.</w:t>
      </w:r>
    </w:p>
    <w:p>
      <w:pPr>
        <w:spacing w:after="0" w:line="18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“—Employment Arrangements” for a description of vesting acceleration applicable to stock awards held by our named executive officers.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may in the future, on an annual basis or otherwise, grant additional equity awards to our executive officers pursuant to our 2024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Plans—2024 Equity Incentive Plan.”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setting forth the terms and conditions of such executive’s employment with us. The employment agreements generally provide for at-will employment and set forth the executive officer’s initial base salary. Each of our named executive officers has also executed our standard form of proprietary information and inventions assignment agreement. Our current named executive officers are eligible to participate in our employee benefit plans, including our medical, dental, vision, disability and life insurance plans, in each case on the same basis as all of our other employees. Other than as described herein, we generally do not provide perquisites or personal benefits to our named executive officers.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entered into a new employment agreement with Mr. Lefkofsky, our Chief Executive Officer, effective as of the date of this prospectus. Mr. Lefkofsky’s employment agreement provides for an annual base salary of $800,000 beginning on January 1, 2025, and an annual cash bonus of $800,000, in each case, subject to review and adjustment by the company in its sole discretion.</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Under the terms of his employment agreement, if Mr. Lefkofsky resigns for Good Reason or we terminate Mr. Lefkofsky’s employment without Cause (each as defined in his employment agreement), in either case in the event of a Change in Control (as defined in the 2024 Plan), 100% of his then-unvested equity will immediately accelerate, vest and become exercisable. In addition, on the date of this prospectus, we will grant Mr. Lefkofsky 750,000 RSUs under the 2024 Plan, which will vest in substantially equal quarterly installments over a five-year period.</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James Rogers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Rogers, our Chief Financial Officer, effective January 2023. Mr. Rogers’ employment agreement provides for an annual base salary of $500,000, which is subject to review and adjustment by the company in its sole discretion.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Under the terms of his employment agreement, if Mr. Rogers resigns for Good Reason or we terminate his employment without Cause (each as defined in his employment agreement), then Mr. Rogers will be eligible 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340"/>
          </w:cols>
          <w:pgMar w:left="320" w:top="448" w:right="2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receive salary continuation and reimbursement of premiums to continue health care benefits for a period of twelve months, subject to his execution of a general release in favor of our company. Further, if Mr. Rogers resigns for Good Reason or we terminate Mr. Rogers’ employment without Cause, in either case in the event of a Change in Control (as defined in our 2015 Plan), 100% of his then-unvested equity will immediately accelerate, vest and become exercisable.</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Ryan Fukushima</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Fukushima, our Chief Operating Officer, effective January 2023. Mr. Fukushima’s employment agreement provides for an annual base salary of $375,000 which is subject to review and adjustment by the company in its sole discretion.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terms of his employment agreement, if Mr. Fukushima resigns for Good Reason or we terminate his employment without Cause (each as defined in his employment agreement), then Mr. Fukushima will be eligible to receive salary continuation and reimbursement of premiums to continue health care benefits for a period of twelve months, subject to his execution of a general release in favor of our company. Further, if Mr. Fukushima resigns for Good Reason or we terminate Mr. Fukushima’s employment without Cause, in either case in the event of a Change in Control (as defined in our 2015 Plan), 100% of his then-unvested equity will immediately accelerate, vest and become exercisable.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board of directors intends to adopt the 2024 Equity Incentive Plan, or the 2024 Plan, that will become effective on the date of the underwriting agreement related to this offering. Our 2024 Plan will come into existence upon its adoption by our board of directors, but no grants will be made under our 2024 Plan prior to its effectiveness. Once our 2024 Plan becomes effective, no further grants will be made under our 2015 Plan.</w:t>
      </w:r>
    </w:p>
    <w:p>
      <w:pPr>
        <w:spacing w:after="0" w:line="178"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Our 2024 Plan provides for the grant of incentive stock options, or ISOs, nonstatutory stock options, or NSOs, stock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81"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i w:val="1"/>
          <w:iCs w:val="1"/>
          <w:color w:val="auto"/>
        </w:rPr>
        <w:t>Authorized Shares</w:t>
      </w:r>
      <w:r>
        <w:rPr>
          <w:rFonts w:ascii="Times New Roman" w:cs="Times New Roman" w:eastAsia="Times New Roman" w:hAnsi="Times New Roman"/>
          <w:sz w:val="16"/>
          <w:szCs w:val="16"/>
          <w:color w:val="auto"/>
        </w:rPr>
        <w:t>. The maximum number of shares of our Class A common stock that may be issued under our 2024 Plan is 7,430,000 shares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Class A common stock. The number of shares of our Class A common stock reserved for issuance under our 2024 Plan will automatically increase on January 1 of each year, beginning on January 1, 2025, and continuing through and including January 1, 2034, in an amount equal to either (i) a number of shares of our Class A common stock or, the Evergreen Increase, such that the sum of (x) the remaining number of shares available under the 2024 Plan and (y) the Evergreen Increase is equal to 5% of the total number of shares of common stock (both Class A and Class B) outstanding on December 31 of the preceding calendar year, or</w:t>
      </w:r>
    </w:p>
    <w:p>
      <w:pPr>
        <w:spacing w:after="0" w:line="1" w:lineRule="exact"/>
        <w:rPr>
          <w:sz w:val="20"/>
          <w:szCs w:val="20"/>
          <w:color w:val="auto"/>
        </w:rPr>
      </w:pPr>
    </w:p>
    <w:p>
      <w:pPr>
        <w:ind w:firstLine="5"/>
        <w:spacing w:after="0" w:line="247"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lesser number of shares determined by our board of directors prior to the applicable January 1. The maximum number of shares that may be issued upon the exercise of ISOs under our 2024 Plan is 22,290,000 shares.</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Shares issued under our 2024 Plan will be authorized but unissued or reacquired shares of Class A common stock. Shares subject to awards granted under our 2024 Plan that expire or terminate without being exercised in full, or that are paid out in cash rather than in shares, will not reduce the number of shares available for issuance under our 2024 Plan. Additionally, shares issued pursuant to awards under our 2024 Plan that we repurchase or that are forfeited, as well as shares used to pay the exercise price of an award or to satisfy the tax withholding obligations to an award, will become available for future grant under our 2024 Plan.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340"/>
          </w:cols>
          <w:pgMar w:left="320" w:top="448" w:right="2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maximum number of shares of our Class A common stock subject to stock awards granted under the 2024 Plan or otherwise during any calendar year beginning in 2025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85"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duly authorized committee of our board, may administer our 2024 Plan. Our board of directors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delegated concurrent authority to administer our 2024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administrator has the authority to determine the terms of awards, including recipients, the exercise, purchase or strike price of awards, if any, the number of shares subject to each award, the fair market value of a share of our Class A common stock, the vesting schedule applicable to the awards, together with any vesting acceleration, and the form of consideration, if any, payable upon exercise or settlement of the award and the terms of the award agreements for use under our 2024 Plan.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subject to the terms of the 2024 Plan, the administrator also has the power to modify outstanding awards under our 2024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82"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pursuant to stock option agreements adopted by the administrator. The administrator determines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for a stock option, within the terms and conditions of the 2021 Plan, provided that the exercise price of a stock option generally cannot be less than 100% of the fair market value of our Class A common stock on the date of grant. Options granted under the 2024 Plan vest at the rate specified in the stock option agreement as specified in the stock option agreement by the administrator.</w:t>
      </w:r>
    </w:p>
    <w:p>
      <w:pPr>
        <w:spacing w:after="0" w:line="18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administrator determines the term of stock options granted under the 2024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61"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Acceptable consideration for the purchase of our Class A common stock issued upon the exercise of a stock option will be determined by the administrator and may include (1) cash, check, bank draft or money order, (2) a broker-assisted cashless exercise, (3) the tender of shares of Class A common stock previously owned by the optionholder, (4) a net exercise of the option if it is an NSO and (5) other legal consideration approved by the administrator.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340"/>
          </w:cols>
          <w:pgMar w:left="320" w:top="448" w:right="2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78"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i w:val="1"/>
          <w:iCs w:val="1"/>
          <w:color w:val="auto"/>
        </w:rPr>
        <w:t>Tax Limitations on ISOs</w:t>
      </w:r>
      <w:r>
        <w:rPr>
          <w:rFonts w:ascii="Times New Roman" w:cs="Times New Roman" w:eastAsia="Times New Roman" w:hAnsi="Times New Roman"/>
          <w:sz w:val="16"/>
          <w:szCs w:val="16"/>
          <w:color w:val="auto"/>
        </w:rPr>
        <w:t>. The aggregate fair market value, determined at the time of grant, of our Class A common stock with respect to ISOs that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5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pursuant to restricted stock award agreements adopted by the administrator.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pursuant to restricted stock unit award agreements adopted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pursuant to stock appreciation right grant agreements adopted by the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determines the strike price for a stock appreciation right, which generally cannot be less than 100% of the fair market value of our Class A common stock on the date of grant. Upon the exercise of a stock appreciation right, we will pay the participant an amount equal to the product of (1) the excess of the per share fair market value of our Class A common stock on the date of exercise over the strike price, multiplied by (2) the number of shares of our Class A common stock with respect to which the stock appreciation right is exercised. A stock appreciation right granted under the 2024 Plan vests at the rate specified in the stock appreciation right agreement as determined by the administrator.</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administrator determines the term of stock appreciation rights granted under the 2024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340"/>
          </w:cols>
          <w:pgMar w:left="320" w:top="448" w:right="2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Our 2024 Plan permits the grant of performance-based stock and cash awards. The compensation committee can structure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8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37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The administrator may grant other awards based in whole or in part by reference to our Class A common stock. The administrator will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under the award and all other terms and conditions of such awards.</w:t>
      </w:r>
    </w:p>
    <w:p>
      <w:pPr>
        <w:spacing w:after="0" w:line="16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Changes to Capital Structure</w:t>
      </w:r>
      <w:r>
        <w:rPr>
          <w:rFonts w:ascii="Times New Roman" w:cs="Times New Roman" w:eastAsia="Times New Roman" w:hAnsi="Times New Roman"/>
          <w:sz w:val="16"/>
          <w:szCs w:val="16"/>
          <w:color w:val="auto"/>
        </w:rPr>
        <w:t>. In the event there is a specified type of change in our capital structure, such as a stock split, reverse stock split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recapitalization, appropriate adjustments will be made to (1) the class and maximum number of shares reserved for issuance under the 2024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5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i w:val="1"/>
          <w:iCs w:val="1"/>
          <w:color w:val="auto"/>
        </w:rPr>
        <w:t>Corporate Transactions</w:t>
      </w:r>
      <w:r>
        <w:rPr>
          <w:rFonts w:ascii="Times New Roman" w:cs="Times New Roman" w:eastAsia="Times New Roman" w:hAnsi="Times New Roman"/>
          <w:sz w:val="16"/>
          <w:szCs w:val="16"/>
          <w:color w:val="auto"/>
        </w:rPr>
        <w:t>. The following applies to stock awards under the 2024 Plan in the event of a corporate transaction, unless otherwise provided in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participant’s stock award agreement or other written agreement with us or one of our affiliates or unless otherwise expressly provided by the administrator at the time of grant. Under the 2024 Plan, a corporate transaction is generally the consummation of (1) a sale or other disposition of all or substantially all of our assets,</w:t>
      </w:r>
    </w:p>
    <w:p>
      <w:pPr>
        <w:spacing w:after="0" w:line="1" w:lineRule="exact"/>
        <w:rPr>
          <w:sz w:val="20"/>
          <w:szCs w:val="20"/>
          <w:color w:val="auto"/>
        </w:rPr>
      </w:pPr>
    </w:p>
    <w:p>
      <w:pPr>
        <w:jc w:val="both"/>
        <w:ind w:firstLine="5"/>
        <w:spacing w:after="0" w:line="245" w:lineRule="auto"/>
        <w:tabs>
          <w:tab w:leader="none" w:pos="26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88"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2024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340"/>
          </w:cols>
          <w:pgMar w:left="320" w:top="448" w:right="2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6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a change in control, as defined under our 2024 Plan, awards granted under our 2024 Plan will not receive automatic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acceleration of vesting and exercisability, although this treatment may be provided for in an award agreement.</w:t>
      </w:r>
    </w:p>
    <w:p>
      <w:pPr>
        <w:spacing w:after="0" w:line="164"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All awards granted under the 2024 Plan will be subject to recoupment in accordance with any clawback policy that we are required to adopt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listing standards of any national securities exchange or association on which our securities are listed or as is otherwise required by the U.S. Dodd-Frank Wall Street Reform and Consumer Protection Act or other applicable law. In addition, our board of directors may impose such other clawback, recovery or recoupment provisions in a stock award agreement as our board of directors determines necessary or appropriate.</w:t>
      </w:r>
    </w:p>
    <w:p>
      <w:pPr>
        <w:spacing w:after="0" w:line="181"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 participant may not transfer awards under our 2024 Plan other than by will, the laws of descent and distribution or as otherwise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2024 Plan.</w:t>
      </w:r>
    </w:p>
    <w:p>
      <w:pPr>
        <w:spacing w:after="0" w:line="164"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Our board has the authority to amend, suspend or terminate our 2024 Plan, provided that such action does not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 the existing rights of any participant without such participant’s written consent. Certain material amendments also require the approval of our stockholders. No ISOs may be granted after the tenth anniversary of the date our board adopted our 2024 Plan. No awards may be granted under our 2024 Plan while it is suspended or after it is terminated.</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21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board of directors has adopted the ESPP that will become effective immediately prior to and contingent upon the date of the underwriting agreement related to this offering. The purpose of our ESPP will be to secure the services of new employees, to retain the services of existing employees, and to provide incentives for such individuals to exert maximum efforts toward our success and that of our affiliates. The ESPP is implemented through a series of offerings with specific terms approved by the administrator and under which eligible employees are granted purchase rights to purchase shares of our Class A common stock on specified dates during such offerings. Generally, all regular employees, including executive officers, employed by us or by any of our designated affiliates, may participate in the ESPP and may contribute, normally through payroll deductions, with a maximum dollar amount as designated by the administrator. The maximum aggregate number of shares of our Class A common stock that may be issued under our ESPP is 3,000,000 shares. The number of shares of our Class A common stock reserved for issuance under our ESPP will automatically increase on January 1 of each calendar year, beginning on January 1, 2025 and continuing through and including January 1, 2034, by the lesser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340"/>
          </w:cols>
          <w:pgMar w:left="320" w:top="448" w:right="2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 2% of the aggregate number of shares of common stock (both Class A and Class B) outstanding on December 31 of the preceding calendar year,</w:t>
      </w:r>
    </w:p>
    <w:p>
      <w:pPr>
        <w:spacing w:after="0" w:line="21" w:lineRule="exact"/>
        <w:rPr>
          <w:sz w:val="20"/>
          <w:szCs w:val="20"/>
          <w:color w:val="auto"/>
        </w:rPr>
      </w:pPr>
    </w:p>
    <w:p>
      <w:pPr>
        <w:jc w:val="both"/>
        <w:ind w:firstLine="5"/>
        <w:spacing w:after="0" w:line="244" w:lineRule="auto"/>
        <w:tabs>
          <w:tab w:leader="none" w:pos="24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 shares and (3) a number of shares determined by our board. Shares subject to purchase rights granted under our ESPP that terminate without having been exercised in full will not reduce the number of shares available for issuance under our ESPP. Our board, or a duly authorized committee thereof, will administer our ESPP, but no offering periods under the ESPP will commence unless and until otherwise determined by our board of directors. The implementation of the ESPP and the terms of the offerings thereunder, if any, will be in the discretion of the administrator. The administrator does not currently have any intention to make offerings available under the ESPP.</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2015 Stock Plan</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2015 Plan was adopted by our board of directors and approved by our stockholders in September 2015. Our 2015 Plan has been periodically amended, most recently in July 2023. The 2015 Plan provides for the grant of ISOs, NSOs, restricted stock awards, RSUs, PSUs, and other stock-based awards. Our employees, officers, directors, consultants and advisors are eligible to receive awards under the 2015 Plan; however, ISOs may only be granted to our employees.</w:t>
      </w:r>
    </w:p>
    <w:p>
      <w:pPr>
        <w:spacing w:after="0" w:line="14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As of March 31, 2024, there were 20,793,305 shares of common stock issuable upon the vesting and settlement of RSUs outstanding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Plan, there were 4,250,000 shares of fully vested restricted stock outstanding under the 2015 Plan, there were 210,000 shares of common stock issuable upon the exercise of stock options outstanding under the 2015 Plan at an exercise price of $0.8542 per share, no options to purchase shares of our common stock had been exercised, and 2,517,445 shares of common stock were available for future issuance under the 2015 Plan. In February 2022 and April 2023, we increased the share reserve under the 2015 plan by 3,000,000 shares, respectively. On and after the effective date of the 2024 Plan described above, we will grant no further stock options or other awards under the 2015 Plan.</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Subject to certain adjustments as provided in the 2015 Plan, the maximum aggregate number of shares of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issued pursuant to awards under the 2015 Plan will not exceed 28,115,750 shares. The maximum number of shares of Class A common stock that may be issued pursuant to the exercise of ISOs under our 2015 Plan is 28,115,750 shares. Shares issued under our 2015 Plan will consist of authorized but unissued or reacquired shares of common stock or any combination thereof. Shares subject to awards granted under our 2015 Plan that expire, terminate, are cancelled without having been exercised or settled in full, are forfeited or repurchased for an amount not greater than the recipient’s exercise or purchase price, will again become available for future grant under our 2015 Plan. Further, shares of Class A common stock tendered to us by a participant to exercise an award shall be added to shares of Class A common stock available for the grant of awards under the 2015 Plan. Additionally, shares underlying awards that are paid out in cash rather than in shares or withheld or reacquired to satisfy tax withholding obligations related to an award, will not reduce the number of shares available for issuance under our 2015 Plan.</w:t>
      </w:r>
    </w:p>
    <w:p>
      <w:pPr>
        <w:spacing w:after="0" w:line="191"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2015 Plan is administered by our board of directors. Our board of directors has broad discretion to administer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power and authority to determine the eligible individuals to whom awards will be granted, the number and type of awards to be granted and the terms and conditions of awards. The board may also accelerate the vesting or exercise of any award, reprice or otherwise adjust the exercise price of options or grant a new option in substitution for any option and make all other determinations, perform all other actions with respect to the 2015 Plan or any award thereunder as the board deems advisable to the extent not inconsistent with the provisions of the 2015 Plan or applicable law.</w:t>
      </w:r>
    </w:p>
    <w:p>
      <w:pPr>
        <w:spacing w:after="0" w:line="182"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granted under the 2015 Plan are evidenced by award agreements established by our board of directors.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determines the exercise price of the stock options, within the terms and conditions of the 2015 Plan, provided that the exercise price of a stock option generally cannot be less than 100% of the fair market value of a share of Class A common stock on the date of grant. Options granted under the 2015 Plan vest at the rate specified in the option agreement as determined by the board. The term of an option may not exceed 10 years. Unless the board provides otherwise, if a participant’s service relationship with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340"/>
          </w:cols>
          <w:pgMar w:left="320" w:top="448" w:right="2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us, our parent or subsidiary, or collectively, our affiliates, ceases for any reason other than due to the participant’s disability or death or a termination for cause, the participant may generally exercise any vested options for a period of three months following the cessation of service. This period may be extended in the event that exercise of the option is prohibited by applicable securities laws. If a participant’s service relationship with us or our affiliates ceases due to disability or death, the participant’s legal representative or a beneficiary may generally exercise any vested options for a period of 12 months following the cessation of service. In the event that a participant’s service relationship with us is terminated for cause, options held by the participant will terminate in their entirety upon the termination date. In no event may an option be exercised beyond the expiration of its term.</w:t>
      </w:r>
    </w:p>
    <w:p>
      <w:pPr>
        <w:spacing w:after="0" w:line="185"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an award consisting of ISOs that are exercisable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by a participant during any calendar year under all of our stock plans may not exceed $100,000. Options or portions thereof that exceed such limit will generally be treated as NSOs. No ISO may be granted to any person who, at the time of the grant, owns or is deemed to own shares of common stock possessing more than 10% of our total combined voting power unless (1) the option exercise price is at least 110% of the fair market value of the shares of common stock subject to the option on the date of grant and (2) the term of the ISO does not exceed five years from the date of grant.</w:t>
      </w:r>
    </w:p>
    <w:p>
      <w:pPr>
        <w:spacing w:after="0" w:line="18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RSAs may be granted in the form of restricted stock bonuses, which are shares of Class A common stock for which no monetary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is required, or restricted stock purchase rights, which are shares of Class A common stock for which a purchase price must be paid. Our board of directors determines the terms and conditions of RSAs, including purchase price, if any, vesting and forfeiture terms. In general, during any vesting period, a participant will have all of the rights of a stockholder holding shares of Class A common stock. If determined by the board and provided in an award agreement, dividends distributed prior to vesting will be subject to the same restrictions and risk of forfeiture as the restricted stock with respect to which the distribution was made. Except as otherwise provided in an award agreement, if a participant’s service relationship with us ends for any reason, (1) we may repurchase any shares acquired pursuant to a restricted stock purchase right that remains subject to vesting conditions upon a participant’s termination and (2) the participant will forfeit any shares under a restricted stock bonus award that have not vested as of the date of termination.</w:t>
      </w:r>
    </w:p>
    <w:p>
      <w:pPr>
        <w:spacing w:after="0" w:line="186"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An RSU represents the right to receive on a future date or event a share of Class A common stock or an amount of cash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thereof. RSU awards may be granted in consideration for services actually rendered to us or our affiliates or for the benefit of us or our affiliates. An RSU award may be settled in cash or by delivery of stock or other property as deemed appropriate by the board. Additionally, if provided in the award agreement, dividend equivalents may be credited in respect of shares covered by an RSU award. Except as otherwise provided in the applicable award agreement, RSU awards that have not vested will be forfeited once the participant’s continuous service ends for any reason.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general, RSU awards that have been granted under the 2015 Plan are subject to both a multi-year service-based vesting requirement and a “Liquidity Event” vesting requirement. The Liquidity Event requirement will be satisfied on the first to occur of: (1) a change in control (as described below) or (2) the effective date of a registration statement under the Securities Act of 1933, as amended, or the Securities Act, for the sale of our Class A common stock, or the Liquidity Event Date. The RSU awards vest as follows:</w:t>
      </w:r>
    </w:p>
    <w:p>
      <w:pPr>
        <w:spacing w:after="0" w:line="92" w:lineRule="exact"/>
        <w:rPr>
          <w:sz w:val="20"/>
          <w:szCs w:val="20"/>
          <w:color w:val="auto"/>
        </w:rPr>
      </w:pPr>
    </w:p>
    <w:p>
      <w:pPr>
        <w:ind w:left="1000" w:hanging="549"/>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RSUs will vest prior to the Liquidity Event Date.</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prior to the first anniversary of the vesting start date, then no RSUs will vest on the Liquidity Event Date and thereafter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on or after the first anniversary of the vesting start date but prior to the second anniversary of the vesting start date, then 1/4th of the RSUs will vest on the Liquidity Event Date and thereafter an additional 1/16th of the RSUs will vest for each full three months of continuous service elapsed from the first anniversary of the vesting start date, subject to the participant’s continuous service.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340"/>
          </w:cols>
          <w:pgMar w:left="320" w:top="448" w:right="2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55"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after the second anniversary of the vesting start date then 1/16th of the RSUs will vest on the Liquidity Event Date for each full three months that has elapsed since the vesting start date and thereafter an additional 1/16th of the RSUs will vest for each full three months that occurs from the vesting start date, subject to the participant’s continuous service.</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also granted PSUs, which include both a Liquidity Event vesting requirement and a performance-vesting condition. Like the RSU awards, the Liquidity Event requirement of the PSUs will be satisfied on the Liquidity Event Date. The performance-vesting condition of the PSUs will be satisfied in full, if, on the Liquidity Event Date, the total enterprise valuation of the company equals or exceeds $6 billion, subject to certain adjustments as described in the 2015 Plan. In July 2023, our board of directors approved the removal of the performance-vesting condition, following which the PSUs are treated as RSUs as the terms of such PSUs are consistent with those of our outstanding RSUs.</w:t>
      </w:r>
    </w:p>
    <w:p>
      <w:pPr>
        <w:spacing w:after="0" w:line="185"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Awards are generally not transferable other than by will or the laws of descent and distribution. The board, in its discretion, may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transfers of options as set forth in an award agreement and subject to certain securities law restrictions.</w:t>
      </w:r>
    </w:p>
    <w:p>
      <w:pPr>
        <w:spacing w:after="0" w:line="164"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certain corporate events or changes in our capitalization, the board will make adjustments to one or more of the number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kind of shares that may be delivered under the 2015 Plan or covered by each outstanding award, the ISO share reserve under the 2015 Plan and the exercise or purchase price per share of outstanding awards in order to prevent dilution or enlargement of the participants’ rights under the 2015 Plan.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Upon a change in control, without the consent of any participant, the board may provide for any one or more of the following:</w:t>
      </w:r>
    </w:p>
    <w:p>
      <w:pPr>
        <w:spacing w:after="0" w:line="123" w:lineRule="exact"/>
        <w:rPr>
          <w:sz w:val="20"/>
          <w:szCs w:val="20"/>
          <w:color w:val="auto"/>
        </w:rPr>
      </w:pPr>
    </w:p>
    <w:p>
      <w:pPr>
        <w:ind w:left="1000" w:hanging="549"/>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exercisability, vesting and/or settlement of an award,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or substitution of outstanding award by a surviving, continuing, successor or purchasing corporation or other business entity (or any parent thereof); or</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to be cancelled, to the extent not vested or exercised before the transaction, in exchange for such cash, stock or other property in an amount equal to the excess, if any, of (1) the fair market value of the consideration paid in the transaction, over (2) any exercise or purchase price payable under such award.</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2015 Plan, a change in control is generally (1) an indirect sale or exchange by our stockholders of securities representing more than 50% of the total combined voting power of then outstanding voting securities entitled to vote generally in the election of directors, (2) a merger or consolidation in which we are a party, (3) the sale, exchange or transfer of all or substantially all our assets, or (4) our complete liquidation or dissolution.</w:t>
      </w:r>
    </w:p>
    <w:p>
      <w:pPr>
        <w:spacing w:after="0" w:line="178" w:lineRule="exact"/>
        <w:rPr>
          <w:sz w:val="20"/>
          <w:szCs w:val="20"/>
          <w:color w:val="auto"/>
        </w:rPr>
      </w:pPr>
    </w:p>
    <w:p>
      <w:pPr>
        <w:jc w:val="both"/>
        <w:ind w:firstLine="454"/>
        <w:spacing w:after="0" w:line="303" w:lineRule="auto"/>
        <w:rPr>
          <w:sz w:val="20"/>
          <w:szCs w:val="20"/>
          <w:color w:val="auto"/>
        </w:rPr>
      </w:pPr>
      <w:r>
        <w:rPr>
          <w:rFonts w:ascii="Times New Roman" w:cs="Times New Roman" w:eastAsia="Times New Roman" w:hAnsi="Times New Roman"/>
          <w:sz w:val="16"/>
          <w:szCs w:val="16"/>
          <w:i w:val="1"/>
          <w:iCs w:val="1"/>
          <w:color w:val="auto"/>
        </w:rPr>
        <w:t>Withholding</w:t>
      </w:r>
      <w:r>
        <w:rPr>
          <w:rFonts w:ascii="Times New Roman" w:cs="Times New Roman" w:eastAsia="Times New Roman" w:hAnsi="Times New Roman"/>
          <w:sz w:val="16"/>
          <w:szCs w:val="16"/>
          <w:color w:val="auto"/>
        </w:rPr>
        <w:t>. We have the right to deduct from any and all payments made under the 2015 Plan, or to require the participant, through payroll withholding,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cash payment or otherwise, to satisfy any federal, state, local and foreign taxes that are required to be withheld. We are under no obligation to deliver shares of common stock or to release shares from an escrow or to make any payment in cash until such tax withholding obligations have been satisfied by the participant.</w:t>
      </w:r>
    </w:p>
    <w:p>
      <w:pPr>
        <w:spacing w:after="0" w:line="14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Plan Amendment and Termination</w:t>
      </w:r>
      <w:r>
        <w:rPr>
          <w:rFonts w:ascii="Times New Roman" w:cs="Times New Roman" w:eastAsia="Times New Roman" w:hAnsi="Times New Roman"/>
          <w:sz w:val="18"/>
          <w:szCs w:val="18"/>
          <w:color w:val="auto"/>
        </w:rPr>
        <w:t>. The 2015 Plan will continue in effect until its termination by our board, provided that all awards under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granted, if at all, within ten (10) years from the date the 2015 Plan was adopted by our board. Our board may amend, suspend or terminate the 2015 Plan at any time, provided that without stockholder approval, the 2015 Plan cannot be amended to increase the number of shares authorized, change the class of persons eligible to receive incentive stock options, or effect any other change that would require stockholder approval under any applicable law or listing rule. In general, no amendment, suspension or termination of the 2015 Plan may have a materially adverse effect on any outstanding award without the consent of the participant.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340"/>
          </w:cols>
          <w:pgMar w:left="320" w:top="448" w:right="2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89" w:lineRule="exact"/>
        <w:rPr>
          <w:sz w:val="20"/>
          <w:szCs w:val="20"/>
          <w:color w:val="auto"/>
        </w:rPr>
      </w:pPr>
    </w:p>
    <w:p>
      <w:pPr>
        <w:ind w:left="1000" w:hanging="549"/>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Our amended and restated certificate of incorporation that will be in effect on the closing of this offering will authorize us to indemnify our directors, officers, employees, and other agents to the fullest extent permitted by Delaware law. Our amended and restated bylaws that will be in effect on the closing of this offering will provide that we are required to indemnify our directors and officers to the fullest extent permitted by Delaware law and may indemnify our other employees and agents. Our amended and restated bylaws that will be in effect on the closing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68"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directors and officers may adopt written plans, known as Rule 10b5-1 plans, in which they will contract with a broker to buy or sell shares of our Class A common stock or Class B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340"/>
          </w:cols>
          <w:pgMar w:left="320" w:top="448" w:right="2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1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below we describe transactions since January 1, 2021 to which we were a party or will be a party, in which:</w:t>
      </w:r>
    </w:p>
    <w:p>
      <w:pPr>
        <w:spacing w:after="0" w:line="78" w:lineRule="exact"/>
        <w:rPr>
          <w:sz w:val="20"/>
          <w:szCs w:val="20"/>
          <w:color w:val="auto"/>
        </w:rPr>
      </w:pPr>
    </w:p>
    <w:p>
      <w:pPr>
        <w:ind w:left="1000" w:hanging="549"/>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at the time of such transaction, or any member of the immediate family of, or person sharing the household with, the foregoing persons, had or will have a direct or indirect material interest.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G-2 Convertible Preferred Stock Financing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November 2020 and January 2021, we sold an aggregate of 3,453,139 shares of our Series G-2 convertible preferred stock at a price per share of $57.3069 for an aggregate purchase price of approximately $189.0 million in private placements to accredited investors. During this period, we issued a total of 3,584,015 shares of our Series G-2 convertible preferred stock, of which 130,876 shares of our Series G-2 convertible preferred stock were repurchased from Blue Media, LLC at the original issue price per share, for an aggregate repurchase price of approximately $7.5 million, in order to accommodate the issuance and sale of shares of our Series G-2 convertible preferred stock to additional purchasers. The table below sets forth the number of shares of our Series G-2 convertible preferred stock purchased by our executive officers, directors, holders of more than 5% of our capital stock, and their affiliated entities or immediate family members. Each share of Series G-2 convertible preferred stock will automatically convert into one share of our Class A common stock upon the closing of this offering. The holders of our Series G-2 convertible preferred stock listed below are entitled to specified registration rights. See the section titled “Description of Capital Stock—Registration Rights” for additional information regarding these registration rights.</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20" w:type="dxa"/>
            <w:vAlign w:val="bottom"/>
            <w:vMerge w:val="restart"/>
          </w:tcPr>
          <w:p>
            <w:pPr>
              <w:spacing w:after="0"/>
              <w:rPr>
                <w:sz w:val="18"/>
                <w:szCs w:val="18"/>
                <w:color w:val="auto"/>
              </w:rPr>
            </w:pPr>
          </w:p>
        </w:tc>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G-2 Shares</w:t>
            </w:r>
          </w:p>
        </w:tc>
        <w:tc>
          <w:tcPr>
            <w:tcW w:w="3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20" w:type="dxa"/>
            <w:vAlign w:val="bottom"/>
            <w:vMerge w:val="continue"/>
          </w:tcPr>
          <w:p>
            <w:pPr>
              <w:spacing w:after="0"/>
              <w:rPr>
                <w:sz w:val="20"/>
                <w:szCs w:val="20"/>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3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Novo Holdings A/S.</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w w:val="92"/>
              </w:rPr>
              <w:t>261,748</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$ 14,999,966.47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40" w:type="dxa"/>
            <w:vAlign w:val="bottom"/>
            <w:gridSpan w:val="2"/>
          </w:tcPr>
          <w:p>
            <w:pPr>
              <w:spacing w:after="0" w:line="210" w:lineRule="exact"/>
              <w:rPr>
                <w:sz w:val="20"/>
                <w:szCs w:val="20"/>
                <w:color w:val="auto"/>
              </w:rPr>
            </w:pPr>
            <w:r>
              <w:rPr>
                <w:rFonts w:ascii="Times New Roman" w:cs="Times New Roman" w:eastAsia="Times New Roman" w:hAnsi="Times New Roman"/>
                <w:sz w:val="16"/>
                <w:szCs w:val="16"/>
                <w:color w:val="auto"/>
              </w:rPr>
              <w:t>Blue Media, LLC</w:t>
            </w:r>
            <w:r>
              <w:rPr>
                <w:rFonts w:ascii="Times New Roman" w:cs="Times New Roman" w:eastAsia="Times New Roman" w:hAnsi="Times New Roman"/>
                <w:sz w:val="24"/>
                <w:szCs w:val="24"/>
                <w:color w:val="auto"/>
                <w:vertAlign w:val="superscript"/>
              </w:rPr>
              <w:t>(2)</w:t>
            </w:r>
          </w:p>
        </w:tc>
        <w:tc>
          <w:tcPr>
            <w:tcW w:w="1840" w:type="dxa"/>
            <w:vAlign w:val="bottom"/>
            <w:gridSpan w:val="2"/>
          </w:tcPr>
          <w:p>
            <w:pPr>
              <w:ind w:left="740"/>
              <w:spacing w:after="0" w:line="210" w:lineRule="exact"/>
              <w:rPr>
                <w:sz w:val="20"/>
                <w:szCs w:val="20"/>
                <w:color w:val="auto"/>
              </w:rPr>
            </w:pPr>
            <w:r>
              <w:rPr>
                <w:rFonts w:ascii="Times New Roman" w:cs="Times New Roman" w:eastAsia="Times New Roman" w:hAnsi="Times New Roman"/>
                <w:sz w:val="16"/>
                <w:szCs w:val="16"/>
                <w:color w:val="auto"/>
              </w:rPr>
              <w:t>130,876</w:t>
            </w:r>
            <w:r>
              <w:rPr>
                <w:rFonts w:ascii="Times New Roman" w:cs="Times New Roman" w:eastAsia="Times New Roman" w:hAnsi="Times New Roman"/>
                <w:sz w:val="24"/>
                <w:szCs w:val="24"/>
                <w:color w:val="auto"/>
                <w:vertAlign w:val="superscript"/>
              </w:rPr>
              <w:t>(3)</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7,500,097.84</w:t>
            </w: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Scottish Mortgage Investment plc</w:t>
            </w:r>
            <w:r>
              <w:rPr>
                <w:rFonts w:ascii="Times New Roman" w:cs="Times New Roman" w:eastAsia="Times New Roman" w:hAnsi="Times New Roman"/>
                <w:sz w:val="24"/>
                <w:szCs w:val="24"/>
                <w:color w:val="auto"/>
                <w:vertAlign w:val="superscript"/>
              </w:rPr>
              <w:t>(4)</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2"/>
              </w:rPr>
              <w:t>872,495</w:t>
            </w:r>
          </w:p>
        </w:tc>
        <w:tc>
          <w:tcPr>
            <w:tcW w:w="5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49,999,983.72</w:t>
            </w:r>
          </w:p>
        </w:tc>
        <w:tc>
          <w:tcPr>
            <w:tcW w:w="0" w:type="dxa"/>
            <w:vAlign w:val="bottom"/>
          </w:tcPr>
          <w:p>
            <w:pPr>
              <w:spacing w:after="0"/>
              <w:rPr>
                <w:sz w:val="1"/>
                <w:szCs w:val="1"/>
                <w:color w:val="auto"/>
              </w:rPr>
            </w:pPr>
          </w:p>
        </w:tc>
      </w:tr>
      <w:tr>
        <w:trPr>
          <w:trHeight w:val="34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Schiehallion Fund Limited</w:t>
            </w:r>
            <w:r>
              <w:rPr>
                <w:rFonts w:ascii="Times New Roman" w:cs="Times New Roman" w:eastAsia="Times New Roman" w:hAnsi="Times New Roman"/>
                <w:sz w:val="26"/>
                <w:szCs w:val="26"/>
                <w:color w:val="auto"/>
                <w:vertAlign w:val="superscript"/>
              </w:rPr>
              <w:t>(4)</w:t>
            </w: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43,625</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2,500,013.52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ind w:left="460" w:hanging="455"/>
        <w:spacing w:after="0" w:line="253"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a member of our board of directors, is the Managing Partner and Head of Growth Investments at Novo Holdings US, Inc., which provides consulting services to Novo Holdings A/S.</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purchased an aggregate of 130,876 shares of our Series G-2 convertible preferred stock, all of which were repurchased by us in January 2021. See the section titled “—Repurchases of Equity Securities—Redemptions of Common and Preferred Stock” below. As a result, Blue Media, LLC is no longer a holder of our Series G-2 convertible preferred stock.</w:t>
      </w:r>
    </w:p>
    <w:p>
      <w:pPr>
        <w:spacing w:after="0" w:line="1" w:lineRule="exact"/>
        <w:rPr>
          <w:rFonts w:ascii="Times New Roman" w:cs="Times New Roman" w:eastAsia="Times New Roman" w:hAnsi="Times New Roman"/>
          <w:sz w:val="18"/>
          <w:szCs w:val="18"/>
          <w:color w:val="auto"/>
        </w:rPr>
      </w:pPr>
    </w:p>
    <w:p>
      <w:pPr>
        <w:ind w:left="460" w:hanging="455"/>
        <w:spacing w:after="0" w:line="247"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Schiehallion Fund Limited and Scottish Mortgage Investment Trust plc are controlled by Baillie Gifford &amp; Co., a holder of more than 5% of our capital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G-3 Convertible Preferred Stock Financing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April 2022 and May 2022, we sold an aggregate of 1,614,114 shares of our Series G-3 convertible preferred stock at a price per share of $57.3069 for an aggregate purchase price of approximately $92.5 million in private placements to accredited investors. The table below sets forth the number of shares of our Series G-3 preferred stock purchased by our executive officers, directors, holders of more than 5% of our capital stock, and their affiliated entities or immediate family members. The terms of our Series G-3 preferred stock provide that 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340"/>
          </w:cols>
          <w:pgMar w:left="320" w:top="448" w:right="2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event of an initial public offering of our common stock, each share of Series G-3 preferred stock would be converted into a number of shares of our Class A common stock equal to (i) $57.3069 per share, plus any accrued and unpaid dividends on such share, divided by (ii) the lesser of (a) $51.5762 and (b) 85% of the public offering price in this offering. The holders of our Series G-3 convertible preferred stock are entitled to paid-in-kind dividends at a rate of 4% of the original issue price, payable in shares of Series G-3 convertible preferred stock. For more information regarding such dividend, see the sections titled “Dividend Policy” and “Prospectus Summary—The Offering—Additional Class A Conversion Shares” in this prospectus. The holders of our Series G-3 convertible preferred stock listed below are also entitled to specified registration rights. See the section titled “Description of Capital Stock—Registration Rights” for additional information regarding these registration rights.</w:t>
      </w:r>
    </w:p>
    <w:p>
      <w:pPr>
        <w:spacing w:after="0" w:line="214"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80" w:type="dxa"/>
            <w:vAlign w:val="bottom"/>
            <w:vMerge w:val="restart"/>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5"/>
              </w:rPr>
              <w:t>G-3 Shares</w:t>
            </w:r>
          </w:p>
        </w:tc>
        <w:tc>
          <w:tcPr>
            <w:tcW w:w="4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80" w:type="dxa"/>
            <w:vAlign w:val="bottom"/>
            <w:vMerge w:val="continue"/>
          </w:tcPr>
          <w:p>
            <w:pPr>
              <w:spacing w:after="0"/>
              <w:rPr>
                <w:sz w:val="20"/>
                <w:szCs w:val="20"/>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4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30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Blue Media, LLC</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92,483</w:t>
            </w: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5,299,914.03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line="210" w:lineRule="exact"/>
              <w:rPr>
                <w:sz w:val="20"/>
                <w:szCs w:val="20"/>
                <w:color w:val="auto"/>
              </w:rPr>
            </w:pPr>
            <w:r>
              <w:rPr>
                <w:rFonts w:ascii="Times New Roman" w:cs="Times New Roman" w:eastAsia="Times New Roman" w:hAnsi="Times New Roman"/>
                <w:sz w:val="16"/>
                <w:szCs w:val="16"/>
                <w:color w:val="auto"/>
              </w:rPr>
              <w:t>Scottish Mortgage Investment plc</w:t>
            </w:r>
            <w:r>
              <w:rPr>
                <w:rFonts w:ascii="Times New Roman" w:cs="Times New Roman" w:eastAsia="Times New Roman" w:hAnsi="Times New Roman"/>
                <w:sz w:val="24"/>
                <w:szCs w:val="24"/>
                <w:color w:val="auto"/>
                <w:vertAlign w:val="superscript"/>
              </w:rPr>
              <w:t>(2)</w:t>
            </w: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872,495</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49,999,983.72</w:t>
            </w: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The Schiehallion Fund Limited</w:t>
            </w:r>
            <w:r>
              <w:rPr>
                <w:rFonts w:ascii="Times New Roman" w:cs="Times New Roman" w:eastAsia="Times New Roman" w:hAnsi="Times New Roman"/>
                <w:sz w:val="24"/>
                <w:szCs w:val="24"/>
                <w:color w:val="auto"/>
                <w:vertAlign w:val="superscript"/>
              </w:rPr>
              <w:t>(2)</w:t>
            </w:r>
          </w:p>
        </w:tc>
        <w:tc>
          <w:tcPr>
            <w:tcW w:w="1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87,250</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5,000,027.03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20" w:lineRule="exact"/>
        <w:rPr>
          <w:rFonts w:ascii="Times New Roman" w:cs="Times New Roman" w:eastAsia="Times New Roman" w:hAnsi="Times New Roman"/>
          <w:sz w:val="18"/>
          <w:szCs w:val="18"/>
          <w:color w:val="auto"/>
        </w:rPr>
      </w:pPr>
    </w:p>
    <w:p>
      <w:pPr>
        <w:ind w:left="460" w:hanging="455"/>
        <w:spacing w:after="0" w:line="247"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Schiehallion Fund Limited and Scottish Mortgage Investment Trust plc are controlled by Baillie Gifford &amp; Co., a holder of more than 5% of our capital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G-4 Convertible Preferred Stock Financing</w:t>
      </w:r>
    </w:p>
    <w:p>
      <w:pPr>
        <w:spacing w:after="0" w:line="11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In October 2023, we sold an aggregate of 785,245 shares of our Series G-4 convertible preferred stock at a price per share of $57.3069 for an aggregate purchase price of approximately $45.0 million in private placements to accredited investors. The table below sets forth the number of shares of our Series G-4 preferred stock purchased by our executive officers, directors, holders of more than 5% of our capital stock, and their affiliated entities or immediate family members. The terms of our Series G-4 preferred stock provide that in the event of an initial public offering of our common stock, each share of Series G-4 preferred stock would be converted into a number of shares of our Class A common stock equal to (i) $57.3069 per share, plus any accrued and unpaid dividends on such share, divided by (ii) the lesser of (a) $51.5762 and (b) 85% of the public offering price in this offering. The holders of our Series G-4 convertible preferred stock are entitled to paid-in-kind dividends at a rate of 5.25% of the original issue price, payable in shares of Series G-4 convertible preferred stock. For more information regarding such dividend, see the sections titled “Dividend Policy” and “Prospectus Summary—The Offering—Additional Class A Conversion Shares” in this prospectus. In addition, we agreed to pay to each holder of Series G-4 preferred stock an amount equal to 5% of the per share price for each share of Series G-4 preferred stock purchased by such holder, or the G-4 Special Payment, in the event that following this offering, the average of the last trading price on each trading day during the ten day trading period beginning on the first day of trading of our Class A common stock is less than 110% of the price per share of Class A common stock sold in this offering. If applicable, the G-4 Special Payment will be equal to approximately $2.3 million in the aggregate and will be payable in cash to the holders within thirty (30) days following this offering. The holders of our Series G-4 preferred stock listed below are entitled to specified registration rights. See the section titled “Description of Capital Stock—Registration Rights” for additional information regarding these registration rights.</w:t>
      </w:r>
    </w:p>
    <w:p>
      <w:pPr>
        <w:spacing w:after="0" w:line="200" w:lineRule="exact"/>
        <w:rPr>
          <w:sz w:val="20"/>
          <w:szCs w:val="20"/>
          <w:color w:val="auto"/>
        </w:rPr>
      </w:pPr>
    </w:p>
    <w:p>
      <w:pPr>
        <w:spacing w:after="0" w:line="20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8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460" w:type="dxa"/>
            <w:vAlign w:val="bottom"/>
            <w:vMerge w:val="restart"/>
          </w:tcPr>
          <w:p>
            <w:pPr>
              <w:spacing w:after="0"/>
              <w:rPr>
                <w:sz w:val="18"/>
                <w:szCs w:val="18"/>
                <w:color w:val="auto"/>
              </w:rPr>
            </w:pPr>
          </w:p>
        </w:tc>
        <w:tc>
          <w:tcPr>
            <w:tcW w:w="208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5"/>
              </w:rPr>
              <w:t>G-4 Shares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460" w:type="dxa"/>
            <w:vAlign w:val="bottom"/>
            <w:vMerge w:val="continue"/>
          </w:tcPr>
          <w:p>
            <w:pPr>
              <w:spacing w:after="0"/>
              <w:rPr>
                <w:sz w:val="20"/>
                <w:szCs w:val="20"/>
                <w:color w:val="auto"/>
              </w:rPr>
            </w:pPr>
          </w:p>
        </w:tc>
        <w:tc>
          <w:tcPr>
            <w:tcW w:w="208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Purchase Price</w:t>
            </w: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Scottish Mortgage Investment Trust plc</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348,998</w:t>
            </w:r>
          </w:p>
        </w:tc>
        <w:tc>
          <w:tcPr>
            <w:tcW w:w="7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$ 19,999,993.49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9184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5" w:lineRule="exact"/>
        <w:rPr>
          <w:sz w:val="20"/>
          <w:szCs w:val="20"/>
          <w:color w:val="auto"/>
        </w:rPr>
      </w:pPr>
    </w:p>
    <w:p>
      <w:pPr>
        <w:ind w:left="5540" w:right="2140" w:hanging="5535"/>
        <w:spacing w:after="0" w:line="435" w:lineRule="auto"/>
        <w:tabs>
          <w:tab w:leader="none" w:pos="4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Scottish Mortgage Investment Trust plc is controlled by Baillie Gifford &amp; Co., a holder of more than 5% of our capital stock. 234</w:t>
      </w:r>
    </w:p>
    <w:p>
      <w:pPr>
        <w:sectPr>
          <w:pgSz w:w="11900" w:h="16838" w:orient="portrait"/>
          <w:cols w:equalWidth="0" w:num="1">
            <w:col w:w="11340"/>
          </w:cols>
          <w:pgMar w:left="320" w:top="448" w:right="2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 Payment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June 4, 2024, we paid an aggregate of approximately $5.6 million of accrued and unpaid cash dividends in respect of certain shares of our convertible preferred stock. Of this amount, approximately $5.3 million was paid to entities controlled by Mr. Lefkofsky and approximately $67,000 was paid to each of BK TL21 LLC and Red Sky LLC.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Voting, and Right of First Refusal and Co-Sale Agreements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our convertible preferred stock financings, we entered into investor rights, voting, right of first refusal, and co-sale agreements containing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Eric Lefkofsky and Keeks, LLC.</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covenants included in these stockholder agreements generally will terminate upon the closing of this offering, except with respect to registration rights, as more fully described in the section titled “Description of Capital Stock—Registration Rights.” See also the section titled “Principal Stockholders” for additional information regarding beneficial ownership of our capital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Property Leases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January 2018, we entered into an office lease with a third-party landlord in connection with which Lightbank LLC was allowed to terminate its then-outstanding lease with the landlord. We received $1.5 million from Lightbank LLC to be amortized over the course of the lease, of which $0.7 million remains to be amortized. We currently sublease a portion of this office space to Lightbank LLC, Lefkofsky Family Foundation and 346 Investment Partners, each an entity affiliated with and controlled by Mr. Lefkofsky, on a month-to-month basis. As of March 31, 2024, we have received an aggregate of $0.7 million in sublease income from these related parties.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Aircraft for Business Travel</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entered into an arm’s length arrangement in 2018 pursuant to which we charter for business use an aircraft owned by 346 Investment Partners LLC, an entity affiliated with and controlled by Mr. Lefkofsky, through a third-party aircraft management company, which in turn reimburses 346 Investment Partners LLC at market rates. As of March 31, 2024, we have paid an aggregate of $0.2 million to 346 Investment Partners LLC pursuant to this arrangement.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Pathos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entered into a master agreement in August 2021, as amended and restated in February 2024, with Pathos AI, Inc., or Pathos, a healthcare company co-founded by Mr. Lefkofsky, our Chief Executive Officer, Founder and Chairman, and Mr. Fukushima, our Chief Operating Officer. Mr. Lefkofsky currently serves as Executive Chairman and a member of Pathos’ board of directors. As of the date of this prospectus, we have a warrant to purchase 23,456,790 shares, or approximately 16.5% of the current outstanding equity in Pathos,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records from our proprietary database. Pathos in turn agreed to pay us certain license fees depending on the number of de-identified records it elects to license during the term of the master agreement. Pathos also agreed to pay us a subscription fee equal to $0.4 million per year for access to our Lens product for the term of the master agreement. The master agreement provides for an initial term of five years, measured from February 2024,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340"/>
          </w:cols>
          <w:pgMar w:left="320" w:top="448" w:right="2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Either party may terminate the agreement after the initial five-year term by prior written notice to the other party. As of the date of this prospectus, Pathos has paid us an aggregate of $0.8 million in annual subscription fee, and we have not exercised the warrant to purchase shares of Pathos common stock.</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March 2022, we and Pathos entered into a sequencing pilot project under the master agreement pursuant to which we ran our xT NGS assay on 15 samples provided by Pathos in exchange for a one-time discounted fee of less than $0.1 million.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April 2022, we and Pathos entered into a non-exclusive analytical services program under the master agreement pursuant to which we provide services to help Pathos use our de-identified data to answer research and development questions posed by Pathos. Under the program, we initially provided 500 hours of analytical services to Pathos over 6 months in exchange for increasing by $0.1 million the annual subscription fee payable by Pathos. Pathos has the right to extend the program either in six month increments or by increasing by 1,000 the number of analytical services hours we provide in any six-month period. In each case, the fee paid by Pathos increases proportionally.</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April 2023, Ryan Fukushima, Tempus’s Chief Operating Officer, was appointed as interim Chief Executive Officer of Pathos. In connection with such appointment, our Board of Directors has authorized the Company to amend Mr. Fukushima’s employment agreement to, among other things, acknowledge his service as Pathos’s interim Chief Executive Officer and allow him to split his professional time between the two companies, with no less than 50% of professional time devoted to Tempus.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May 2024, we and Pathos entered into an order form under the master agreement pursuant to which we will license organoids and organoid data sets to Pathos. Under this order form, we granted Pathos a revocable, limited, non-transferable, non-exclusive right and license, without right of sublicense, to use certain organoid material and organoid data. Pathos in turn agreed to pay us certain license fees depending on the number of organoid materials and data it elects to license and the term of such license. The order form provides for an initial term of two years, subject to annual renewal upon written confirmation from us and Pathos. As of the date of this prospectus, we have not received license fee payment from Pathos.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 to Directors and Executive Officers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granted RSUs to certain of our directors and executive officers. For more information regarding the stock awards granted to our directors and named executive officers, see the sections titled “Management—Non-Employee Director Compensation” and “Executive Compensation.”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Common and Preferred Stock</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February 2021, we repurchased an aggregate of 130,876 shares of various series of convertible preferred stock from entities affiliated with and controlled by Eric Lefkofsky at the original issue price for a total purchase price of approximately $7.5 million. Such repurchases were affected in order to accommodate the issuance and sale of convertible preferred stock to additional purchasers.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Vesting for RSUs</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May 2017, we granted 300,000 RSUs to Erik Phelps, our Executive Vice President and Chief Administrative and Legal Officer, pursuant to a restricted stock unit agreement. In April 2021, our board of directors approved a waiver of a vesting condition such that 8,725 of the RSUs held by Mr. Phelps immediately vested and settled for 8,725 shares of our Class A common stock, 873 of the RSUs were cancelled, and 290,402 of the RSUs remain outstanding.</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340"/>
          </w:cols>
          <w:pgMar w:left="320" w:top="448" w:right="2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contain provisions limiting the liability of directors, and our amended and restated bylaws that will be in effect on the closing of this offering will provide that we will indemnify each of our directors and officers to the fullest extent permitted under Delaware law. Our amended and restated certificate of incorporation and amended and restated bylaws that will be in effect on the closing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Prior to the closing of this offering, we intend to adopt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340"/>
          </w:cols>
          <w:pgMar w:left="320" w:top="448" w:right="2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April 15, 2024 by:</w:t>
      </w:r>
    </w:p>
    <w:p>
      <w:pPr>
        <w:spacing w:after="0" w:line="121" w:lineRule="exact"/>
        <w:rPr>
          <w:sz w:val="20"/>
          <w:szCs w:val="20"/>
          <w:color w:val="auto"/>
        </w:rPr>
      </w:pPr>
    </w:p>
    <w:p>
      <w:pPr>
        <w:ind w:left="1000" w:hanging="549"/>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or entity known by us to own beneficially more than 5% of our Class A common stock and Class B common stock (by number or by voting power).</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Applicable percentage ownership before this offering is based on 129,746,987 shares of Class A common stock and 5,374,899 shares of Class B common stock outstanding as of April 15, 2024, assuming (i) the conversion of all outstanding shares of our Series B redeemable convertible preferred stock into an aggregate of 5,374,899 shares of Class B common stock (without giving effect to the Class B Transfer), (ii) the issuance and sale of 3,489,981 shares of Series G-5 Convertible preferred stock in April 2024 as if such issuance and sale had occurred on April 15, 2024, (iii) the Preferred Stock Conversion and (iv) the automatic conversion of all outstanding shares of our nonvoting common stock into 5,069,477 shares of Class A common stock.</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Applicable percentage ownership after this offering gives effect to (a) the Additional Class A Conversion Share Issuance resulting in the issuance of 5,093,641 Additional Class A Conversion Shares and (b) the net issuance of 2,660,402 shares of Class A common stock upon the RSU Net Settlement and the issuance of 10,747,222 shares of Class A common stock upon the Additional RSU Settlement. See “Prospectus Summary—The Offering—Additional Class A Conversion Shares” for a description of the Additional Class A Conversion Shares. Applicable percentage ownership after this offering assumes that the underwriters’ option to purchase additional shares to cover over-allotments, if any, is not exercised and is based on (1) 159,788,821 shares of Class A common stock and (2) 5,043,789 shares of Class B common stock outstanding immediately after the closing of this offering. Applicable percentage ownership after this offering if the underwriters’ option to purchase additional shares to cover over-allotments, if any, is exercised in full is based on (1) 161,453,821 shares of Class A common stock and (2) 5,043,789 shares of Class B common stock outstanding immediately after the closing of this offering. Applicable percentage ownership after this offering also excludes any potential purchases in this offering by the persons and entities named in the table below. In computing the number of shares beneficially owned by a person and the percentage ownership of such person, we deemed to be outstanding all shares subject to RSUs held by the person that would vest based on service-based vesting conditions within 60 days of April 15, 2024. However, except as described above, we did not deem such shares outstanding for the purpose of computing the percentage ownership of any other person.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340"/>
          </w:cols>
          <w:pgMar w:left="320" w:top="448" w:right="2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Tempus AI, Inc., 600 West Chicago Avenue, Suite 510 Chicago, Illinois 60654.</w:t>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20" w:firstLine="608"/>
        <w:spacing w:after="0" w:line="286" w:lineRule="auto"/>
        <w:rPr>
          <w:sz w:val="20"/>
          <w:szCs w:val="20"/>
          <w:color w:val="auto"/>
        </w:rPr>
      </w:pPr>
      <w:r>
        <w:rPr>
          <w:rFonts w:ascii="Times New Roman" w:cs="Times New Roman" w:eastAsia="Times New Roman" w:hAnsi="Times New Roman"/>
          <w:sz w:val="11"/>
          <w:szCs w:val="11"/>
          <w:b w:val="1"/>
          <w:bCs w:val="1"/>
          <w:color w:val="auto"/>
        </w:rPr>
        <w:t>Name of Beneficial Owner 5% Stockholders:</w:t>
      </w:r>
    </w:p>
    <w:p>
      <w:pPr>
        <w:spacing w:after="0" w:line="188" w:lineRule="auto"/>
        <w:rPr>
          <w:sz w:val="20"/>
          <w:szCs w:val="20"/>
          <w:color w:val="auto"/>
        </w:rPr>
      </w:pPr>
      <w:r>
        <w:rPr>
          <w:rFonts w:ascii="Times New Roman" w:cs="Times New Roman" w:eastAsia="Times New Roman" w:hAnsi="Times New Roman"/>
          <w:sz w:val="11"/>
          <w:szCs w:val="11"/>
          <w:color w:val="auto"/>
        </w:rPr>
        <w:t>Eric Lefkofsky</w:t>
      </w:r>
      <w:r>
        <w:rPr>
          <w:rFonts w:ascii="Times New Roman" w:cs="Times New Roman" w:eastAsia="Times New Roman" w:hAnsi="Times New Roman"/>
          <w:sz w:val="16"/>
          <w:szCs w:val="16"/>
          <w:color w:val="auto"/>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Red Sky LLC</w:t>
      </w:r>
      <w:r>
        <w:rPr>
          <w:rFonts w:ascii="Times New Roman" w:cs="Times New Roman" w:eastAsia="Times New Roman" w:hAnsi="Times New Roman"/>
          <w:sz w:val="17"/>
          <w:szCs w:val="17"/>
          <w:color w:val="auto"/>
          <w:vertAlign w:val="superscript"/>
        </w:rPr>
        <w:t>(2)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BK TL21 LLC</w:t>
      </w:r>
      <w:r>
        <w:rPr>
          <w:rFonts w:ascii="Times New Roman" w:cs="Times New Roman" w:eastAsia="Times New Roman" w:hAnsi="Times New Roman"/>
          <w:sz w:val="17"/>
          <w:szCs w:val="17"/>
          <w:color w:val="auto"/>
          <w:vertAlign w:val="superscript"/>
        </w:rPr>
        <w:t>(3)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Entities affiliated with Baillie Gifford &amp; Co.</w:t>
      </w:r>
      <w:r>
        <w:rPr>
          <w:rFonts w:ascii="Times New Roman" w:cs="Times New Roman" w:eastAsia="Times New Roman" w:hAnsi="Times New Roman"/>
          <w:sz w:val="17"/>
          <w:szCs w:val="17"/>
          <w:color w:val="auto"/>
          <w:vertAlign w:val="superscript"/>
        </w:rPr>
        <w:t>(4)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Other Directors and Named Executive Officers: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James Rogers</w:t>
      </w:r>
      <w:r>
        <w:rPr>
          <w:rFonts w:ascii="Times New Roman" w:cs="Times New Roman" w:eastAsia="Times New Roman" w:hAnsi="Times New Roman"/>
          <w:sz w:val="17"/>
          <w:szCs w:val="17"/>
          <w:color w:val="auto"/>
          <w:vertAlign w:val="superscript"/>
        </w:rPr>
        <w:t>(5)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Ryan Fukushima</w:t>
      </w:r>
      <w:r>
        <w:rPr>
          <w:rFonts w:ascii="Times New Roman" w:cs="Times New Roman" w:eastAsia="Times New Roman" w:hAnsi="Times New Roman"/>
          <w:sz w:val="17"/>
          <w:szCs w:val="17"/>
          <w:color w:val="auto"/>
          <w:vertAlign w:val="superscript"/>
        </w:rPr>
        <w:t>(6)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Peter J. Barris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Eric D. Belcher</w:t>
      </w:r>
      <w:r>
        <w:rPr>
          <w:rFonts w:ascii="Times New Roman" w:cs="Times New Roman" w:eastAsia="Times New Roman" w:hAnsi="Times New Roman"/>
          <w:sz w:val="17"/>
          <w:szCs w:val="17"/>
          <w:color w:val="auto"/>
          <w:vertAlign w:val="superscript"/>
        </w:rPr>
        <w:t>(7)</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Jennifer A. Doudna, Ph.D.</w:t>
      </w:r>
      <w:r>
        <w:rPr>
          <w:rFonts w:ascii="Times New Roman" w:cs="Times New Roman" w:eastAsia="Times New Roman" w:hAnsi="Times New Roman"/>
          <w:sz w:val="17"/>
          <w:szCs w:val="17"/>
          <w:color w:val="auto"/>
          <w:vertAlign w:val="superscript"/>
        </w:rPr>
        <w:t>(8)</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David R. Epstein</w:t>
      </w:r>
      <w:r>
        <w:rPr>
          <w:rFonts w:ascii="Times New Roman" w:cs="Times New Roman" w:eastAsia="Times New Roman" w:hAnsi="Times New Roman"/>
          <w:sz w:val="17"/>
          <w:szCs w:val="17"/>
          <w:color w:val="auto"/>
          <w:vertAlign w:val="superscript"/>
        </w:rPr>
        <w:t>(9)</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Wayne A.I. Frederick, M.D.</w:t>
      </w:r>
      <w:r>
        <w:rPr>
          <w:rFonts w:ascii="Times New Roman" w:cs="Times New Roman" w:eastAsia="Times New Roman" w:hAnsi="Times New Roman"/>
          <w:sz w:val="17"/>
          <w:szCs w:val="17"/>
          <w:color w:val="auto"/>
          <w:vertAlign w:val="superscript"/>
        </w:rPr>
        <w:t>(10)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Robert Ghenchev</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Scott Gottlieb, M.D.</w:t>
      </w:r>
      <w:r>
        <w:rPr>
          <w:rFonts w:ascii="Times New Roman" w:cs="Times New Roman" w:eastAsia="Times New Roman" w:hAnsi="Times New Roman"/>
          <w:sz w:val="17"/>
          <w:szCs w:val="17"/>
          <w:color w:val="auto"/>
          <w:vertAlign w:val="superscript"/>
        </w:rPr>
        <w:t>(11)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Theodore J. Leonsis</w:t>
      </w:r>
      <w:r>
        <w:rPr>
          <w:rFonts w:ascii="Times New Roman" w:cs="Times New Roman" w:eastAsia="Times New Roman" w:hAnsi="Times New Roman"/>
          <w:sz w:val="17"/>
          <w:szCs w:val="17"/>
          <w:color w:val="auto"/>
          <w:vertAlign w:val="superscript"/>
        </w:rPr>
        <w:t>(12)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Nadja West, M.D.</w:t>
      </w:r>
      <w:r>
        <w:rPr>
          <w:rFonts w:ascii="Times New Roman" w:cs="Times New Roman" w:eastAsia="Times New Roman" w:hAnsi="Times New Roman"/>
          <w:sz w:val="17"/>
          <w:szCs w:val="17"/>
          <w:color w:val="auto"/>
          <w:vertAlign w:val="superscript"/>
        </w:rPr>
        <w:t>(13)</w:t>
      </w:r>
    </w:p>
    <w:p>
      <w:pPr>
        <w:spacing w:after="0" w:line="109" w:lineRule="exact"/>
        <w:rPr>
          <w:sz w:val="20"/>
          <w:szCs w:val="20"/>
          <w:color w:val="auto"/>
        </w:rPr>
      </w:pPr>
    </w:p>
    <w:p>
      <w:pPr>
        <w:ind w:left="120" w:right="40" w:hanging="113"/>
        <w:spacing w:after="0" w:line="284" w:lineRule="auto"/>
        <w:rPr>
          <w:sz w:val="20"/>
          <w:szCs w:val="20"/>
          <w:color w:val="auto"/>
        </w:rPr>
      </w:pPr>
      <w:r>
        <w:rPr>
          <w:rFonts w:ascii="Times New Roman" w:cs="Times New Roman" w:eastAsia="Times New Roman" w:hAnsi="Times New Roman"/>
          <w:sz w:val="11"/>
          <w:szCs w:val="11"/>
          <w:color w:val="auto"/>
        </w:rPr>
        <w:t>All directors and executive officers as a group (14 persons)</w:t>
      </w:r>
      <w:r>
        <w:rPr>
          <w:rFonts w:ascii="Times New Roman" w:cs="Times New Roman" w:eastAsia="Times New Roman" w:hAnsi="Times New Roman"/>
          <w:sz w:val="17"/>
          <w:szCs w:val="17"/>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9184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8"/>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Beneficial Ownership</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7"/>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Beneficial Ownership</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7"/>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Beneficial Ownership</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40" w:type="dxa"/>
            <w:vAlign w:val="bottom"/>
            <w:gridSpan w:val="1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After the Offering if Underwriters’ Option is</w:t>
            </w:r>
          </w:p>
        </w:tc>
        <w:tc>
          <w:tcPr>
            <w:tcW w:w="2880" w:type="dxa"/>
            <w:vAlign w:val="bottom"/>
            <w:gridSpan w:val="11"/>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After the Offering if Underwriters’ Option is</w:t>
            </w:r>
          </w:p>
        </w:tc>
        <w:tc>
          <w:tcPr>
            <w:tcW w:w="0" w:type="dxa"/>
            <w:vAlign w:val="bottom"/>
          </w:tcPr>
          <w:p>
            <w:pPr>
              <w:spacing w:after="0"/>
              <w:rPr>
                <w:sz w:val="1"/>
                <w:szCs w:val="1"/>
                <w:color w:val="auto"/>
              </w:rPr>
            </w:pPr>
          </w:p>
        </w:tc>
      </w:tr>
      <w:tr>
        <w:trPr>
          <w:trHeight w:val="142"/>
        </w:trPr>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Before the Offering</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Not Exercised</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Exercised in Full</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72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3"/>
            <w:vMerge w:val="restart"/>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8"/>
              </w:rPr>
              <w:t>% of Total</w:t>
            </w:r>
          </w:p>
        </w:tc>
        <w:tc>
          <w:tcPr>
            <w:tcW w:w="160" w:type="dxa"/>
            <w:vAlign w:val="bottom"/>
          </w:tcPr>
          <w:p>
            <w:pPr>
              <w:spacing w:after="0"/>
              <w:rPr>
                <w:sz w:val="9"/>
                <w:szCs w:val="9"/>
                <w:color w:val="auto"/>
              </w:rPr>
            </w:pPr>
          </w:p>
        </w:tc>
        <w:tc>
          <w:tcPr>
            <w:tcW w:w="72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vMerge w:val="restart"/>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w w:val="98"/>
              </w:rPr>
              <w:t>% of Total</w:t>
            </w:r>
          </w:p>
        </w:tc>
        <w:tc>
          <w:tcPr>
            <w:tcW w:w="160" w:type="dxa"/>
            <w:vAlign w:val="bottom"/>
          </w:tcPr>
          <w:p>
            <w:pPr>
              <w:spacing w:after="0"/>
              <w:rPr>
                <w:sz w:val="9"/>
                <w:szCs w:val="9"/>
                <w:color w:val="auto"/>
              </w:rPr>
            </w:pPr>
          </w:p>
        </w:tc>
        <w:tc>
          <w:tcPr>
            <w:tcW w:w="720" w:type="dxa"/>
            <w:vAlign w:val="bottom"/>
            <w:gridSpan w:val="2"/>
            <w:vMerge w:val="restart"/>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8"/>
              </w:rPr>
              <w:t>% of 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7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7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7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0" w:type="dxa"/>
            <w:vAlign w:val="bottom"/>
          </w:tcPr>
          <w:p>
            <w:pPr>
              <w:spacing w:after="0"/>
              <w:rPr>
                <w:sz w:val="1"/>
                <w:szCs w:val="1"/>
                <w:color w:val="auto"/>
              </w:rPr>
            </w:pPr>
          </w:p>
        </w:tc>
      </w:tr>
      <w:tr>
        <w:trPr>
          <w:trHeight w:val="53"/>
        </w:trPr>
        <w:tc>
          <w:tcPr>
            <w:tcW w:w="72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2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20" w:type="dxa"/>
            <w:vAlign w:val="bottom"/>
            <w:gridSpan w:val="2"/>
            <w:vMerge w:val="restart"/>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7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Power</w:t>
            </w:r>
          </w:p>
        </w:tc>
        <w:tc>
          <w:tcPr>
            <w:tcW w:w="7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Power</w:t>
            </w:r>
          </w:p>
        </w:tc>
        <w:tc>
          <w:tcPr>
            <w:tcW w:w="7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Power</w:t>
            </w:r>
          </w:p>
        </w:tc>
        <w:tc>
          <w:tcPr>
            <w:tcW w:w="0" w:type="dxa"/>
            <w:vAlign w:val="bottom"/>
          </w:tcPr>
          <w:p>
            <w:pPr>
              <w:spacing w:after="0"/>
              <w:rPr>
                <w:sz w:val="1"/>
                <w:szCs w:val="1"/>
                <w:color w:val="auto"/>
              </w:rPr>
            </w:pPr>
          </w:p>
        </w:tc>
      </w:tr>
      <w:tr>
        <w:trPr>
          <w:trHeight w:val="53"/>
        </w:trPr>
        <w:tc>
          <w:tcPr>
            <w:tcW w:w="72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2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20" w:type="dxa"/>
            <w:vAlign w:val="bottom"/>
            <w:gridSpan w:val="2"/>
            <w:vMerge w:val="restart"/>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720" w:type="dxa"/>
            <w:vAlign w:val="bottom"/>
            <w:tcBorders>
              <w:bottom w:val="single" w:sz="8" w:color="auto"/>
            </w:tcBorders>
            <w:gridSpan w:val="2"/>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Borders>
              <w:bottom w:val="single" w:sz="8" w:color="auto"/>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Before the</w:t>
            </w:r>
          </w:p>
        </w:tc>
        <w:tc>
          <w:tcPr>
            <w:tcW w:w="720" w:type="dxa"/>
            <w:vAlign w:val="bottom"/>
            <w:tcBorders>
              <w:bottom w:val="single" w:sz="8" w:color="auto"/>
            </w:tcBorders>
            <w:gridSpan w:val="2"/>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auto"/>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After the</w:t>
            </w:r>
          </w:p>
        </w:tc>
        <w:tc>
          <w:tcPr>
            <w:tcW w:w="72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bottom w:val="single" w:sz="8" w:color="auto"/>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After the</w:t>
            </w:r>
          </w:p>
        </w:tc>
        <w:tc>
          <w:tcPr>
            <w:tcW w:w="0" w:type="dxa"/>
            <w:vAlign w:val="bottom"/>
          </w:tcPr>
          <w:p>
            <w:pPr>
              <w:spacing w:after="0"/>
              <w:rPr>
                <w:sz w:val="1"/>
                <w:szCs w:val="1"/>
                <w:color w:val="auto"/>
              </w:rPr>
            </w:pPr>
          </w:p>
        </w:tc>
      </w:tr>
      <w:tr>
        <w:trPr>
          <w:trHeight w:val="22"/>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160" w:type="dxa"/>
            <w:vAlign w:val="bottom"/>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160" w:type="dxa"/>
            <w:vAlign w:val="bottom"/>
          </w:tcPr>
          <w:p>
            <w:pPr>
              <w:spacing w:after="0"/>
              <w:rPr>
                <w:sz w:val="12"/>
                <w:szCs w:val="12"/>
                <w:color w:val="auto"/>
              </w:rPr>
            </w:pP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5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50,852,955</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39.2</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5,374,899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6"/>
              </w:rPr>
              <w:t>100.0</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72.3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48,726,971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30.5</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5,043,789</w:t>
            </w:r>
          </w:p>
        </w:tc>
        <w:tc>
          <w:tcPr>
            <w:tcW w:w="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6"/>
              </w:rPr>
              <w:t>100.0</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64.3</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48,726,971</w:t>
            </w:r>
          </w:p>
        </w:tc>
        <w:tc>
          <w:tcPr>
            <w:tcW w:w="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5,043,789</w:t>
            </w:r>
          </w:p>
        </w:tc>
        <w:tc>
          <w:tcPr>
            <w:tcW w:w="6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6"/>
              </w:rPr>
              <w:t>100.0</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64.0</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16,544,420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12.8</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5.8</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16,560,249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5.3</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16,560,249</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5.3</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16,544,419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12.8</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5.8</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16,560,249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5.3</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16,560,249</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5.3</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8,331,376</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6.4</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2.9</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9,367,563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9,367,563</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42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200,500</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114,805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114,805</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1,287,526</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1,099,569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1,099,569</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100,000</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100,000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14,033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14,033</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16,250</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16,250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16,250</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1,000</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17,500</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17,500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17,500</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50,000</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50,000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50,000</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3,473,060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2.7</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1.1</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3,870,948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1.2</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3,870,948</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210"/>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16,250</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16,250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16,250</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8"/>
        </w:trPr>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56,633,520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43.6</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5,374,899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6"/>
              </w:rPr>
              <w:t>100.0</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73.4</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54,361,357</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34.0</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5,043,789</w:t>
            </w:r>
          </w:p>
        </w:tc>
        <w:tc>
          <w:tcPr>
            <w:tcW w:w="4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6"/>
              </w:rPr>
              <w:t>100.0</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66.0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54,361,357</w:t>
            </w:r>
          </w:p>
        </w:tc>
        <w:tc>
          <w:tcPr>
            <w:tcW w:w="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5,043,789</w:t>
            </w:r>
          </w:p>
        </w:tc>
        <w:tc>
          <w:tcPr>
            <w:tcW w:w="6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6"/>
              </w:rPr>
              <w:t>100.0</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-2238375</wp:posOffset>
            </wp:positionV>
            <wp:extent cx="7197725" cy="133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-1971675</wp:posOffset>
            </wp:positionV>
            <wp:extent cx="7197725" cy="133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-1704975</wp:posOffset>
            </wp:positionV>
            <wp:extent cx="7197725" cy="133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-1438275</wp:posOffset>
            </wp:positionV>
            <wp:extent cx="7197725" cy="133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-1171575</wp:posOffset>
            </wp:positionV>
            <wp:extent cx="7197725" cy="133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-904875</wp:posOffset>
            </wp:positionV>
            <wp:extent cx="7197725" cy="133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-638175</wp:posOffset>
            </wp:positionV>
            <wp:extent cx="7197725" cy="133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-370840</wp:posOffset>
            </wp:positionV>
            <wp:extent cx="7197725" cy="133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-2421890</wp:posOffset>
            </wp:positionV>
            <wp:extent cx="7197725" cy="914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97725" cy="9144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2320" w:space="280"/>
            <w:col w:w="8740"/>
          </w:cols>
          <w:pgMar w:left="320" w:top="448" w:right="239" w:bottom="1440" w:gutter="0" w:footer="0" w:header="0"/>
          <w:type w:val="continuous"/>
        </w:sectPr>
      </w:pPr>
    </w:p>
    <w:p>
      <w:pPr>
        <w:ind w:left="460" w:hanging="455"/>
        <w:spacing w:after="0"/>
        <w:tabs>
          <w:tab w:leader="none" w:pos="4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49" w:lineRule="exact"/>
        <w:rPr>
          <w:sz w:val="20"/>
          <w:szCs w:val="20"/>
          <w:color w:val="auto"/>
        </w:rPr>
      </w:pPr>
    </w:p>
    <w:p>
      <w:pPr>
        <w:jc w:val="both"/>
        <w:ind w:left="460" w:hanging="455"/>
        <w:spacing w:after="0" w:line="234" w:lineRule="auto"/>
        <w:tabs>
          <w:tab w:leader="none" w:pos="4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total voting power represents voting power with respect to all shares of our Class A and Class B common stock, as a single class. The holders of our Class B common stock are entitled to 30 votes per share, and holders of our Class A common stock are entitled to one vote per share. See the section titled “Description of Capital Stock—Class A Common Stock and Class B Common Stock” for additional information about the voting rights of our Class A and Class B common stock.</w:t>
      </w:r>
    </w:p>
    <w:p>
      <w:pPr>
        <w:spacing w:after="0" w:line="28" w:lineRule="exact"/>
        <w:rPr>
          <w:sz w:val="20"/>
          <w:szCs w:val="20"/>
          <w:color w:val="auto"/>
        </w:rPr>
      </w:pPr>
    </w:p>
    <w:p>
      <w:pPr>
        <w:jc w:val="both"/>
        <w:ind w:left="460" w:hanging="455"/>
        <w:spacing w:after="0" w:line="218" w:lineRule="auto"/>
        <w:tabs>
          <w:tab w:leader="none" w:pos="4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this offering, consists of (a) 21,861,013 shares of Class A common stock held by Blue Media, LLC, (b) 178,485 shares of Class B common stock held by Black Media, LLC, (c) 8,625,000 shares of Class A common stock held by Gray Media, LLC, (d) 2,789,336 shares of Class A common stock held by Innovation Group Investors, L.P. -2011 Series, (e) 145,875 shares of Class A common stock held by Innovation Group Investors, L.P. -Series 1B, (f) 248,476 shares of Class A common stock held by Lightbank Investments 1B, LLC, (g) 1,603,279 shares of Class A common stock held by Tempus Series A Investments, LLC, (h) 5,196,414 shares of Class B common stock held by Tempus Series B Investments, LLC, (i) 1,500,071 shares of Class A common stock held by Tempus Series B-1 Investments, LLC, (j) 2,111,415 shares of Class A common stock held by Tempus Series B-2 Investments, LLC, (k) 3,911,762 shares of Class A common stock held by Tempus Series C Investments, LLC, (l) 2,133,583 shares of Class A common stock held by Tempus Series D Investments, LLC, (m) 248,512 shares of Class A common stock held by Tempus Series E Investments, LLC, (n) 321,008 shares of Class A common stock held by Tempus Series G Investments, LLC and (o) 1,400,000 shares of Class A common stock held by Mr. Lefkofsky. Upon the consummation of this offering, shares of Class A common stock held by each of Tempus Series A Investments, LLC, Tempus Series B-1 Investments, LLC, Tempus Series B-2 Investments, LLC, Tempus Series C Investments, LLC, Tempus Series D Investments, LLC, Tempus Series E Investments, LLC and Tempus Series G Investments, LLC and shares of Class B common stock held by Tempus Series B Investments, LLC will be distributed pro rata to the members of each entity, or the LLC Distributions. Mr. Lefkofsky’s beneficial ownership after the offering gives effect to the LLC Distributions, the Class B Transfer and the receipt of the Additional Class A Conversion Shares in the Additional Class A Conversion Share Issuance, and consists of (i) 27,619,558 shares of Class A common stock and 3,972,878 shares of Class B common stock held by Blue Media, LLC, (ii) 206 shares of Class A common stock and 178,485 shares of Class B common stock held by Black Media, LLC, (iii) 9,607,283 shares of Class A common stock held by Gray Media, LLC, (iv) 145,966 shares of Class A common stock held by Innovation Group Investors, L.P. -Series 1B, (v) 4,059,130 shares of Class A common stock and 892,426 shares of Class B common stock held by Innovation Group Investors, L.P. -2011 Series, (vi) 1,397,589 shares of Class A common stock held by Lightbank Global LLC, (vii) 248,631 shares of Class A common stock held by Lightbank Investments 1B, LLC, (viii) 332,131 shares of Class A common stock held by the Lefkofsky Family Foundation and (ix) 1,400,000 shares of Class A common stock held by Mr. Lefkofsky. Mr. Lefkofsky is the controlling member of, and may be deemed to have shared voting, investment and dispositive power with respect to the shares held by, the aforementioned entities. Prior to this offering, includes 3,953,625 shares of Class A common stock issuable upon settlement of RSUs for which the service-based vesting condition would be satisfied within 60 days of April 15, 2024. After this offering, includes 55,329 shares of Class A common stock issuable to Mr. Lefkofsky pursuant to the RSU Net Settlement and 3,861,148 additional RSUs, for which the service-based vesting condition would be satisfied within 60 days of April 15, 2024.</w:t>
      </w:r>
    </w:p>
    <w:p>
      <w:pPr>
        <w:spacing w:after="0" w:line="29" w:lineRule="exact"/>
        <w:rPr>
          <w:rFonts w:ascii="Times New Roman" w:cs="Times New Roman" w:eastAsia="Times New Roman" w:hAnsi="Times New Roman"/>
          <w:sz w:val="14"/>
          <w:szCs w:val="14"/>
          <w:color w:val="auto"/>
        </w:rPr>
      </w:pPr>
    </w:p>
    <w:p>
      <w:pPr>
        <w:ind w:left="460" w:hanging="455"/>
        <w:spacing w:after="0" w:line="247" w:lineRule="auto"/>
        <w:tabs>
          <w:tab w:leader="none" w:pos="4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May 2024, Keeks, LLC, which beneficially owned more than 5% of our Class A common stock as of April 15, 2024, assigned an aggregate of 16,544,420 and 16,544,419 shares of Class A common stock to Red Sky LLC and BK TL21 LLC, respectively. The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340"/>
          </w:cols>
          <w:pgMar w:left="320" w:top="448" w:right="239" w:bottom="1440" w:gutter="0" w:footer="0" w:header="0"/>
          <w:type w:val="continuous"/>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left="460"/>
        <w:spacing w:after="0" w:line="234" w:lineRule="auto"/>
        <w:rPr>
          <w:sz w:val="20"/>
          <w:szCs w:val="20"/>
          <w:color w:val="auto"/>
        </w:rPr>
      </w:pPr>
      <w:r>
        <w:rPr>
          <w:rFonts w:ascii="Times New Roman" w:cs="Times New Roman" w:eastAsia="Times New Roman" w:hAnsi="Times New Roman"/>
          <w:sz w:val="14"/>
          <w:szCs w:val="14"/>
          <w:color w:val="auto"/>
        </w:rPr>
        <w:t>information set forth in the table above reflects such assignment as if it had occurred on April 15, 2024. Kimberly Keywell is the controlling shareholder of, and may be deemed to have shared voting, investment and dispositive power with respect to the shares held by, Red Sky LLC. Ms. Keywell executed an irrevocable proxy and power of attorney providing that Bradley A. Keywell may vote and exercise all voting rights with respect to the shares of Class A common stock held by Red Sky LLC until the consummation of this offering.</w:t>
      </w:r>
    </w:p>
    <w:p>
      <w:pPr>
        <w:spacing w:after="0" w:line="28" w:lineRule="exact"/>
        <w:rPr>
          <w:sz w:val="20"/>
          <w:szCs w:val="20"/>
          <w:color w:val="auto"/>
        </w:rPr>
      </w:pPr>
    </w:p>
    <w:p>
      <w:pPr>
        <w:jc w:val="both"/>
        <w:ind w:left="460" w:hanging="455"/>
        <w:spacing w:after="0" w:line="234"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May 2024, Keeks, LLC, which beneficially owned more than 5% of our Class A common stock as of April 15, 2024, assigned an aggregate of 16,544,420 and 16,544,419 shares of Class A common stock to Red Sky LLC and BK TL21 LLC, respectively. The information set forth in the table above reflects such assignment as if it had occurred on April 15, 2024. Bradley A. Keywell is the controlling shareholder of, and may be deemed to have voting, investment and dispositive control over the shares held by, BK TL21 LLC.</w:t>
      </w:r>
    </w:p>
    <w:p>
      <w:pPr>
        <w:spacing w:after="0" w:line="27" w:lineRule="exact"/>
        <w:rPr>
          <w:rFonts w:ascii="Times New Roman" w:cs="Times New Roman" w:eastAsia="Times New Roman" w:hAnsi="Times New Roman"/>
          <w:sz w:val="14"/>
          <w:szCs w:val="14"/>
          <w:color w:val="auto"/>
        </w:rPr>
      </w:pPr>
    </w:p>
    <w:p>
      <w:pPr>
        <w:jc w:val="both"/>
        <w:ind w:left="460" w:hanging="455"/>
        <w:spacing w:after="0" w:line="223"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this offering, consists of (i) 7,631,428 shares of Class A common stock held by Scottish Mortgage Investment Trust plc, or SMIT, and (ii) 699,948 shares of Class A common stock held by the Schiehallion Fund Limited, or TSFL. The beneficial ownership after the offering gives effect to the LLC Distributions and the receipt of the Additional Class A Conversion Shares in the Additional Class A Conversion Share Issuance, and consists of (i) 8,558,592 shares of Class A common stock held by SMIT and (ii) 808,971 shares of Class A common stock held by TSFL. Baillie Gifford &amp; Co Ltd, as direct investment manager, and its affiliate group entity, Baillie Gifford &amp; Co, on a delegated basis, have been appointed to act for and on behalf of SMIT with full voting and investment power. Baillie Gifford Overseas Limited has been appointed to act for and on behalf of, as direct investment manager, for TSFL with full voting and investment power. The address for SMIT is Calton Square, 1 Greenside Row. Edinburgh, United Kingdom, EH1 3AN, and the address for TSFL is First Floor, Albert House, South Esplanade, St Peter Port, Guernsey, GY1 1AJ.</w:t>
      </w:r>
    </w:p>
    <w:p>
      <w:pPr>
        <w:spacing w:after="0" w:line="29" w:lineRule="exact"/>
        <w:rPr>
          <w:rFonts w:ascii="Times New Roman" w:cs="Times New Roman" w:eastAsia="Times New Roman" w:hAnsi="Times New Roman"/>
          <w:sz w:val="14"/>
          <w:szCs w:val="14"/>
          <w:color w:val="auto"/>
        </w:rPr>
      </w:pPr>
    </w:p>
    <w:p>
      <w:pPr>
        <w:ind w:left="460" w:hanging="455"/>
        <w:spacing w:after="0" w:line="247"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this offering, represents 200,500 shares of Class A common stock issuable upon settlement of RSUs for which the service-based vesting condition would be satisfied within 60 days of April 15, 2024. After this offering, represents 114,805 shares of Class A common stock issuable to Mr. Rogers in connection with the RSU Net Settlement.</w:t>
      </w:r>
    </w:p>
    <w:p>
      <w:pPr>
        <w:spacing w:after="0" w:line="23" w:lineRule="exact"/>
        <w:rPr>
          <w:rFonts w:ascii="Times New Roman" w:cs="Times New Roman" w:eastAsia="Times New Roman" w:hAnsi="Times New Roman"/>
          <w:sz w:val="14"/>
          <w:szCs w:val="14"/>
          <w:color w:val="auto"/>
        </w:rPr>
      </w:pPr>
    </w:p>
    <w:p>
      <w:pPr>
        <w:jc w:val="both"/>
        <w:ind w:left="460" w:hanging="455"/>
        <w:spacing w:after="0" w:line="229"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this offering, consists of (a) 857,557 shares of Class A common stock, including (i) 725,664 shares of Class A common stock held by Ryan Fukushima and (ii) 131,893 shares of Class A common stock held by Ryan Fukushima Irrevocable Family Trust, or collectively, Fukushima Class A common stock, and (b) 429,969 shares of Class A common stock issuable upon settlement of RSUs for which the service-based vesting condition would be satisfied within 60 days of April 15, 2024. After this offering, consists of (a) 857,557 shares of Fukushima Class A common stock and (b) 242,012 shares of Class A common stock issuable to Mr. Fukushima in connection with the RSU Net Settlement.</w:t>
      </w:r>
    </w:p>
    <w:p>
      <w:pPr>
        <w:spacing w:after="0" w:line="28" w:lineRule="exact"/>
        <w:rPr>
          <w:rFonts w:ascii="Times New Roman" w:cs="Times New Roman" w:eastAsia="Times New Roman" w:hAnsi="Times New Roman"/>
          <w:sz w:val="14"/>
          <w:szCs w:val="14"/>
          <w:color w:val="auto"/>
        </w:rPr>
      </w:pPr>
    </w:p>
    <w:p>
      <w:pPr>
        <w:ind w:left="460" w:hanging="455"/>
        <w:spacing w:after="0" w:line="247"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14,033 shares of Class A common stock to be transferred to Nob Hill Ventures LLC upon the consummation of this offering in the LLC Distributions. Mr. Belcher is the controlling shareholder of, and may be deemed to have shared voting, investment and dispositive power with respect to the shares held by Nob Hill Ventures LLC.</w:t>
      </w:r>
    </w:p>
    <w:p>
      <w:pPr>
        <w:spacing w:after="0" w:line="23" w:lineRule="exact"/>
        <w:rPr>
          <w:rFonts w:ascii="Times New Roman" w:cs="Times New Roman" w:eastAsia="Times New Roman" w:hAnsi="Times New Roman"/>
          <w:sz w:val="14"/>
          <w:szCs w:val="14"/>
          <w:color w:val="auto"/>
        </w:rPr>
      </w:pPr>
    </w:p>
    <w:p>
      <w:pPr>
        <w:ind w:left="460" w:hanging="455"/>
        <w:spacing w:after="0" w:line="247"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16,250 shares of Class A common stock issuable upon settlement of RSUs held by Dr. Doudna for which the service-based vesting condition would be satisfied within 60 days of April 15, 2024.</w:t>
      </w:r>
    </w:p>
    <w:p>
      <w:pPr>
        <w:spacing w:after="0" w:line="23" w:lineRule="exact"/>
        <w:rPr>
          <w:rFonts w:ascii="Times New Roman" w:cs="Times New Roman" w:eastAsia="Times New Roman" w:hAnsi="Times New Roman"/>
          <w:sz w:val="14"/>
          <w:szCs w:val="14"/>
          <w:color w:val="auto"/>
        </w:rPr>
      </w:pPr>
    </w:p>
    <w:p>
      <w:pPr>
        <w:ind w:left="460" w:hanging="455"/>
        <w:spacing w:after="0" w:line="247"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1,000 shares of Class A common stock issuable upon settlement of RSUs held by Mr. Epstein for which the service based vesting condition would be satisfied within 60 days of April 15, 2024.</w:t>
      </w:r>
    </w:p>
    <w:p>
      <w:pPr>
        <w:spacing w:after="0" w:line="23" w:lineRule="exact"/>
        <w:rPr>
          <w:rFonts w:ascii="Times New Roman" w:cs="Times New Roman" w:eastAsia="Times New Roman" w:hAnsi="Times New Roman"/>
          <w:sz w:val="14"/>
          <w:szCs w:val="14"/>
          <w:color w:val="auto"/>
        </w:rPr>
      </w:pPr>
    </w:p>
    <w:p>
      <w:pPr>
        <w:ind w:left="460" w:hanging="455"/>
        <w:spacing w:after="0" w:line="247"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17,500 shares of Class A common stock issuable upon settlement of RSUs held by Dr. Frederick for which the service-based vesting condition would be satisfied within 60 days of April 15, 2024.</w:t>
      </w:r>
    </w:p>
    <w:p>
      <w:pPr>
        <w:spacing w:after="0" w:line="23" w:lineRule="exact"/>
        <w:rPr>
          <w:rFonts w:ascii="Times New Roman" w:cs="Times New Roman" w:eastAsia="Times New Roman" w:hAnsi="Times New Roman"/>
          <w:sz w:val="14"/>
          <w:szCs w:val="14"/>
          <w:color w:val="auto"/>
        </w:rPr>
      </w:pPr>
    </w:p>
    <w:p>
      <w:pPr>
        <w:ind w:left="460" w:hanging="455"/>
        <w:spacing w:after="0" w:line="247"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50,000 shares of Class A common stock issuable upon settlement of RSUs held by Dr. Gottlieb for which the service-based vesting condition would be satisfied within 60 days of April 15, 2024.</w:t>
      </w:r>
    </w:p>
    <w:p>
      <w:pPr>
        <w:spacing w:after="0" w:line="23" w:lineRule="exact"/>
        <w:rPr>
          <w:rFonts w:ascii="Times New Roman" w:cs="Times New Roman" w:eastAsia="Times New Roman" w:hAnsi="Times New Roman"/>
          <w:sz w:val="14"/>
          <w:szCs w:val="14"/>
          <w:color w:val="auto"/>
        </w:rPr>
      </w:pPr>
    </w:p>
    <w:p>
      <w:pPr>
        <w:jc w:val="both"/>
        <w:ind w:left="460" w:hanging="455"/>
        <w:spacing w:after="0" w:line="226"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offering, consists of 3,263,060 shares of Class A common stock held by Revolution Growth III, LP, or RG III, and 210,000 shares of Class A common stock issuable upon the exercise of a stock option held by Revolution Growth Management Company, Inc., or RGMC, that is exercisable within 60 days of April 15, 2024. After this offering, consists of 3,660,948 shares of Class A common stock held by RG III and 210,000 shares of Class A common stock issuable upon the exercise of a stock option held by RGMC that is exercisable within 60 days of April 15, 2024. Mr. Leonsis, as a member of the investment committee of the ultimate general partner of RG III and a member of the board of directors of RGMC, may be deemed to share dispositive power over the shares held by RG III and RGMC. The address for Mr. Leonsis is 1717 Rhode Island Ave., NW, 10th Floor, Washington, DC 20036.</w:t>
      </w:r>
    </w:p>
    <w:p>
      <w:pPr>
        <w:spacing w:after="0" w:line="29" w:lineRule="exact"/>
        <w:rPr>
          <w:rFonts w:ascii="Times New Roman" w:cs="Times New Roman" w:eastAsia="Times New Roman" w:hAnsi="Times New Roman"/>
          <w:sz w:val="14"/>
          <w:szCs w:val="14"/>
          <w:color w:val="auto"/>
        </w:rPr>
      </w:pPr>
    </w:p>
    <w:p>
      <w:pPr>
        <w:ind w:left="460" w:hanging="455"/>
        <w:spacing w:after="0" w:line="247"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16,250 shares of Class A common stock issuable upon settlement of RSUs held by Dr. West for which the service-based vesting condition would be satisfied within 60 days of April 15, 2024.</w:t>
      </w:r>
    </w:p>
    <w:p>
      <w:pPr>
        <w:spacing w:after="0" w:line="23" w:lineRule="exact"/>
        <w:rPr>
          <w:rFonts w:ascii="Times New Roman" w:cs="Times New Roman" w:eastAsia="Times New Roman" w:hAnsi="Times New Roman"/>
          <w:sz w:val="14"/>
          <w:szCs w:val="14"/>
          <w:color w:val="auto"/>
        </w:rPr>
      </w:pPr>
    </w:p>
    <w:p>
      <w:pPr>
        <w:jc w:val="both"/>
        <w:ind w:left="460" w:hanging="455"/>
        <w:spacing w:after="0" w:line="224"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this offering, consists of (a) 51,119,947 shares of Class A common stock, (b) 5,374,899 shares of Class B common stock, (c) 210,000 shares of Class A common stock issuable upon the exercise of a stock option that is exercisable within 60 days of April 15, 2024 and (d) 5,303,573 shares of Class A common stock issuable upon the settlement of RSUs for which the service-based vesting condition would be satisfied within 60 days of April 15, 2024. After this offering, consists of (a) 49,443,032 shares of Class A common stock, (b) 5,043,789 shares of Class B common stock, (c) 210,000 shares of Class A common stock issuable upon the exercise of a stock option that is exercisable within 60 days of April 15, 2024, (d) 746,177 shares of Class A common stock issuable in the RSU Net Settlement and (e) 3,962,148 shares of Class A common stock issuable upon settlement of RSUs for which the service-based vesting condition would be satisfied within 60 days of April 15, 2024.</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340"/>
          </w:cols>
          <w:pgMar w:left="320" w:top="448" w:right="2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following the closing of this offering. Copies of these documents have been filed with the SEC as exhibits to our registration statement, of which this prospectus forms a part. The descriptions of the common stock and convertible preferred stock reflect changes to our capital structure that will be in effect following the closing of this offering.</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On the closing of this offering, our amended and restated certificate of incorporation will provide for two classes of common stock: Class A common stock and Class B common stock. In addition, our amended and restated certificate of incorporation that will be in effect on the closing of this offering will authorize shares of undesignated preferred stock, the rights, preferences, and privileges of which may be designated from time to time by our board of directors.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the closing of this offering, our authorized capital stock will consist of 1,025,500,000 shares, all with a par value of $0.0001 per share, of which:</w:t>
      </w:r>
    </w:p>
    <w:p>
      <w:pPr>
        <w:spacing w:after="0" w:line="121" w:lineRule="exact"/>
        <w:rPr>
          <w:sz w:val="20"/>
          <w:szCs w:val="20"/>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are designated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 shares are designated Class B common stock;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are designated preferred stock.</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we had outstanding:</w:t>
      </w:r>
    </w:p>
    <w:p>
      <w:pPr>
        <w:spacing w:after="0" w:line="121" w:lineRule="exact"/>
        <w:rPr>
          <w:sz w:val="20"/>
          <w:szCs w:val="20"/>
          <w:color w:val="auto"/>
        </w:rPr>
      </w:pPr>
    </w:p>
    <w:p>
      <w:pPr>
        <w:jc w:val="both"/>
        <w:ind w:left="1000" w:hanging="549"/>
        <w:spacing w:after="0" w:line="285" w:lineRule="auto"/>
        <w:tabs>
          <w:tab w:leader="none" w:pos="10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148,688,821 shares of Class A common stock, which gives effect to (1) the issuance and sale of 3,489,981 shares of Series G-5 convertible preferred stock in April 2024 as if such issuance and sale had occurred on March 31, 2024; (2) the Preferred Stock Conversion, resulting in 66,640,659 shares of Class A common stock; (3) the Additional Class A Conversion Share Issuance resulting in the issuance of 5,093,641 Additional Class A Conversion Shares upon the closing of this offering; (4) the conversion of all outstanding shares of nonvoting common stock into 5,069,477 shares of Class A common stock; (5) the net issuance of 2,660,402 shares of Class A common stock upon the RSU Net Settlement and the issuance of shares of Class A common stock in connection with the Additional RSU Net Settlement; and (6) the Warrant Net Settlement.</w:t>
      </w:r>
    </w:p>
    <w:p>
      <w:pPr>
        <w:spacing w:after="0" w:line="67"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5,043,789 shares of Class B common stock, which assumes the Series B Preferred Conversion and Transfer.</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“Prospectus Summary—The Offering—Additional Class A Conversion Shares” for a description of the Additional Class A Conversion Shares.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outstanding capital stock was held by 92 stockholders of record as of March 31, 2024. Our board of directors is authorized, without stockholder approval except as required by the listing standards of the Nasdaq stock market, to issue additional shares of our capital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Class A common stock is entitled to one vote per share on any matter that is submitted to a vote of our stockholders. Holders of our Class B common stock are entitled to 30 votes per share on any matter submitted to our stockholders. Holders of shares of Class B common stock and Class A common stock will vote together as a</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340"/>
          </w:cols>
          <w:pgMar w:left="320" w:top="448" w:right="2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single class on all matters (including the election of directors) submitted to a vote of stockholders, unless otherwise required by Delaware law or our amended and restated certificate of incorporation.</w:t>
      </w:r>
    </w:p>
    <w:p>
      <w:pPr>
        <w:spacing w:after="0" w:line="17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While the holders of our Class A common stock have waived their right to vote as a separate class as to amendments to our amended and restated certificate of incorporation that would increase or decrease the aggregate number of authorized shares of Class A common stock, they are entitled to the other class protections provided under Delaware law. As a result, in these limited instances, the holders of a majority of the Class A common stock could defeat any amendment to our amended and restated certificate of incorporation. For example, if a proposed amendment of our amended and restated certificate of incorporation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and restated certificate of incorporation.</w:t>
      </w:r>
    </w:p>
    <w:p>
      <w:pPr>
        <w:spacing w:after="0" w:line="37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not provide for cumulative voting for the election of directors.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Economic Rights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Except as otherwise will be expressly provided in our amended and restated certificate of incorporation that will be in effect on the closing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78"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Dividends and Distributions</w:t>
      </w:r>
      <w:r>
        <w:rPr>
          <w:rFonts w:ascii="Times New Roman" w:cs="Times New Roman" w:eastAsia="Times New Roman" w:hAnsi="Times New Roman"/>
          <w:sz w:val="16"/>
          <w:szCs w:val="16"/>
          <w:color w:val="auto"/>
        </w:rPr>
        <w:t>. Subject to preferences that may apply to any shares of preferred stock outstanding at the time, the holders of Class A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52"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On our liquidation, dissolution, or winding-up, the holders of Class A common stock and Class B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8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i w:val="1"/>
          <w:iCs w:val="1"/>
          <w:color w:val="auto"/>
        </w:rPr>
        <w:t>Change of Control Transactions</w:t>
      </w:r>
      <w:r>
        <w:rPr>
          <w:rFonts w:ascii="Times New Roman" w:cs="Times New Roman" w:eastAsia="Times New Roman" w:hAnsi="Times New Roman"/>
          <w:sz w:val="18"/>
          <w:szCs w:val="18"/>
          <w:color w:val="auto"/>
        </w:rPr>
        <w:t>. The holders of Class A common stock and Class B common stock will be treated equally and identically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340"/>
          </w:cols>
          <w:pgMar w:left="320" w:top="448" w:right="2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7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Subdivisions and Combinations</w:t>
      </w:r>
      <w:r>
        <w:rPr>
          <w:rFonts w:ascii="Times New Roman" w:cs="Times New Roman" w:eastAsia="Times New Roman" w:hAnsi="Times New Roman"/>
          <w:sz w:val="18"/>
          <w:szCs w:val="18"/>
          <w:color w:val="auto"/>
        </w:rPr>
        <w:t>. If we subdivide or combine in any manner outstanding shares of Class A common stock or Class B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the other classes will be subdivided or combined in the same manner.</w:t>
      </w: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After the closing of this offering, on any transfer of shares of Class B common stock, whether or not for value, each such transferred share will automatically convert into one share of Class A common stock, except for certain transfers detailed below and further described in our amended and restated certificate of incorporation that will be in effect following the closing of this offering.</w:t>
      </w:r>
    </w:p>
    <w:p>
      <w:pPr>
        <w:spacing w:after="0" w:line="184"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directly, is controlled by, or is under common control with, the holder of such shares of Class B common stock; (2) the trading day that is no less than 90 days and no more than 150 days following the twenty-year anniversary of the filing of our amended and restated certificate of incorporation, in connection with the closing of this offering; (3) the date on which Mr. Lefkofsky is no longer providing services to us as an executive officer or member of our board of directors; and</w:t>
      </w:r>
    </w:p>
    <w:p>
      <w:pPr>
        <w:spacing w:after="0" w:line="3" w:lineRule="exact"/>
        <w:rPr>
          <w:sz w:val="20"/>
          <w:szCs w:val="20"/>
          <w:color w:val="auto"/>
        </w:rPr>
      </w:pPr>
    </w:p>
    <w:p>
      <w:pPr>
        <w:ind w:firstLine="5"/>
        <w:spacing w:after="0" w:line="247" w:lineRule="auto"/>
        <w:tabs>
          <w:tab w:leader="none" w:pos="25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day that is no less than 90 days and no more than 150 days following the date that Mr. Lefkofsky and his controlled entities hold, in the aggregate, fewer than 10,000,000 shares of our capital stock (as adjusted for stock splits, stock dividends, combinations, subdivisions and recapitalizations).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connection with this offering, our legal counsel will opine that the shares of our Class A common stock to be issued under this offering will be fully paid and non-assessable.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Under the amended and restated Note, or the Amended Note, the outstanding principal amount accrues interest at the rate set forth therein, and the principal amount is automatically reduced each year based on a formula taking into account the aggregate value of the Google Cloud Platform services used by us. As of March 31, 2024, the value of the Amended Note was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340"/>
          </w:cols>
          <w:pgMar w:left="320" w:top="448" w:right="2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$186.7 million. The outstanding principal and accrued interest under the Note, or the Outstanding Amount, is due and payable on the earlier of (1) March 22, 2026, which is the maturity date of the Amended Note, (2) the occurrence and continuance of an event of default and (3) the occurrence of an acceleration event, which includes any termination by us of our Google Cloud Platform agreement. 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 We generally may not prepay the Outstanding Amount, except that we may, at our option, prepay the Outstanding Amount in an amount such that the principal amount remaining outstanding after such repayment is $150 million.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In November 2021, in connection with our entry into an MSA with AstraZeneca, we issued a warrant to AstraZeneca to purchase $100 million in shares of our Class A common stock at an exercise price equal to the initial public offering price in this offering. The number of shares of Class A common stock issuable upon exercise of the warrant will be 2,702,703, based on the initial public offering price of $37.00 per share. The warrant may be 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The warrant will be automatically cancelled and terminated for no consideration, if not previously exercised, in the event AstraZeneca declines to extend its financial commitment under the MSA before December 31, 2024, as more fully described in the section of this prospectus titled “Business—Operations—Our Strategic Collaboration—AstraZeneca Master Services Agreement.”</w:t>
      </w:r>
    </w:p>
    <w:p>
      <w:pPr>
        <w:spacing w:after="0" w:line="16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December 2023, in connection with our entry into a letter agreement with Allen for certain financial advisory services provided by Allen to us, we issued, as compensation for such services, a warrant to Allen to purchase up to 150,000 shares of our Class A common stock at an exercise price of $10.00 per share, subject to adjustments provided therein. Pursuant to the Warrant Net Exercise, Allen will receive 109,459 shares of Class A common stock following this offering.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of March 31, 2024, there were 67,093,065 shares of our convertible preferred stock outstanding (including 3,489,981 shares of Series G-5 convertible preferred stock issued in April 2024). Upon the closing of this offering, each outstanding share of our convertible preferred, other than our Series B convertible preferred stock, will convert into one share of our Class A common stock, and each outstanding share of our Series B convertible preferred stock will convert into one share of our Class B common stock. In addition, upon the closing of this offering, we expect to issue 5,093,641 additional shares of Class A common stock upon the conversion of all of our outstanding shares of our preferred stock, pursuant to provisions of our certificate of incorporation as currently in effect, which we refer to as the Additional Class A Conversion Shares. See “Prospectus Summary—The Offering—Additional Class A Conversion Shares” for additional information.</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that will be in effect on the closing of this offering, our board of directors may, without further action by our stockholders (except as noted below), fix the rights, preferences, privileges, and restrictions of up to an aggregate of 20,000,000 shares of preferred stock in one or more series and authorize their issuance. Notwithstanding the foregoing, so long as any shares of Class B common stock remain outstanding, no shares of preferred stock with voting rights equal or superior to those of the Class B common stock may be issued without the approval of the holders of a majority of the outstanding shares of Class B common stock. These rights, preferences, and privileges could include dividend rights, conversion rights, voting rights, terms of redemption, liquidation preferences, and the number of shares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340"/>
          </w:cols>
          <w:pgMar w:left="320" w:top="448" w:right="2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constituting any series or the designation of such series, any or all of which may be greater than the rights of our Class A common stock or Class B common stock. Any issuance of our preferred stock could adversely affect the voting power of holders of our Class A common stock or Class B common stock, and the likelihood that such holders would receive dividend payments and payments on liquidation. In addition, the issuance of preferred stock could have the effect of delaying, deferring, or preventing a change of control or other corporate action. On the closing of this offering, no shares of preferred stock will be outstanding. We have no present plan to issue any shares of preferred stock.</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we had outstanding a stock option to purchase 210,000 shares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we had outstanding 20,793,305 RSUs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Performance-Vesting Restricted Stock Units (PSUs)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we had no outstanding PSUs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Registration Rights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are party to an investor rights agreement that provides that certain holders of our convertible preferred stock, including certain holders of at least 5% of our capital stock and entities affiliated with certain of our directors, have certain registration rights, as set forth below. This investor rights agreement was entered into in April 2024. The registration of shares of our Class A common stock (including shares of Class A common stock issuable upon conversion of Class B common stock, along with all Additional Class A Conversion Shares)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forms a part, or with respect to any particular stockholder, such time after the effective date of the registration statement that such stockholder (a) holds less than 1% of our outstanding common stock (including shares issuable on conversion of outstanding convertible preferred stock) and (b) can sell all of its shares under Rule 144 of the Securities Act, or Rule 144, during any 90-day period.</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“Prospectus Summary—The Offering—Additional Class A Conversion Shares” for a description of the Additional Class A Conversion Shares.</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1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holders of an aggregate of 135,146,050 shares of our Class A common stock and Class B common stock (assuming the issuance of the Additional Class A Conversion Shares) will be entitled to certain demand registration rights. At any time beginning six months after the effective date of this registration statement, the holders of a majority of these shares may, on not more than two occasions, request that we register all or a portion of their shares. Such request for registration must cover shares with an anticipated aggregate offering price, net of underwriting discounts and commissions, of at least $15.0 million.</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340"/>
          </w:cols>
          <w:pgMar w:left="320" w:top="448" w:right="2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connection with this offering, the holders of an aggregate of 135,146,050 shares of our Class A common stock and Class B common stock (after giving effect to the issuance of Series G-5 preferred stock in April 2024 and assuming the issuance of the Additional Class A Conversion Shares) were entitled to, and the necessary percentage of holders waived, their rights to notice of this offering and to include their shares of registrable securities in this offering. After this offering, in the event that we propose to, subject to limited exceptions,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holders of an aggregate of at least 20% of the then outstanding shares of Class A common stock and Class B common stock (assuming the issuance of the Additional Class A Conversion Shares) will be entitled to certain Form S-3 registration rights. The holders of an aggregate of at least 20% of these shares can make a request that we register their shares on Form S-3 if we are qualified to file a registration statement on Form S-3 and if the reasonably anticipated aggregate gross proceeds of the shares offered would equal or exceed $1.0 million. We will not be required to effect more than two registrations on Form S-3 within any 12-month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to Be in Effect on the Closing of this Offering</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closing of this offering will provide for stockholder actions at a duly called meeting of stockholders or, so long as any shares of Class B common stock remain outstanding, by written consent. A special meeting of stockholders may be called by a majority of our board of directors, the chair of our board of directors, our chief executive officer, or, so long as any shares of Class B common stock remain outstanding, by our secretary upon written consent of our stockholders entitled to cast at least a majority of the votes at such meeting. Our amended and restated bylaws to be effective on the closing of this offering will establish an advance notice procedure for stockholder proposals to be brought before an annual meeting of our stockholders, including proposed nominations of persons for election to our board of directors.</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further provide for a dual-class common stock structure, which provides Eric Lefkofsky, our Chief Executive Officer, Founder, and Chairman, who will beneficially own 100% of our outstanding Class B common stock, with control over all matters requiring stockholder approval, including the election of directors and significant corporate transactions, such as a merger or other sale of our company or its assets. Additionally, so long as any shares of Class B common stock remain outstanding, a majority vote of the outstanding Class B common stock is required to (1) amend, alter, or repeal any provision of the certificate of incorporation or bylaws in a manner that impacts the rights of the holders of the Class B common stock, (2) reclassify any outstanding shares of Class A common stock into shares having (a) dividend or liquidation rights that are senior to the Class B common stock or (b) the right to more than one vote per share, (3) issue any shares of preferred stock having voting rights equal or superior to those of the Class B common stock, and (4) issue any additional shares of Class B common stock or other securities convertible into Class B common stock (except for the issuance of Class B common stock issuable upon a dividend under certain circumstances).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340"/>
          </w:cols>
          <w:pgMar w:left="320" w:top="448" w:right="2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convertible preferred stock makes it possible for our board of directors to issue convertible preferred stock with voting or other rights or preferences that could impede the success of any attempt to change our control.</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These provisions, including the dual-class structure of our common stock, are intended to preserve our existing control structure after the closing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provide that the Court of Chancery of the State of Delaware be the exclusive forum for actions or proceedings brought under Delaware statutory or common law: (1) any derivative claim or cause of action brought on our behalf; (2) any claim or cause of action asserting a breach of fiduciary duty; (3) any claim or cause of action against us arising under the Delaware General Corporation Law; (4) any claim or cause of action arising under or seeking to interpret our amended and restated certificate of incorporation or our amended and restated bylaws; or (5) any claim or cause of action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Investors cannot waive compliance with the federal securities laws and the rules and regulations thereunder.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section titled “Executive Compensation—Limitations of Liability and Indemnification Matters.”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340"/>
          </w:cols>
          <w:pgMar w:left="320" w:top="448" w:right="2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is currently not listed on any securities exchange. Our Class A common stock has been approved for listing on the Nasdaq Global Select Market under the symbol “TEM.”</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the closing of this offering, the transfer agent and registrar for our Class A common stock and Class B common stock will be Equiniti Trust Company, LLC (formerly known as American Stock Transfer &amp; Trust Company, LLC). The transfer agent’s address is 55 Challenger Road, Ridgefield Park, New Jersey 07660.</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340"/>
          </w:cols>
          <w:pgMar w:left="320" w:top="448" w:right="2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15"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our Class A common stock. Future sales of substantial amounts of our Class A common stock or Class B common stock, including shares issued on the settlement of outstanding RSUs, in the public market after this offering, or the possibility of these sales or issuances occurring, could adversely affect the prevailing market price for our Class A common stock or impair our ability to raise equity capital.</w:t>
      </w:r>
    </w:p>
    <w:p>
      <w:pPr>
        <w:spacing w:after="0" w:line="14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Upon the closing of this offering, a total of 159,788,821 shares of Class A common stock and 5,043,789 shares of Class B common stock will be outstanding, assuming (i) the Series B Preferred Stock Conversion and Transfer resulting in 5,043,789 shares of Class B common stock outstanding immediately following the consummation of this offering, (ii) the issuance and sale of 3,489,981 shares of Series G-5 convertible preferred stock in April 2024 as if such issuance and sale had occurred on March 31, 2024, (iii) the Preferred Stock Conversion, (iv) the Additional Class A Conversion Share Issuance resulting in 5,093,641 Additional Class A Conversion Shares, (v) the automatic conversion of all outstanding shares of our nonvoting common stock into 5,069,477 shares of Class A common stock, and (vi) the net issuance of 2,660,402 shares of Class A common stock upon the RSU Net Settlement. Of these shares, all of the Class A common stock sold in this offering by us, plus any shares sold by us on exercise of the underwriters’ option to purchase additional Class A common stock to cover over-allotments, if any, will be freely tradable in the public market without restriction or further registration under the Securities Act, unless these shares are held by “affiliates,” as that term is defined in Rule 144.</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there were 210,000 shares of Class A common stock issuable upon the exercise of a stock option outstanding as of March 31, 2024 and we intend to register all of the shares of Class A common stock issued upon the exercise of the outstanding option, settlement of outstanding RSUs and other equity incentives we may grant in the future for resale under the Securities Act.</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AstraZeneca also holds an outstanding warrant, pursuant to which AstraZeneca has the right to purchase $100 million in shares of our Class A common stock at an exercise price equal to the public offering price in this offering. The shares of Class A common stock will become eligible for sale in the public market to the extent such warrant is exercised, subject to the market standoff provisions included in such agreement and described in the section titled “Underwriting” and compliance with applicable securities laws. In addition, pursuant to the Warrant Net Exercise, Allen, an underwriter in this offering, will receive 109,459 shares of Class A common stock following this offering. The shares of Class A common stock issued pursuant to the Warrant Net Exercise will become eligible for sale in the public market, subject to the market standoff provision contained in the Allen warrant agreement and described in the section titled “Underwriting” and compliance with applicable securities laws.</w:t>
      </w:r>
    </w:p>
    <w:p>
      <w:pPr>
        <w:spacing w:after="0" w:line="189"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remaining shares of Class A common stock and Class B common stock will be, and shares of Class A common stock issued on settlement of RSUs or exercise of options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340"/>
          </w:cols>
          <w:pgMar w:left="320" w:top="448" w:right="2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Subject to the lock-up and market standoff agreements described below and the provisions of Rule 144 or 701 or Regulation S under the Securities Act, as well as our insider trading policy, these restricted securities will be available for sale in the public market as follows:</w:t>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Earliest Date Available for Sale in the Public Market</w:t>
      </w:r>
    </w:p>
    <w:p>
      <w:pPr>
        <w:spacing w:after="0" w:line="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the closing price of our Class A common stock on The Nasdaq Stock Market LLC is at least 30% greater than the initial public offering price per share set forth on the cover page of this prospectus for (i) any 10 trading days (which need not be consecutive trading days) during the period ending on, and including, the date that we publicly announce our earnings for the first completed quarterly period following the most recent period for which financial statements are included in this prospectus, or the Initial Earnings Release, and (ii) any one trading day following the Initial Earnings Release, then the later of (a) the date on which the conditions set forth in both (i) and (ii) above are satisfied and (b) two trading days following our Initial Earnings Release.</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180 days after the date of this prospectus unless such date falls within one of our quarterly blackout periods under our insider trading policy, in which case the restricted period will expire on the date that is the later of (i) 10 trading days prior to the date such blackout period begins and (ii) the 150th day after the date of this prospectus.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Number of Shares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49,449,783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25876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587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All remaining shares held by our stockholders not previously eligible for sale, subject to applicable limitations under Rule 144, including for “affiliates” and compliance with other applicable law, as described below.</w:t>
      </w:r>
    </w:p>
    <w:p>
      <w:pPr>
        <w:spacing w:after="0" w:line="152" w:lineRule="exact"/>
        <w:rPr>
          <w:sz w:val="20"/>
          <w:szCs w:val="20"/>
          <w:color w:val="auto"/>
        </w:rPr>
      </w:pPr>
    </w:p>
    <w:p>
      <w:pPr>
        <w:sectPr>
          <w:pgSz w:w="11900" w:h="16838" w:orient="portrait"/>
          <w:cols w:equalWidth="0" w:num="2">
            <w:col w:w="7040" w:space="220"/>
            <w:col w:w="4080"/>
          </w:cols>
          <w:pgMar w:left="320" w:top="448" w:right="239" w:bottom="1440" w:gutter="0" w:footer="0" w:header="0"/>
          <w:type w:val="continuous"/>
        </w:sect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certain exceptions in the lock-up agreements and because of our ability to release RSU holders early under the market standoff agreements, certain shares of our Class A common stock may be sold in the open market by our employees, including our Chief Executive Officer, during the restricted period described above in sell-to-cover transactions in order to satisfy tax withholding obligations in connection with the settlement of RSUs for shares of our Class A common stock as follows:</w:t>
      </w:r>
    </w:p>
    <w:p>
      <w:pPr>
        <w:sectPr>
          <w:pgSz w:w="11900" w:h="16838" w:orient="portrait"/>
          <w:cols w:equalWidth="0" w:num="1">
            <w:col w:w="11340"/>
          </w:cols>
          <w:pgMar w:left="320" w:top="44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u w:val="single" w:color="auto"/>
          <w:color w:val="auto"/>
        </w:rPr>
        <w:t>Date First Available for Sale into the Market</w:t>
      </w:r>
    </w:p>
    <w:p>
      <w:pPr>
        <w:spacing w:after="0" w:line="2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91 days after the date of this prospectus (or the next trading day if such date is not a trading day)</w:t>
      </w:r>
    </w:p>
    <w:p>
      <w:pPr>
        <w:spacing w:after="0" w:line="16"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color w:val="auto"/>
        </w:rPr>
        <w:t>120 days after the date of this prospectus (or the next trading day if such date is not a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9184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Pr>
          <w:p>
            <w:pPr>
              <w:spacing w:after="0"/>
              <w:rPr>
                <w:sz w:val="18"/>
                <w:szCs w:val="18"/>
                <w:color w:val="auto"/>
              </w:rPr>
            </w:pPr>
          </w:p>
        </w:tc>
        <w:tc>
          <w:tcPr>
            <w:tcW w:w="2640" w:type="dxa"/>
            <w:vAlign w:val="bottom"/>
            <w:gridSpan w:val="2"/>
          </w:tcPr>
          <w:p>
            <w:pPr>
              <w:jc w:val="center"/>
              <w:ind w:left="912"/>
              <w:spacing w:after="0"/>
              <w:rPr>
                <w:sz w:val="20"/>
                <w:szCs w:val="20"/>
                <w:color w:val="auto"/>
              </w:rPr>
            </w:pPr>
            <w:r>
              <w:rPr>
                <w:rFonts w:ascii="Times New Roman" w:cs="Times New Roman" w:eastAsia="Times New Roman" w:hAnsi="Times New Roman"/>
                <w:sz w:val="18"/>
                <w:szCs w:val="18"/>
                <w:b w:val="1"/>
                <w:bCs w:val="1"/>
                <w:color w:val="auto"/>
                <w:w w:val="96"/>
              </w:rPr>
              <w:t>Approximate Number</w:t>
            </w:r>
          </w:p>
        </w:tc>
      </w:tr>
      <w:tr>
        <w:trPr>
          <w:trHeight w:val="210"/>
        </w:trPr>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 Shares of Class A</w:t>
            </w:r>
          </w:p>
        </w:tc>
      </w:tr>
      <w:tr>
        <w:trPr>
          <w:trHeight w:val="210"/>
        </w:trPr>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Common Stock</w:t>
            </w:r>
          </w:p>
        </w:tc>
      </w:tr>
      <w:tr>
        <w:trPr>
          <w:trHeight w:val="210"/>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Number of RSUs</w:t>
            </w:r>
          </w:p>
        </w:tc>
        <w:tc>
          <w:tcPr>
            <w:tcW w:w="10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Expected to be Sold</w:t>
            </w:r>
          </w:p>
        </w:tc>
      </w:tr>
      <w:tr>
        <w:trPr>
          <w:trHeight w:val="21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Expected to</w:t>
            </w:r>
          </w:p>
        </w:tc>
        <w:tc>
          <w:tcPr>
            <w:tcW w:w="10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 Sell-to-Cover</w:t>
            </w:r>
          </w:p>
        </w:tc>
      </w:tr>
      <w:tr>
        <w:trPr>
          <w:trHeight w:val="230"/>
        </w:trPr>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Settle</w:t>
            </w:r>
          </w:p>
        </w:tc>
        <w:tc>
          <w:tcPr>
            <w:tcW w:w="100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Transactions</w:t>
            </w:r>
            <w:r>
              <w:rPr>
                <w:rFonts w:ascii="Times New Roman" w:cs="Times New Roman" w:eastAsia="Times New Roman" w:hAnsi="Times New Roman"/>
                <w:sz w:val="18"/>
                <w:szCs w:val="18"/>
                <w:color w:val="auto"/>
                <w:w w:val="92"/>
                <w:vertAlign w:val="superscript"/>
              </w:rPr>
              <w:t>(1)</w:t>
            </w:r>
          </w:p>
        </w:tc>
      </w:tr>
      <w:tr>
        <w:trPr>
          <w:trHeight w:val="22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5,373,611</w:t>
            </w:r>
          </w:p>
        </w:tc>
        <w:tc>
          <w:tcPr>
            <w:tcW w:w="1000" w:type="dxa"/>
            <w:vAlign w:val="bottom"/>
          </w:tcPr>
          <w:p>
            <w:pPr>
              <w:spacing w:after="0"/>
              <w:rPr>
                <w:sz w:val="19"/>
                <w:szCs w:val="19"/>
                <w:color w:val="auto"/>
              </w:rPr>
            </w:pPr>
          </w:p>
        </w:tc>
        <w:tc>
          <w:tcPr>
            <w:tcW w:w="16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94"/>
              </w:rPr>
              <w:t>2,246,748</w:t>
            </w:r>
          </w:p>
        </w:tc>
      </w:tr>
      <w:tr>
        <w:trPr>
          <w:trHeight w:val="44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5,373,611</w:t>
            </w:r>
          </w:p>
        </w:tc>
        <w:tc>
          <w:tcPr>
            <w:tcW w:w="2640" w:type="dxa"/>
            <w:vAlign w:val="bottom"/>
            <w:gridSpan w:val="2"/>
          </w:tcPr>
          <w:p>
            <w:pPr>
              <w:jc w:val="right"/>
              <w:ind w:right="852"/>
              <w:spacing w:after="0"/>
              <w:rPr>
                <w:sz w:val="20"/>
                <w:szCs w:val="20"/>
                <w:color w:val="auto"/>
              </w:rPr>
            </w:pPr>
            <w:r>
              <w:rPr>
                <w:rFonts w:ascii="Times New Roman" w:cs="Times New Roman" w:eastAsia="Times New Roman" w:hAnsi="Times New Roman"/>
                <w:sz w:val="18"/>
                <w:szCs w:val="18"/>
                <w:color w:val="auto"/>
              </w:rPr>
              <w:t>2,246,748</w:t>
            </w:r>
          </w:p>
        </w:tc>
      </w:tr>
    </w:tbl>
    <w:p>
      <w:pPr>
        <w:spacing w:after="0" w:line="388" w:lineRule="exact"/>
        <w:rPr>
          <w:sz w:val="20"/>
          <w:szCs w:val="20"/>
          <w:color w:val="auto"/>
        </w:rPr>
      </w:pPr>
    </w:p>
    <w:p>
      <w:pPr>
        <w:sectPr>
          <w:pgSz w:w="11900" w:h="16838" w:orient="portrait"/>
          <w:cols w:equalWidth="0" w:num="2">
            <w:col w:w="6720" w:space="720"/>
            <w:col w:w="3900"/>
          </w:cols>
          <w:pgMar w:left="320" w:top="448" w:right="239" w:bottom="1440" w:gutter="0" w:footer="0" w:header="0"/>
          <w:type w:val="continuous"/>
        </w:sectPr>
      </w:pPr>
    </w:p>
    <w:p>
      <w:pPr>
        <w:ind w:left="460" w:hanging="455"/>
        <w:spacing w:after="0" w:line="207" w:lineRule="auto"/>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an estimated 42% tax rate. Includes an estimated approximately 807,188 shares that may be sold on or after each of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date of this prospectus in respect of settlement of RSUs held by our Chief Executive Officer.</w:t>
      </w:r>
    </w:p>
    <w:p>
      <w:pPr>
        <w:spacing w:after="0" w:line="19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dates and numbers above are estimates. We expect each settlement and sell-to-cover transaction to extend over a multi-day period based on trading volumes. Because the purpose of sell-to-cover transactions is to generate proceeds sufficient to satisfy tax withholding obligations, the exact number of shares sold will depend on the sale prices of the Class A common stock in such transactions and our stockholders’ personal tax rates. In addition, if additional net settlement transactions occur on or prior to the dates set forth above, the number of shares of Class A common stock to be sold in each sell-to-cover transaction will be reduced proportionally.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340"/>
          </w:cols>
          <w:pgMar w:left="320" w:top="448" w:right="239" w:bottom="1440" w:gutter="0" w:footer="0" w:header="0"/>
          <w:type w:val="continuous"/>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and market standoff agreements described below.</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 after the date of this prospectus, within any three-month period, such stockholders may sell a number of shares that does not exceed the greater of:</w:t>
      </w:r>
    </w:p>
    <w:p>
      <w:pPr>
        <w:spacing w:after="0" w:line="92" w:lineRule="exact"/>
        <w:rPr>
          <w:sz w:val="20"/>
          <w:szCs w:val="20"/>
          <w:color w:val="auto"/>
        </w:rPr>
      </w:pPr>
    </w:p>
    <w:p>
      <w:pPr>
        <w:ind w:left="1000" w:hanging="549"/>
        <w:spacing w:after="0" w:line="267"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Class A common stock then outstanding, which will equal approximately 1,597,888 shares immediately after this offering; or</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on the Nasdaq Stock Market during the four calendar weeks preceding the filing of a notice on Form 144 with respect to such sale.</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and market standoff agreements described below.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with the SEC to register the offer and sale of shares of our Class A common stock that are issuable under the 2015 Plan, the 2024 Plan and the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and Market Standoff Agreements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all of our directors, executive officers, and the holders of substantially all of our common stock and securities exercisable for or convertible into our common stock outstanding immediately prior to the closing of this offering (except for the RSUs previously issued to our employees other than our executive officers, including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340"/>
          </w:cols>
          <w:pgMar w:left="320" w:top="448" w:right="2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the RSUs that will settle in connection with the RSU Net Settlement or the Additional RSU Settlement and the warrants issued to Allen and AstraZeneca), have agreed with the underwriters that, until 180 days (or, subject to certain conditions described in the section titled “Underwriting,” a shorter period) after the date of this prospectus, or the restricted period, we and they will not, without the prior written consent of Morgan Stanley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In addition, the restricted period may be shortened with respect to a portion of the locked-up securities under certain circumstances and the lock-up agreements are subject to a number of important exceptions, all of which are described in the section titled “Underwriting”. Morgan Stanley &amp; Co. LLC and J.P. Morgan Securities LLC may release any of the securities subject to these lock-up agreements at any time, subject to applicable notice requirements. In addition to the restrictions contained in the lock-up agreements, we have entered into market standoff agreements with substantially all of our RSU holders, including the holders of RSUs that will settle in connection with the RSU Net Settlement and the Additional RSU Settlement, imposing restrictions on the ability of such security holders to offer, sell, contract to sell, pledge, hypothecate, grant any option to purchase or make any short sale of, or otherwise dispose of any shares of our common stock or any rights to acquire our common stock during the restricted period, subject to earlier release at any time by us.</w:t>
      </w:r>
    </w:p>
    <w:p>
      <w:pPr>
        <w:spacing w:after="0" w:line="378"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described above, we have entered into agreements with all of our RSU holders that contain market standoff provisions imposing restrictions on the ability of such security holders to offer, sell or transfer our equity securities for a period of 180 days following the date of this prospectus. If not earlier released, all of the shares of Class A common stock not sold in this offering will become eligible for sale upon expiration of the restricted period, except for any shares held by our affiliates as defined in Rule 144.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Upon the closing of this offering, the holders of an aggregate of 135,574,005 shares of our Class A common stock and Class B common stock, or their transferees,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340"/>
          </w:cols>
          <w:pgMar w:left="320" w:top="448" w:right="2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 OF OUR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0" w:lineRule="exact"/>
        <w:rPr>
          <w:sz w:val="20"/>
          <w:szCs w:val="20"/>
          <w:color w:val="auto"/>
        </w:rPr>
      </w:pPr>
    </w:p>
    <w:p>
      <w:pPr>
        <w:jc w:val="both"/>
        <w:ind w:firstLine="454"/>
        <w:spacing w:after="0" w:line="244"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consequences to Non-U.S. Holders (as defined below) of the ownership, and disposition of our Class A common stock acquired in this offering. This discussion is not a complete analysis of all potential U.S. federal income tax consequences relating thereto, and does not address non-U.S., state, and local tax consequences that may be relevant to Non-U.S. Holders in light of their particular circumstances, nor does it address U.S. federal tax consequences (such as gift and estate taxes) other than income taxes. 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the special tax accounting rules under Section 451(b) of the Code (as defined below) and the Medicare contribution tax on net investment income.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Internal Revenue Code, of 1986, as amended or the Code, and Treasury Regulations, administrative announcements and rulings of the Internal Revenue Service, or the IRS, and judicial decisions thereunder as of the date hereof, and such authorities may be repealed, revoked, or modified, perhaps retroactively, so as to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w:t>
      </w:r>
    </w:p>
    <w:p>
      <w:pPr>
        <w:spacing w:after="0" w:line="20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Persons considering the purchase of our Class A common stock pursuant to this offering should consult their own tax advisors concerning the U.S. federal income, estate, and other tax consequences of acquiring, owning, and disposing of our Class A common stock in light of their particular situations as well as any consequences arising under the laws of any other taxing jurisdiction, including any state, local, or non-U.S. tax consequences.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discussion, a “Non-U.S. Holder” is, for U.S. federal income tax purposes, a beneficial owner of Class A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w:t>
      </w:r>
    </w:p>
    <w:p>
      <w:pPr>
        <w:spacing w:after="0" w:line="89" w:lineRule="exact"/>
        <w:rPr>
          <w:sz w:val="20"/>
          <w:szCs w:val="20"/>
          <w:color w:val="auto"/>
        </w:rPr>
      </w:pPr>
    </w:p>
    <w:p>
      <w:pPr>
        <w:ind w:left="1000" w:hanging="549"/>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340"/>
          </w:cols>
          <w:pgMar w:left="320" w:top="448" w:right="2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Distributions, if any, made on our Class A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and/or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and/or our paying agent, either directly or through other intermediaries. If a Non-U.S. Holder is eligible for a reduced rate of U.S. federal withholding tax under an income tax treaty and such Non-U.S. Holder does not timely file the required certification, such Non-U.S. Holder may be able to obtain a refund or credit of any excess amounts withheld by timely filing an appropriate claim for a refund with the IRS.</w:t>
      </w:r>
    </w:p>
    <w:p>
      <w:pPr>
        <w:spacing w:after="0" w:line="19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Holders.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Class A common stock as described in the next section.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Class A Common Stock</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foreign accounts, a Non-U.S. Holder generally will not be subject to U.S. federal income tax with respect to gain realized on a sale or other taxable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Class A common stock. In general, we would be a United States real property holding corporation if our interests in U.S. real property comprise (by fair market value) at least half of our worldwide real property interests and our other assets used or held for use in a trade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340"/>
          </w:cols>
          <w:pgMar w:left="320" w:top="448" w:right="2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business. We believe that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and (2) our Class A common stock is regularly traded on an established securities market, as defined in applicable Treasury Regulations. There can be no assurance that our Class A common stock will qualify as regularly traded on an established securities market. If a Non-U.S. Holder’s gain on disposition of our Class A common stock is taxable because we are a United States real property holding corporation and such Non-U.S. Holder’s ownership of our Class A common stock exceeds 5%, such Non-U.S. Holder will be taxed on such disposition generally in the manner as gain that is effectively connected with the conduct of a U.S. trade or business (subject to the provisions under an applicable income tax treaty), except that the branch profits tax generally will not apply to a corporate Non-U.S. Holder.</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Non-U.S. Holders described in (a) above will be required to pay tax on the net gain derived from the sale at regular U.S. federal income tax rates applicable to U.S. Holders, and corporate Non-U.S. Holders described in (a) above may be subject to the additional branch profits tax on such gain at a 30% rate or such lower rate as may be specified by an applicable income tax treaty. Gain described in (b) above will be subject to U.S. federal income tax at a flat 30% rate, which gain may be offset by certain U.S.-source capital losses (even though a Non-U.S. Holder is not considered a resident of the United States), provided that the Non-U.S. Holder has timely filed U.S. federal income tax returns with respect to such losses.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Generally, we must report information to the IRS with respect to any distributions we pay on our Class A common stock (even if the payments are exempt from withholding),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U.S. information reporting and backup withholding requirements generally will apply to the proceeds of a disposition of our Class A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340"/>
          </w:cols>
          <w:pgMar w:left="320" w:top="448" w:right="2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Sections 1471 through 1474 of the Code (commonly referred to as FATCA) impose a U.S. federal withholding tax of 30% on certain payments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w:t>
      </w:r>
    </w:p>
    <w:p>
      <w:pPr>
        <w:spacing w:after="0" w:line="16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FATCA withholding currently applies to payments of dividends, if any, on our Class A common stock and, subject to the proposed Treasury Regulations described in this paragraph, generally also would apply to payments of gross proceeds from the sale or other disposition of our Class A common stock. The U.S. Treasury Department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185"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OWN TAX ADVISOR REGARDING THE TAX CONSEQUENCES OF ACQUIRING, OWNING, AND DISPOSING OF OUR CLASS A COMMON STOCK, INCLUDING THE CONSEQUENCES OF ANY RECENT OR PROPOSED CHANGE IN APPLICABLE LAW FROM ALL FEDERAL, STATE, ESTATE, AND GIFT TAX PERSPECTIVES.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340"/>
          </w:cols>
          <w:pgMar w:left="320" w:top="448" w:right="2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J.P. Morgan Securities LLC and Allen &amp; Company LLC are acting as representatives, have severally agreed to purchase, and we have agreed to sell to them, severally, the number of shares of Class A common stock indicated below:</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18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7800" w:type="dxa"/>
            <w:vAlign w:val="bottom"/>
          </w:tcPr>
          <w:p>
            <w:pPr>
              <w:spacing w:after="0"/>
              <w:rPr>
                <w:sz w:val="16"/>
                <w:szCs w:val="16"/>
                <w:color w:val="auto"/>
              </w:rPr>
            </w:pPr>
          </w:p>
        </w:tc>
        <w:tc>
          <w:tcPr>
            <w:tcW w:w="14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96"/>
        </w:trPr>
        <w:tc>
          <w:tcPr>
            <w:tcW w:w="81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Morgan Stanley &amp; Co. LLC</w:t>
            </w:r>
          </w:p>
        </w:tc>
        <w:tc>
          <w:tcPr>
            <w:tcW w:w="3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3,330,000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0"/>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3,330,000</w:t>
            </w:r>
          </w:p>
        </w:tc>
        <w:tc>
          <w:tcPr>
            <w:tcW w:w="40" w:type="dxa"/>
            <w:vAlign w:val="bottom"/>
          </w:tcPr>
          <w:p>
            <w:pPr>
              <w:spacing w:after="0"/>
              <w:rPr>
                <w:sz w:val="18"/>
                <w:szCs w:val="18"/>
                <w:color w:val="auto"/>
              </w:rPr>
            </w:pPr>
          </w:p>
        </w:tc>
      </w:tr>
      <w:tr>
        <w:trPr>
          <w:trHeight w:val="210"/>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Allen &amp; Company LLC</w:t>
            </w: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1,332,000</w:t>
            </w:r>
          </w:p>
        </w:tc>
        <w:tc>
          <w:tcPr>
            <w:tcW w:w="40" w:type="dxa"/>
            <w:vAlign w:val="bottom"/>
            <w:shd w:val="clear" w:color="auto" w:fill="CCEEFF"/>
          </w:tcPr>
          <w:p>
            <w:pPr>
              <w:spacing w:after="0"/>
              <w:rPr>
                <w:sz w:val="18"/>
                <w:szCs w:val="18"/>
                <w:color w:val="auto"/>
              </w:rPr>
            </w:pPr>
          </w:p>
        </w:tc>
      </w:tr>
      <w:tr>
        <w:trPr>
          <w:trHeight w:val="210"/>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999,000</w:t>
            </w:r>
          </w:p>
        </w:tc>
        <w:tc>
          <w:tcPr>
            <w:tcW w:w="40" w:type="dxa"/>
            <w:vAlign w:val="bottom"/>
          </w:tcPr>
          <w:p>
            <w:pPr>
              <w:spacing w:after="0"/>
              <w:rPr>
                <w:sz w:val="18"/>
                <w:szCs w:val="18"/>
                <w:color w:val="auto"/>
              </w:rPr>
            </w:pPr>
          </w:p>
        </w:tc>
      </w:tr>
      <w:tr>
        <w:trPr>
          <w:trHeight w:val="210"/>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999,000</w:t>
            </w:r>
          </w:p>
        </w:tc>
        <w:tc>
          <w:tcPr>
            <w:tcW w:w="40" w:type="dxa"/>
            <w:vAlign w:val="bottom"/>
            <w:shd w:val="clear" w:color="auto" w:fill="CCEEFF"/>
          </w:tcPr>
          <w:p>
            <w:pPr>
              <w:spacing w:after="0"/>
              <w:rPr>
                <w:sz w:val="18"/>
                <w:szCs w:val="18"/>
                <w:color w:val="auto"/>
              </w:rPr>
            </w:pPr>
          </w:p>
        </w:tc>
      </w:tr>
      <w:tr>
        <w:trPr>
          <w:trHeight w:val="210"/>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333,000</w:t>
            </w:r>
          </w:p>
        </w:tc>
        <w:tc>
          <w:tcPr>
            <w:tcW w:w="40" w:type="dxa"/>
            <w:vAlign w:val="bottom"/>
          </w:tcPr>
          <w:p>
            <w:pPr>
              <w:spacing w:after="0"/>
              <w:rPr>
                <w:sz w:val="18"/>
                <w:szCs w:val="18"/>
                <w:color w:val="auto"/>
              </w:rPr>
            </w:pPr>
          </w:p>
        </w:tc>
      </w:tr>
      <w:tr>
        <w:trPr>
          <w:trHeight w:val="210"/>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333,000</w:t>
            </w:r>
          </w:p>
        </w:tc>
        <w:tc>
          <w:tcPr>
            <w:tcW w:w="40" w:type="dxa"/>
            <w:vAlign w:val="bottom"/>
            <w:shd w:val="clear" w:color="auto" w:fill="CCEEFF"/>
          </w:tcPr>
          <w:p>
            <w:pPr>
              <w:spacing w:after="0"/>
              <w:rPr>
                <w:sz w:val="18"/>
                <w:szCs w:val="18"/>
                <w:color w:val="auto"/>
              </w:rPr>
            </w:pPr>
          </w:p>
        </w:tc>
      </w:tr>
      <w:tr>
        <w:trPr>
          <w:trHeight w:val="210"/>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222,000</w:t>
            </w:r>
          </w:p>
        </w:tc>
        <w:tc>
          <w:tcPr>
            <w:tcW w:w="40" w:type="dxa"/>
            <w:vAlign w:val="bottom"/>
          </w:tcPr>
          <w:p>
            <w:pPr>
              <w:spacing w:after="0"/>
              <w:rPr>
                <w:sz w:val="18"/>
                <w:szCs w:val="18"/>
                <w:color w:val="auto"/>
              </w:rPr>
            </w:pPr>
          </w:p>
        </w:tc>
      </w:tr>
      <w:tr>
        <w:trPr>
          <w:trHeight w:val="210"/>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222,000</w:t>
            </w:r>
          </w:p>
        </w:tc>
        <w:tc>
          <w:tcPr>
            <w:tcW w:w="4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780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11,100,000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underwriters initially propose to offer part of the shares of Class A common stock directly to the public at the offering price listed on the cover page of this prospectus and part to certain dealers at a price that represents a concession not in excess of $1.554 per share under the initial public offering price. After the initial offering of the shares of Class A common stock, the offering price and other selling terms may from time to time be varied by the representatives.</w:t>
      </w:r>
    </w:p>
    <w:p>
      <w:pPr>
        <w:spacing w:after="0" w:line="14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additional 1,665,000 shares of Class A common stock at the initial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340"/>
          </w:cols>
          <w:pgMar w:left="320" w:top="448" w:right="2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following table shows the per share and total initial public offering price, underwriting discounts and commissions, and proceeds before expenses to us. These amounts are shown assuming both no exercise and full exercise of the underwriters’ option to purchase up to an additional 1,665,000 shares of Class A common stock.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320"/>
              <w:spacing w:after="0" w:line="113" w:lineRule="exact"/>
              <w:rPr>
                <w:sz w:val="20"/>
                <w:szCs w:val="20"/>
                <w:color w:val="auto"/>
              </w:rPr>
            </w:pPr>
            <w:r>
              <w:rPr>
                <w:rFonts w:ascii="Times New Roman" w:cs="Times New Roman" w:eastAsia="Times New Roman" w:hAnsi="Times New Roman"/>
                <w:sz w:val="13"/>
                <w:szCs w:val="13"/>
                <w:b w:val="1"/>
                <w:bCs w:val="1"/>
                <w:color w:val="auto"/>
              </w:rPr>
              <w:t>Per</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Full Exercise</w:t>
            </w: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Initial public offering price</w:t>
            </w:r>
          </w:p>
        </w:tc>
        <w:tc>
          <w:tcPr>
            <w:tcW w:w="1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410,700,000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472,305,000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28,749,000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33,061,350</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381,951,000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439,243,650</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$10.5 million. We have agreed to reimburse the underwriters for expenses relating to clearance of this offering with the Financial Industry Regulatory Authority up to $75,000.</w:t>
      </w:r>
    </w:p>
    <w:p>
      <w:pPr>
        <w:spacing w:after="0" w:line="17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The underwriters have informed us that they do not intend sales to discretionary accounts to exceed 5% of the total number of shares of Class A common stock offered by them. Our Class A common stock has been approved for listing on the Nasdaq Global Select Market under the trading symbol “TEM.”</w:t>
      </w:r>
    </w:p>
    <w:p>
      <w:pPr>
        <w:spacing w:after="0" w:line="123"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or the lock-up securities, or (ii) enter into any swap or other arrangement that transfers to another, in whole or in part, any of the economic consequences of ownership of our common stock, whether any such transaction described in clause (i) or</w:t>
      </w:r>
    </w:p>
    <w:p>
      <w:pPr>
        <w:spacing w:after="0" w:line="3" w:lineRule="exact"/>
        <w:rPr>
          <w:sz w:val="20"/>
          <w:szCs w:val="20"/>
          <w:color w:val="auto"/>
        </w:rPr>
      </w:pPr>
    </w:p>
    <w:p>
      <w:pPr>
        <w:jc w:val="both"/>
        <w:ind w:firstLine="5"/>
        <w:spacing w:after="0" w:line="245" w:lineRule="auto"/>
        <w:tabs>
          <w:tab w:leader="none" w:pos="27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is to be settled by delivery of the lock-up securities, in cash or otherwise, or (iii) file any registration statement with the Securities and Exchange Commission, or the SEC, relating to the offering of any lock-up securities, in each case without the prior written consent of Morgan Stanley &amp; Co. LLC and J.P. Morgan Securities LLC, for a period of 180 days after the date of this prospectus, or the restricted period.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restrictions set forth above applicable to us are subject to specified exceptions, including:</w:t>
      </w:r>
    </w:p>
    <w:p>
      <w:pPr>
        <w:spacing w:after="0" w:line="121" w:lineRule="exact"/>
        <w:rPr>
          <w:sz w:val="20"/>
          <w:szCs w:val="20"/>
          <w:color w:val="auto"/>
        </w:rPr>
      </w:pPr>
    </w:p>
    <w:p>
      <w:pPr>
        <w:ind w:left="1000" w:hanging="424"/>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to be sold hereunder,</w:t>
      </w:r>
    </w:p>
    <w:p>
      <w:pPr>
        <w:spacing w:after="0" w:line="121" w:lineRule="exact"/>
        <w:rPr>
          <w:rFonts w:ascii="Times New Roman" w:cs="Times New Roman" w:eastAsia="Times New Roman" w:hAnsi="Times New Roman"/>
          <w:sz w:val="18"/>
          <w:szCs w:val="18"/>
          <w:color w:val="auto"/>
        </w:rPr>
      </w:pPr>
    </w:p>
    <w:p>
      <w:pPr>
        <w:jc w:val="both"/>
        <w:ind w:left="1000" w:hanging="424"/>
        <w:spacing w:after="0" w:line="255"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lock-up securities pursuant to the conversion or exchange of convertible or exchangeable securities or the exercise of warrants or options (including net exercise) or the settlement of restricted stock units (including net settlement), in each case outstanding on the date of the underwriting agreement and described in this prospectus,</w:t>
      </w:r>
    </w:p>
    <w:p>
      <w:pPr>
        <w:spacing w:after="0" w:line="88"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shares of our common stock as payment of accrued dividends in connection with the conversion of our shares of preferred stock in this offering,</w:t>
      </w:r>
    </w:p>
    <w:p>
      <w:pPr>
        <w:spacing w:after="0" w:line="77" w:lineRule="exact"/>
        <w:rPr>
          <w:rFonts w:ascii="Times New Roman" w:cs="Times New Roman" w:eastAsia="Times New Roman" w:hAnsi="Times New Roman"/>
          <w:sz w:val="18"/>
          <w:szCs w:val="18"/>
          <w:color w:val="auto"/>
        </w:rPr>
      </w:pPr>
    </w:p>
    <w:p>
      <w:pPr>
        <w:jc w:val="both"/>
        <w:ind w:left="1000" w:hanging="424"/>
        <w:spacing w:after="0" w:line="255"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stock options, stock awards, restricted stock, restricted stock units or other equity awards and the issuance of lock-up securities (whether upon the exercise of stock options or otherwise) to our employees, officers, directors, advisors, or consultants pursuant to the terms of a plan in effect on the date hereof and described in this prospectus,</w:t>
      </w:r>
    </w:p>
    <w:p>
      <w:pPr>
        <w:spacing w:after="0" w:line="88" w:lineRule="exact"/>
        <w:rPr>
          <w:rFonts w:ascii="Times New Roman" w:cs="Times New Roman" w:eastAsia="Times New Roman" w:hAnsi="Times New Roman"/>
          <w:sz w:val="18"/>
          <w:szCs w:val="18"/>
          <w:color w:val="auto"/>
        </w:rPr>
      </w:pPr>
    </w:p>
    <w:p>
      <w:pPr>
        <w:jc w:val="both"/>
        <w:ind w:left="1000" w:hanging="424"/>
        <w:spacing w:after="0" w:line="249"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or amendment of a trading plan on behalf of any of our stockholders, officers or directors pursuant to Rule 10b5-1 under the Exchange Act for the transfer of shares of our common stock, provided that (i) such plan does not provide for the transfer of our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our common stock may be made under such plan during the restricted period,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340"/>
          </w:cols>
          <w:pgMar w:left="320" w:top="448" w:right="2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424"/>
        <w:spacing w:after="0" w:line="255"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any registration statement on Form S-8 relating to securities (i) granted or to be granted pursuant to any plan in effect on the date hereof and described in this prospectus or (b) otherwise eligible to be included on a registration statement on Form S-8 and described in this prospectus, or</w:t>
      </w:r>
    </w:p>
    <w:p>
      <w:pPr>
        <w:spacing w:after="0" w:line="88" w:lineRule="exact"/>
        <w:rPr>
          <w:rFonts w:ascii="Times New Roman" w:cs="Times New Roman" w:eastAsia="Times New Roman" w:hAnsi="Times New Roman"/>
          <w:sz w:val="18"/>
          <w:szCs w:val="18"/>
          <w:color w:val="auto"/>
        </w:rPr>
      </w:pPr>
    </w:p>
    <w:p>
      <w:pPr>
        <w:jc w:val="both"/>
        <w:ind w:left="1000" w:hanging="424"/>
        <w:spacing w:after="0" w:line="247"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offer of, or issuance or agreement to issue lock-up securities in connection with an acquisition, merger, joint venture, strategic alliance, commercial or other collaborative relationship or the acquisition or license by us or any of our subsidiaries of the securities, business, property or other assets of another person or entity or pursuant to any employee benefit plan as assumed by us in connection with any such acquisition or transaction, provided that the aggregate number of lock-up securities that we may sell or issue or agree to sell or issue pursuant to this paragraph shall not exceed 15.0% of the total number of shares of our common stock outstanding immediately following the issuance of our Class A common stock in this offering and provided further that the recipients of such securities provide to Morgan Stanley &amp; Co. LLC and J.P. Morgan Securities LLC a signed lock-up agreement substantially in the form of the lock-up letter delivered by certain of our stockholders, officers and directors as required under the underwriting agreement.</w:t>
      </w:r>
    </w:p>
    <w:p>
      <w:pPr>
        <w:spacing w:after="0" w:line="186"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All of our directors, executive officers and the holders of substantially all of our common stock and securities exercisable for or convertible into our common stock outstanding immediately prior to the closing of this offering (except for RSUs previously issued to our employees other than our executive officers, including the RSUs that will settle in connection with the RSU Net Settlement or the Additional RSU Settlement, and the warrants issued to Allen and AstraZeneca), or the lock-up parties, have entered into lock-up agreements prior to the commencement of this offering pursuant to which each lock-up party, with important exceptions described in the following paragraph, will not (and will not publicly disclose an intention to), for the duration of the restricted period,</w:t>
      </w:r>
    </w:p>
    <w:p>
      <w:pPr>
        <w:spacing w:after="0" w:line="3" w:lineRule="exact"/>
        <w:rPr>
          <w:sz w:val="20"/>
          <w:szCs w:val="20"/>
          <w:color w:val="auto"/>
        </w:rPr>
      </w:pPr>
    </w:p>
    <w:p>
      <w:pPr>
        <w:jc w:val="both"/>
        <w:ind w:firstLine="5"/>
        <w:spacing w:after="0" w:line="244" w:lineRule="auto"/>
        <w:tabs>
          <w:tab w:leader="none" w:pos="21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offer, pledge, sell, contract to sell, sell any option or contract to purchase, purchase any option or contract to sell, grant any option, right or warrant to purchase, or otherwise transfer or dispose of, directly or indirectly, any lock-up securities, or (ii) enter into any swap or other arrangement that transfers to another, in whole or in part, any of the economic consequences of ownership of the common stock, whether any such transaction described above is to be settled by delivery of lock-up securities, in cash or otherwise In addition, each lock-up party will agree that such lock-up party will not, during the restricted period, make any demand for, or exercise any right with respect to, the registration of any lock-up securities, for the duration of the restricted period.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21" w:lineRule="exact"/>
        <w:rPr>
          <w:sz w:val="20"/>
          <w:szCs w:val="20"/>
          <w:color w:val="auto"/>
        </w:rPr>
      </w:pPr>
    </w:p>
    <w:p>
      <w:pPr>
        <w:ind w:left="1000" w:hanging="414"/>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of Class A common stock to the underwriters;</w:t>
      </w:r>
    </w:p>
    <w:p>
      <w:pPr>
        <w:spacing w:after="0" w:line="121" w:lineRule="exact"/>
        <w:rPr>
          <w:rFonts w:ascii="Times New Roman" w:cs="Times New Roman" w:eastAsia="Times New Roman" w:hAnsi="Times New Roman"/>
          <w:sz w:val="18"/>
          <w:szCs w:val="18"/>
          <w:color w:val="auto"/>
        </w:rPr>
      </w:pPr>
    </w:p>
    <w:p>
      <w:pPr>
        <w:jc w:val="both"/>
        <w:ind w:left="1000" w:hanging="424"/>
        <w:spacing w:after="0" w:line="293" w:lineRule="auto"/>
        <w:tabs>
          <w:tab w:leader="none" w:pos="100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by any person other than us relating to shares of Class A common stock or other securities acquired in this offering or in open market transactions after the completion of this offering, provided that no filing under the Exchange Act, or other public announcement, reporting a reduction in beneficial ownership of shares of Class A common stock is required or voluntarily made in connection with subsequent sales of Class A common stock or other securities acquired in this offering or in such open market transactions during the restricted period;</w:t>
      </w:r>
    </w:p>
    <w:p>
      <w:pPr>
        <w:spacing w:after="0" w:line="59" w:lineRule="exact"/>
        <w:rPr>
          <w:rFonts w:ascii="Times New Roman" w:cs="Times New Roman" w:eastAsia="Times New Roman" w:hAnsi="Times New Roman"/>
          <w:sz w:val="16"/>
          <w:szCs w:val="16"/>
          <w:color w:val="auto"/>
        </w:rPr>
      </w:pPr>
    </w:p>
    <w:p>
      <w:pPr>
        <w:jc w:val="both"/>
        <w:ind w:left="1000" w:hanging="414"/>
        <w:spacing w:after="0" w:line="285" w:lineRule="auto"/>
        <w:tabs>
          <w:tab w:leader="none" w:pos="100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of lock-up securities (i) as a bona fide gift, (ii) to an immediate family member or to any trust for the direct or indirect benefit of the holder or an immediate family member of the holder, (iii) to any corporation, partnership, limited liability company, investment fund, trust or other entity controlled or managed, or under common control or management by, the holder, or (iv) by will, other testamentary document or intestate succession to the legal representative, heir, beneficiary or an immediate family member of the holder, provided that, in the case of any such transfer, (a) each transferee shall sign and deliver a lock-up agreement and (b) no filing under the Exchange Act, or other public announcement, reporting a reduction in beneficial ownership of shares of common stock is required or voluntarily made during the restricted period;</w:t>
      </w:r>
    </w:p>
    <w:p>
      <w:pPr>
        <w:spacing w:after="0" w:line="67" w:lineRule="exact"/>
        <w:rPr>
          <w:rFonts w:ascii="Times New Roman" w:cs="Times New Roman" w:eastAsia="Times New Roman" w:hAnsi="Times New Roman"/>
          <w:sz w:val="16"/>
          <w:szCs w:val="16"/>
          <w:color w:val="auto"/>
        </w:rPr>
      </w:pPr>
    </w:p>
    <w:p>
      <w:pPr>
        <w:jc w:val="both"/>
        <w:ind w:left="1000" w:hanging="424"/>
        <w:spacing w:after="0" w:line="255"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corporation, partnership, limited liability company, trust or other business entity, transfers or distributions of lock-up securities to general or limited partners, managers or members, stockholders, other equityholders or direct or indirect affiliates (within the meaning of Rule 405 under the Securities Act) of the holder or to the estates of any of the foregoing, provided that (i) each</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340"/>
          </w:cols>
          <w:pgMar w:left="320" w:top="448" w:right="2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20"/>
        <w:spacing w:after="0" w:line="267" w:lineRule="auto"/>
        <w:rPr>
          <w:sz w:val="20"/>
          <w:szCs w:val="20"/>
          <w:color w:val="auto"/>
        </w:rPr>
      </w:pPr>
      <w:r>
        <w:rPr>
          <w:rFonts w:ascii="Times New Roman" w:cs="Times New Roman" w:eastAsia="Times New Roman" w:hAnsi="Times New Roman"/>
          <w:sz w:val="18"/>
          <w:szCs w:val="18"/>
          <w:color w:val="auto"/>
        </w:rPr>
        <w:t>transferee or distributee shall sign and deliver a lock-up agreement and (ii) no filing under the Exchange Act, or other public announcement, reporting a reduction in beneficial ownership of shares of common stock is required or voluntarily made during the restricted period;</w:t>
      </w:r>
    </w:p>
    <w:p>
      <w:pPr>
        <w:spacing w:after="0" w:line="78" w:lineRule="exact"/>
        <w:rPr>
          <w:sz w:val="20"/>
          <w:szCs w:val="20"/>
          <w:color w:val="auto"/>
        </w:rPr>
      </w:pPr>
    </w:p>
    <w:p>
      <w:pPr>
        <w:jc w:val="both"/>
        <w:ind w:left="1000" w:hanging="414"/>
        <w:spacing w:after="0" w:line="246"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to us of lock-up securities to satisfy any tax, including estimated tax, remittance, or other payment obligations of the holder arising in connection with a vesting event of our securities, upon the settlement of restricted stock units or the payment due for the exercise of options or other rights to purchase our securities (including, in each case, by way of a “cashless” or “net exercise” basis and any transfer to us necessary in respect of such amount needed for the payment of taxes, including estimated taxes, and remittance payments due as a result of such vesting, settlement or exercise including by means of a “net settlement”, “sell-to-cover” or otherwise), in all such cases pursuant to equity awards granted under a stock incentive plan or other of our equity award plans described in this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vesting, settlement or exercise occurs on terms described in this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(i) any remaining shares of common stock received upon such vesting, settlement or exercise are subject to the aforementioned restrictions,(ii) no filing under the Exchange Act, or other public announcement, shall be voluntarily made during the restricted period and (iii) any filing required under the Exchange Act shall clearly indicate in the footnotes thereto that the filing relates to the circumstances described in this bullet;</w:t>
      </w:r>
    </w:p>
    <w:p>
      <w:pPr>
        <w:spacing w:after="0" w:line="97" w:lineRule="exact"/>
        <w:rPr>
          <w:rFonts w:ascii="Times New Roman" w:cs="Times New Roman" w:eastAsia="Times New Roman" w:hAnsi="Times New Roman"/>
          <w:sz w:val="18"/>
          <w:szCs w:val="18"/>
          <w:color w:val="auto"/>
        </w:rPr>
      </w:pPr>
    </w:p>
    <w:p>
      <w:pPr>
        <w:jc w:val="both"/>
        <w:ind w:left="1000" w:hanging="395"/>
        <w:spacing w:after="0" w:line="249"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by the holder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holder or on our behalf regarding the establishment of such plan, such announcement or filing shall include a statement to the effect that no transfer of common stock may be made under such plan during the restricted period;</w:t>
      </w:r>
    </w:p>
    <w:p>
      <w:pPr>
        <w:spacing w:after="0" w:line="94" w:lineRule="exact"/>
        <w:rPr>
          <w:rFonts w:ascii="Times New Roman" w:cs="Times New Roman" w:eastAsia="Times New Roman" w:hAnsi="Times New Roman"/>
          <w:sz w:val="18"/>
          <w:szCs w:val="18"/>
          <w:color w:val="auto"/>
        </w:rPr>
      </w:pPr>
    </w:p>
    <w:p>
      <w:pPr>
        <w:jc w:val="both"/>
        <w:ind w:left="1000" w:hanging="424"/>
        <w:spacing w:after="0" w:line="293" w:lineRule="auto"/>
        <w:tabs>
          <w:tab w:leader="none" w:pos="10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transfer of lock-up securities that occurs by operation of law pursuant to a qualified domestic order or in connection with a divorce settlement or other court order, provided that (i) the transferee shall sign and deliver a lock-up agreement and (ii) no filing under the Exchange Act, or other public announcement, shall be required or shall be voluntarily made during the restricted period (other than any filing required under Section 16(a) of the Exchange Act that shall clearly indicate in the footnotes thereto that the filing relates to the circumstances described in this bullet);</w:t>
      </w:r>
    </w:p>
    <w:p>
      <w:pPr>
        <w:spacing w:after="0" w:line="59" w:lineRule="exact"/>
        <w:rPr>
          <w:rFonts w:ascii="Times New Roman" w:cs="Times New Roman" w:eastAsia="Times New Roman" w:hAnsi="Times New Roman"/>
          <w:sz w:val="16"/>
          <w:szCs w:val="16"/>
          <w:color w:val="auto"/>
        </w:rPr>
      </w:pPr>
    </w:p>
    <w:p>
      <w:pPr>
        <w:jc w:val="both"/>
        <w:ind w:left="1000" w:hanging="424"/>
        <w:spacing w:after="0" w:line="249"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shares of our convertible preferred stock or Class B common stock into shares of Class A common stock as described in this prospectus, provided that, in each case (i) such shares shall continue to be subject to the aforementioned restrictions on transfer and (ii) no filing under the Exchange Act, or other public announcement, shall be required or voluntarily made during the restricted period (other than any filing required under Section 16(a) of the Exchange Act that clearly indicates in the footnotes thereto that the filing relates to the circumstances described in this bullet);</w:t>
      </w:r>
    </w:p>
    <w:p>
      <w:pPr>
        <w:spacing w:after="0" w:line="94" w:lineRule="exact"/>
        <w:rPr>
          <w:rFonts w:ascii="Times New Roman" w:cs="Times New Roman" w:eastAsia="Times New Roman" w:hAnsi="Times New Roman"/>
          <w:sz w:val="18"/>
          <w:szCs w:val="18"/>
          <w:color w:val="auto"/>
        </w:rPr>
      </w:pPr>
    </w:p>
    <w:p>
      <w:pPr>
        <w:jc w:val="both"/>
        <w:ind w:left="1000" w:hanging="386"/>
        <w:spacing w:after="0" w:line="251"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lock-up securities pursuant to a bona fide third-party tender offer, merger, consolidation or other similar transaction that is approved by our board of directors, made to all holders of common stock involving a change of control, provided that, in the event that the tender offer, merger, consolidation or other such transaction is not completed, the common stock owned by the holder shall remain subject to the aforementioned restrictions; or</w:t>
      </w:r>
    </w:p>
    <w:p>
      <w:pPr>
        <w:spacing w:after="0" w:line="92" w:lineRule="exact"/>
        <w:rPr>
          <w:rFonts w:ascii="Times New Roman" w:cs="Times New Roman" w:eastAsia="Times New Roman" w:hAnsi="Times New Roman"/>
          <w:sz w:val="18"/>
          <w:szCs w:val="18"/>
          <w:color w:val="auto"/>
        </w:rPr>
      </w:pPr>
    </w:p>
    <w:p>
      <w:pPr>
        <w:jc w:val="both"/>
        <w:ind w:left="1000" w:hanging="386"/>
        <w:spacing w:after="0" w:line="288" w:lineRule="auto"/>
        <w:tabs>
          <w:tab w:leader="none" w:pos="10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transfer of lock-up securities pledged in a bona fide transaction to third parties as collateral to secure obligations pursuant to lending or other arrangements in effect as of the date hereof between such third parties (or their affiliates or designees) and the holder or its affiliates or any similar arrangement relating to a financing arrangement for the benefit of the holder or its affiliates, provided that (i) any such pledgee or other party shall, upon foreclosure on the pledged securities, sign and deliver a lock-up agreement and (ii) no filing under the Exchange Act, or any other public filing or disclosure, of such transfer by or on behalf of the holder, shall be required or shall be voluntarily made during the restricted period.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340"/>
          </w:cols>
          <w:pgMar w:left="320" w:top="448" w:right="2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Morgan Stanley &amp; Co. LLC and J.P. Morgan Securities LLC, in their joint discretion, may release the lock-up securities described above in whole or in part at any time, subject to applicable notice requirements. In addition, subject to certain limited, more favorable exceptions, in the event that any officer, director or other holder holding in excess of 1% of our outstanding shares of common stock is granted an early release from the lock-up restrictions with respect to our securities in an aggregate amount in excess of 1% of our outstanding shares of common stock (whether in one or multiple releases), then every other person subject to lock-up automatically will be granted an equivalent early release from its obligations under the lock-up agreement on a pro rata basis. With certain limited exceptions, such release (i) shall not be applicable if it is effected solely to permit a transfer not for consideration and the transferee has agreed in writing to be bound by the restrictions described above, and (ii) in certain cases, in the event of an underwritten public offering during the restricted period, shall only apply with respect to the holder’s participation in the underwritten offering. Notwithstanding any other provisions of the lock-up agreement, in certain cases, if Morgan Stanley &amp; Co. LLC and J.P. Morgan Securities LLC, in their sole judgment, determine that a holder of any securities that is a natural person should be granted an early release from a lock-up agreement due to circumstances of an emergency or hardship, then no other holder shall have any right to be granted an early release from the lock-up agreement.</w:t>
      </w:r>
    </w:p>
    <w:p>
      <w:pPr>
        <w:spacing w:after="0" w:line="19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If the closing price per share of our Class A common stock on The Nasdaq Stock Market LLC is at least 30% greater than the initial public offering price per share of our Class A common stock set forth on the cover page of this prospectus for (i) any ten trading days (which, for the avoidance of doubt, need not be consecutive trading days) during the period ending on, and including, the date that we publicly announce our earnings for the first completed quarterly period following the most recent period for which financial statements are included in this prospectus (which, for this purpose, shall not include “flash” numbers or preliminary partial earnings) and (ii) any one trading day following such initial post-offering earnings release date, then the restricted period shall automatically expire on the date that is the later of (a) the date on which the conditions set forth in both (i) and (ii) above are satisfied and (b) two trading days following our initial post-offering earnings release date. Such release will correspond to 30% of the holder’s aggregate shares of our common stock, to the extent vested, and such released shares may be sold in the public market, subject to compliance with applicable securities laws including, without limitation, Rule 144 under the Securities Act, and compliance with our insider trading policy then in effect, beginning at the commencement of the first trading day following the early release date.</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the event that the end of the restricted period would fall during one of our quarterly blackout periods during which trading by certain of our employees in our securities would not be permitted under our insider trading policy then in effect, the restricted period shall automatically expire on the date that is the later of (i) ten trading days prior to the date that such blackout period begins and (ii) the 150th day after the date of this prospectus.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we have entered into market standoff agreements with substantially all of our RSU holders, including the holders of RSUs that will settle in connection with the RSU Net Settlement and the Additional RSU Settlement, imposing restrictions on the ability of such security holders to offer, sell, contract to sell, pledge, hypothecate, grant any option to purchase or make any short sale of, or otherwise dispose of any shares of our common stock or any rights to acquire our common stock during the restricted period, subject to earlier release at any time by us with the consent of Morgan Stanley &amp; Co. LLC and J.P. Morgan Securities LLC. Similarly, our warrants held by AstraZeneca and Allen also contain market standoff provisions that impose restrictions on the ability of AstraZeneca and Allen to, during the restricted period, sell, dispose of, transfer, grant any option for the purchase of, or enter into any hedging or similar transaction with the same economic effect as a sale, shares of our common stock or any securities convertible into or exercisable or exchangeable for our common stock.</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not earlier released, all of the shares of Class A common stock not sold in this offering will become eligible for sale upon expiration of the restricted period, except for any shares held by our affiliates as defined in Rule 144.</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340"/>
          </w:cols>
          <w:pgMar w:left="320" w:top="448" w:right="2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Pursuant to certain exceptions in the lock-up agreements and because of our ability to release RSU holders early under the market standoff agreements, certain shares of our Class A common stock may be sold in the open market by our employees, including our Chief Executive Officer, during the restricted period described above in sell-to-cover transactions in order to satisfy tax withholding obligations in connection with the settlement of RSUs for shares of our Class A common stock as follows:</w:t>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Date First Available for Sale into the Market</w:t>
      </w:r>
    </w:p>
    <w:p>
      <w:pPr>
        <w:spacing w:after="0" w:line="2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91 days after the date of this prospectus (or the next trading day if such date is not a trading day)</w:t>
      </w:r>
    </w:p>
    <w:p>
      <w:pPr>
        <w:spacing w:after="0" w:line="247" w:lineRule="auto"/>
        <w:rPr>
          <w:sz w:val="20"/>
          <w:szCs w:val="20"/>
          <w:color w:val="auto"/>
        </w:rPr>
      </w:pPr>
      <w:r>
        <w:rPr>
          <w:rFonts w:ascii="Times New Roman" w:cs="Times New Roman" w:eastAsia="Times New Roman" w:hAnsi="Times New Roman"/>
          <w:sz w:val="18"/>
          <w:szCs w:val="18"/>
          <w:color w:val="auto"/>
        </w:rPr>
        <w:t>120 days after the date of this prospectus (or the next trading day if such date is not a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9184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Approximate Number of</w:t>
            </w:r>
          </w:p>
        </w:tc>
      </w:tr>
      <w:tr>
        <w:trPr>
          <w:trHeight w:val="210"/>
        </w:trPr>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 of Class A</w:t>
            </w:r>
          </w:p>
        </w:tc>
      </w:tr>
      <w:tr>
        <w:trPr>
          <w:trHeight w:val="210"/>
        </w:trPr>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Common Stock</w:t>
            </w:r>
          </w:p>
        </w:tc>
      </w:tr>
      <w:tr>
        <w:trPr>
          <w:trHeight w:val="210"/>
        </w:trPr>
        <w:tc>
          <w:tcPr>
            <w:tcW w:w="2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Expected to be Sold in Sell-to-</w:t>
            </w:r>
          </w:p>
        </w:tc>
      </w:tr>
      <w:tr>
        <w:trPr>
          <w:trHeight w:val="244"/>
        </w:trPr>
        <w:tc>
          <w:tcPr>
            <w:tcW w:w="19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Expected to Settle</w:t>
            </w:r>
          </w:p>
        </w:tc>
        <w:tc>
          <w:tcPr>
            <w:tcW w:w="320" w:type="dxa"/>
            <w:vAlign w:val="bottom"/>
          </w:tcPr>
          <w:p>
            <w:pPr>
              <w:spacing w:after="0"/>
              <w:rPr>
                <w:sz w:val="21"/>
                <w:szCs w:val="21"/>
                <w:color w:val="auto"/>
              </w:rPr>
            </w:pPr>
          </w:p>
        </w:tc>
        <w:tc>
          <w:tcPr>
            <w:tcW w:w="31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4"/>
              </w:rPr>
              <w:t>Cover Transactions</w:t>
            </w:r>
            <w:r>
              <w:rPr>
                <w:rFonts w:ascii="Times New Roman" w:cs="Times New Roman" w:eastAsia="Times New Roman" w:hAnsi="Times New Roman"/>
                <w:sz w:val="26"/>
                <w:szCs w:val="26"/>
                <w:b w:val="1"/>
                <w:bCs w:val="1"/>
                <w:color w:val="auto"/>
                <w:w w:val="94"/>
                <w:vertAlign w:val="superscript"/>
              </w:rPr>
              <w:t>(1)</w:t>
            </w:r>
          </w:p>
        </w:tc>
      </w:tr>
      <w:tr>
        <w:trPr>
          <w:trHeight w:val="386"/>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5,373,811</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2,246,748</w:t>
            </w:r>
          </w:p>
        </w:tc>
      </w:tr>
      <w:tr>
        <w:trPr>
          <w:trHeight w:val="420"/>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5,373,811</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2,246,748</w:t>
            </w:r>
          </w:p>
        </w:tc>
      </w:tr>
    </w:tbl>
    <w:p>
      <w:pPr>
        <w:spacing w:after="0" w:line="192" w:lineRule="exact"/>
        <w:rPr>
          <w:sz w:val="20"/>
          <w:szCs w:val="20"/>
          <w:color w:val="auto"/>
        </w:rPr>
      </w:pPr>
    </w:p>
    <w:p>
      <w:pPr>
        <w:sectPr>
          <w:pgSz w:w="11900" w:h="16838" w:orient="portrait"/>
          <w:cols w:equalWidth="0" w:num="2">
            <w:col w:w="5780" w:space="160"/>
            <w:col w:w="5400"/>
          </w:cols>
          <w:pgMar w:left="320" w:top="448" w:right="239" w:bottom="1440" w:gutter="0" w:footer="0" w:header="0"/>
          <w:type w:val="continuous"/>
        </w:sectPr>
      </w:pPr>
    </w:p>
    <w:p>
      <w:pPr>
        <w:ind w:left="460" w:hanging="455"/>
        <w:spacing w:after="0" w:line="207" w:lineRule="auto"/>
        <w:tabs>
          <w:tab w:leader="none" w:pos="4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an estimated 42% tax rate. Includes an estimated approximately 807,188 shares that may be sold on or after each of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date of this prospectus in respect of settlement of RSUs held by our Chief Executive Officer.</w:t>
      </w:r>
    </w:p>
    <w:p>
      <w:pPr>
        <w:spacing w:after="0" w:line="19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dates and numbers above are estimates. We expect each settlement and sell-to-cover transaction to extend over a multi-day period based on trading volumes. Because the purpose of sell-to-cover transactions is to generate proceeds sufficient to satisfy tax withholding obligations, the exact number of shares sold will depend on the sale prices of the Class A common stock in such transactions and our stockholders’ personal tax rates. In addition, if additional net settlement transactions occur on or prior to the dates set forth above, the number of shares of Class A common stock to be sold in each sell-to-cover transaction will be reduced proportionally.</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Any such stabilization activities will be conducted in accordance with Regulation M.</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340"/>
          </w:cols>
          <w:pgMar w:left="320" w:top="448" w:right="239" w:bottom="1440" w:gutter="0" w:footer="0" w:header="0"/>
          <w:type w:val="continuous"/>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holders. Internet distributions will be allocated by the representatives to underwriters that may make Internet distributions on the same basis as other allocations.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December 2023, in connection with our entry into a letter agreement with Allen for certain financial advisory services provided by Allen to us, we issued, as compensation for such services, a warrant to Allen to purchase up to 150,000 shares of our Class A common stock at an exercise price of $10.00 per share, as more fully described in the section titled “Description of Capital Stock—Warrants” in this prospectus. Pursuant to the Warrant Net Exercise, Allen will receive 109,459 shares of Class A common stock following this offering. The Financial Industry Regulatory Authority deems such shares to have a compensation value of $3,828,750. In no event will total underwriting compensation, as calculated under FINRA rules, exceed 9% of the gross proceeds of this offering. Such shares may not be sold, transferred, assigned, pledged, or hypothecated, or be the subject of any hedging, short sale, derivative, put, or call transaction that would result in the effective economic disposition of the shares for a period of 180 days beginning on the date of this prospectus, except as provided in FINRA Rule 5110(e)(2).</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are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or an EEA State, no shares of Class A common stock, or the Shares, have been offered or will be offered pursuant to the offering to the public in that EEA State prior to the publication of a prospectus in relation to the Shares which has been approved by the competent authority in that EEA State or, where appropriate, approved in another EEA State and notified to the competent authority in that EEA State, all in accordance with the EU Prospectus Regulation, except that it may make an offer of the Shares to the public in that EEA State at any time under the following exemptions under the EU Prospectus Regulation:</w:t>
      </w:r>
    </w:p>
    <w:p>
      <w:pPr>
        <w:spacing w:after="0" w:line="95" w:lineRule="exact"/>
        <w:rPr>
          <w:sz w:val="20"/>
          <w:szCs w:val="20"/>
          <w:color w:val="auto"/>
        </w:rPr>
      </w:pPr>
    </w:p>
    <w:p>
      <w:pPr>
        <w:ind w:left="5540" w:right="3660" w:hanging="4954"/>
        <w:spacing w:after="0" w:line="435" w:lineRule="auto"/>
        <w:tabs>
          <w:tab w:leader="none" w:pos="99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EU Prospectus Regulation; 263</w:t>
      </w:r>
    </w:p>
    <w:p>
      <w:pPr>
        <w:sectPr>
          <w:pgSz w:w="11900" w:h="16838" w:orient="portrait"/>
          <w:cols w:equalWidth="0" w:num="1">
            <w:col w:w="11340"/>
          </w:cols>
          <w:pgMar w:left="320" w:top="448" w:right="2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424"/>
        <w:spacing w:after="0" w:line="267"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EU Prospectus Regulation), subject to obtaining the prior consent of the representatives for any such offer; or</w:t>
      </w:r>
    </w:p>
    <w:p>
      <w:pPr>
        <w:spacing w:after="0" w:line="77" w:lineRule="exact"/>
        <w:rPr>
          <w:rFonts w:ascii="Times New Roman" w:cs="Times New Roman" w:eastAsia="Times New Roman" w:hAnsi="Times New Roman"/>
          <w:sz w:val="18"/>
          <w:szCs w:val="18"/>
          <w:color w:val="auto"/>
        </w:rPr>
      </w:pPr>
    </w:p>
    <w:p>
      <w:pPr>
        <w:jc w:val="both"/>
        <w:ind w:left="1000" w:hanging="414"/>
        <w:spacing w:after="0" w:line="255"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EU Prospectus Regulation, provided that no such offer of the Shares shall require the issuer or any underwriter to publish a prospectus pursuant to Article 3 of the EU Prospectus Regulation or supplement a prospectus pursuant to Article 23 of the EU Prospectus Regulation,</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any EEA State means the communication in any form and by any means of sufficient information on the terms of the offer and the Shares to be offered so as to enable an investor to decide to purchase or subscribe for the Shares, and the expression “EU Prospectus Regulation” means Regulation (EU) 2017/1129.</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European Economic Area selling restriction is in addition to any other selling restrictions set out below.</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relation to the United Kingdom, 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in accordance with the UK Prospectus Regulation, except that it may make an offer to the public in the United Kingdom of the shares of Class A common stock at any time under the following exemptions under the UK Prospectus Regulation:</w:t>
      </w:r>
    </w:p>
    <w:p>
      <w:pPr>
        <w:spacing w:after="0" w:line="92" w:lineRule="exact"/>
        <w:rPr>
          <w:sz w:val="20"/>
          <w:szCs w:val="20"/>
          <w:color w:val="auto"/>
        </w:rPr>
      </w:pPr>
    </w:p>
    <w:p>
      <w:pPr>
        <w:ind w:left="1000" w:hanging="414"/>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underwriters for any such offer;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UK Prospectus Regulation;</w:t>
      </w:r>
    </w:p>
    <w:p>
      <w:pPr>
        <w:spacing w:after="0" w:line="2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of Class A common stock shall require the issuer or any underwriter to publish a prospectus pursuant to Article 3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UK Prospectus Regulation or supplement a prospectus pursuant to Article 23 of the UK Prospectus Regulation.</w:t>
      </w:r>
    </w:p>
    <w:p>
      <w:pPr>
        <w:spacing w:after="0" w:line="16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or the Order; (ii) high net worth bodies corporate, unincorporated associations and partnerships and trustees of high value trusts as described in Article 49(2) of the Order; or (iii) 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of Class A common stock in the United Kingdom means the communication in any form and by any means of sufficient information on the terms of the offerings and the shares of Class A common stock to be offered so as to enable an investor to decide to purchase or subscribe for the shares of Class A common stock, and the expression “UK Prospectus Regulation” means the UK version of Regulation (EU) No 2017/1129 as amended by The Prospectus (Amendment etc.) (EU Exit) Regulations 2019, which is part of UK law by virtue of the European Union (Withdrawal) Act 2018.</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264</w:t>
      </w:r>
    </w:p>
    <w:p>
      <w:pPr>
        <w:sectPr>
          <w:pgSz w:w="11900" w:h="16838" w:orient="portrait"/>
          <w:cols w:equalWidth="0" w:num="1">
            <w:col w:w="11340"/>
          </w:cols>
          <w:pgMar w:left="320" w:top="448" w:right="2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1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Class A common stock.</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any other applicable laws, regulations and ministerial guidelines of Japan in effect at the relevant time.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(“QII”)</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340"/>
          </w:cols>
          <w:pgMar w:left="320" w:top="448" w:right="2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shares of Class A common stock may not be offered or sold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(1) to an institutional investor (as defined under Section 4A of the Securities and Futures Act, Chapter 289 of Singapore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16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of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Where the shares of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of Class A common stock under Section 275 of the SFA except:</w:t>
      </w:r>
    </w:p>
    <w:p>
      <w:pPr>
        <w:spacing w:after="0" w:line="92" w:lineRule="exact"/>
        <w:rPr>
          <w:sz w:val="20"/>
          <w:szCs w:val="20"/>
          <w:color w:val="auto"/>
        </w:rPr>
      </w:pPr>
    </w:p>
    <w:p>
      <w:pPr>
        <w:jc w:val="both"/>
        <w:ind w:left="1000" w:hanging="424"/>
        <w:spacing w:after="0" w:line="249"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266</w:t>
      </w:r>
    </w:p>
    <w:p>
      <w:pPr>
        <w:sectPr>
          <w:pgSz w:w="11900" w:h="16838" w:orient="portrait"/>
          <w:cols w:equalWidth="0" w:num="1">
            <w:col w:w="11340"/>
          </w:cols>
          <w:pgMar w:left="320" w:top="448" w:right="2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Solely for the purposes of our obligations pursuant to Section 309B of the SFA, we have determined, and hereby notify all relevant persons (as defined in the Securities and Futures (Capital Markets Products) Regulations 2018, or the CMP Regulations, that the shares of Class A common stock are “prescribed capital markets products” (as defined in the CMP Regulations) and Excluded Investment Products (as defined in MAS Notice SFA 04-N12: Notice on the Sale of Investment Products and MAS Notice FAA-N16: Notice on Recommendations on Investment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340"/>
          </w:cols>
          <w:pgMar w:left="320" w:top="448" w:right="2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validity of the shares of Class A common stock being offered by this prospectus will be passed upon for us by Cooley LLP, Chicago, Illinois. Certain legal matters in connection with this offering will be passed upon for the underwriters by Davis Polk &amp; Wardwell LLP, Menlo Park, California.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financial statements as of December 31, 2023 and 2022, and for each of the two years in the period ended December 31, 2023, included in this prospectus, have been so included in reliance on the report of PricewaterhouseCoopers LLP, an independent registered public accounting firm, given on the authority of said firm as experts in auditing and accounting.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340"/>
          </w:cols>
          <w:pgMar w:left="320" w:top="448" w:right="2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 the closing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maintain a website at www.tempus.com. Information contained in, or accessible through, our website is not a part of this prospectus, and the inclusion of our website address in this prospectus is only as an inactive textual reference.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340"/>
          </w:cols>
          <w:pgMar w:left="320" w:top="448" w:right="23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195"/>
        </w:trPr>
        <w:tc>
          <w:tcPr>
            <w:tcW w:w="920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60" w:type="dxa"/>
            <w:vAlign w:val="bottom"/>
          </w:tcPr>
          <w:p>
            <w:pPr>
              <w:spacing w:after="0"/>
              <w:rPr>
                <w:sz w:val="17"/>
                <w:szCs w:val="17"/>
                <w:color w:val="auto"/>
              </w:rPr>
            </w:pPr>
          </w:p>
        </w:tc>
      </w:tr>
      <w:tr>
        <w:trPr>
          <w:trHeight w:val="498"/>
        </w:trPr>
        <w:tc>
          <w:tcPr>
            <w:tcW w:w="13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5"/>
              </w:rPr>
              <w:t>Tempus AI, Inc.</w:t>
            </w:r>
          </w:p>
        </w:tc>
        <w:tc>
          <w:tcPr>
            <w:tcW w:w="206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6"/>
              </w:rPr>
              <w:t>Financial Statements</w:t>
            </w:r>
          </w:p>
        </w:tc>
        <w:tc>
          <w:tcPr>
            <w:tcW w:w="2060" w:type="dxa"/>
            <w:vAlign w:val="bottom"/>
          </w:tcPr>
          <w:p>
            <w:pPr>
              <w:spacing w:after="0"/>
              <w:rPr>
                <w:sz w:val="18"/>
                <w:szCs w:val="18"/>
                <w:color w:val="auto"/>
              </w:rPr>
            </w:pPr>
          </w:p>
        </w:tc>
      </w:tr>
      <w:tr>
        <w:trPr>
          <w:trHeight w:val="230"/>
        </w:trPr>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60" w:type="dxa"/>
            <w:vAlign w:val="bottom"/>
          </w:tcPr>
          <w:p>
            <w:pPr>
              <w:spacing w:after="0"/>
              <w:rPr>
                <w:sz w:val="19"/>
                <w:szCs w:val="19"/>
                <w:color w:val="auto"/>
              </w:rPr>
            </w:pPr>
          </w:p>
        </w:tc>
      </w:tr>
      <w:tr>
        <w:trPr>
          <w:trHeight w:val="407"/>
        </w:trPr>
        <w:tc>
          <w:tcPr>
            <w:tcW w:w="92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1"/>
        </w:trPr>
        <w:tc>
          <w:tcPr>
            <w:tcW w:w="41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5100" w:type="dxa"/>
            <w:vAlign w:val="bottom"/>
            <w:gridSpan w:val="3"/>
          </w:tcPr>
          <w:p>
            <w:pPr>
              <w:spacing w:after="0"/>
              <w:rPr>
                <w:sz w:val="18"/>
                <w:szCs w:val="18"/>
                <w:color w:val="auto"/>
              </w:rPr>
            </w:pPr>
          </w:p>
        </w:tc>
        <w:tc>
          <w:tcPr>
            <w:tcW w:w="2060" w:type="dxa"/>
            <w:vAlign w:val="bottom"/>
          </w:tcPr>
          <w:p>
            <w:pPr>
              <w:spacing w:after="0"/>
              <w:rPr>
                <w:sz w:val="18"/>
                <w:szCs w:val="18"/>
                <w:color w:val="auto"/>
              </w:rPr>
            </w:pPr>
          </w:p>
        </w:tc>
      </w:tr>
      <w:tr>
        <w:trPr>
          <w:trHeight w:val="189"/>
        </w:trPr>
        <w:tc>
          <w:tcPr>
            <w:tcW w:w="2040" w:type="dxa"/>
            <w:vAlign w:val="bottom"/>
            <w:tcBorders>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Consolidated Balance Sheets</w:t>
            </w:r>
          </w:p>
        </w:tc>
        <w:tc>
          <w:tcPr>
            <w:tcW w:w="7160" w:type="dxa"/>
            <w:vAlign w:val="bottom"/>
            <w:gridSpan w:val="6"/>
          </w:tcPr>
          <w:p>
            <w:pPr>
              <w:spacing w:after="0"/>
              <w:rPr>
                <w:sz w:val="16"/>
                <w:szCs w:val="16"/>
                <w:color w:val="auto"/>
              </w:rPr>
            </w:pPr>
          </w:p>
        </w:tc>
        <w:tc>
          <w:tcPr>
            <w:tcW w:w="2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F-3</w:t>
            </w:r>
          </w:p>
        </w:tc>
      </w:tr>
      <w:tr>
        <w:trPr>
          <w:trHeight w:val="190"/>
        </w:trPr>
        <w:tc>
          <w:tcPr>
            <w:tcW w:w="4560" w:type="dxa"/>
            <w:vAlign w:val="bottom"/>
            <w:tcBorders>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7"/>
              </w:rPr>
              <w:t>Consolidated Statements of Operations and Comprehensive Loss</w:t>
            </w:r>
          </w:p>
        </w:tc>
        <w:tc>
          <w:tcPr>
            <w:tcW w:w="4640" w:type="dxa"/>
            <w:vAlign w:val="bottom"/>
            <w:gridSpan w:val="2"/>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F-5</w:t>
            </w:r>
          </w:p>
        </w:tc>
      </w:tr>
      <w:tr>
        <w:trPr>
          <w:trHeight w:val="190"/>
        </w:trPr>
        <w:tc>
          <w:tcPr>
            <w:tcW w:w="2800" w:type="dxa"/>
            <w:vAlign w:val="bottom"/>
            <w:tcBorders>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Consolidated Statements of Cash Flows</w:t>
            </w:r>
          </w:p>
        </w:tc>
        <w:tc>
          <w:tcPr>
            <w:tcW w:w="6400" w:type="dxa"/>
            <w:vAlign w:val="bottom"/>
            <w:gridSpan w:val="5"/>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F-6</w:t>
            </w:r>
          </w:p>
        </w:tc>
      </w:tr>
      <w:tr>
        <w:trPr>
          <w:trHeight w:val="190"/>
        </w:trPr>
        <w:tc>
          <w:tcPr>
            <w:tcW w:w="92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Consolidated Statements of Redeemable Convertible Preferred Stock, Common Stock and Stockholders’ Deficit</w:t>
            </w: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F-8</w:t>
            </w:r>
          </w:p>
        </w:tc>
      </w:tr>
      <w:tr>
        <w:trPr>
          <w:trHeight w:val="190"/>
        </w:trPr>
        <w:tc>
          <w:tcPr>
            <w:tcW w:w="7860" w:type="dxa"/>
            <w:vAlign w:val="bottom"/>
            <w:tcBorders>
              <w:top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340" w:type="dxa"/>
            <w:vAlign w:val="bottom"/>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F-10-F-50</w:t>
            </w:r>
          </w:p>
        </w:tc>
      </w:tr>
      <w:tr>
        <w:trPr>
          <w:trHeight w:val="373"/>
        </w:trPr>
        <w:tc>
          <w:tcPr>
            <w:tcW w:w="13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color w:val="auto"/>
                <w:w w:val="95"/>
              </w:rPr>
              <w:t>F-1</w:t>
            </w:r>
          </w:p>
        </w:tc>
        <w:tc>
          <w:tcPr>
            <w:tcW w:w="2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60"/>
          </w:cols>
          <w:pgMar w:left="320" w:top="443" w:right="31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272" w:name="page273"/>
    <w:bookmarkEnd w:id="2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Tempus AI, Inc.</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Tempus AI, Inc. and its subsidiaries (the “Company”) as of December 31, 2023 and 2022, and the related consolidated statements of operations and comprehensive loss, of redeemable convertible preferred stock, common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leases in 2022.</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40"/>
          </w:cols>
          <w:pgMar w:left="320" w:top="448" w:right="2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69"/>
        </w:trPr>
        <w:tc>
          <w:tcPr>
            <w:tcW w:w="7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7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302,938</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165,767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79,942</w:t>
            </w:r>
          </w:p>
        </w:tc>
        <w:tc>
          <w:tcPr>
            <w:tcW w:w="0" w:type="dxa"/>
            <w:vAlign w:val="bottom"/>
          </w:tcPr>
          <w:p>
            <w:pPr>
              <w:spacing w:after="0"/>
              <w:rPr>
                <w:sz w:val="1"/>
                <w:szCs w:val="1"/>
                <w:color w:val="auto"/>
              </w:rPr>
            </w:pPr>
          </w:p>
        </w:tc>
      </w:tr>
      <w:tr>
        <w:trPr>
          <w:trHeight w:val="192"/>
        </w:trPr>
        <w:tc>
          <w:tcPr>
            <w:tcW w:w="7160" w:type="dxa"/>
            <w:vAlign w:val="bottom"/>
          </w:tcPr>
          <w:p>
            <w:pPr>
              <w:ind w:left="360"/>
              <w:spacing w:after="0" w:line="192" w:lineRule="exact"/>
              <w:rPr>
                <w:sz w:val="20"/>
                <w:szCs w:val="20"/>
                <w:color w:val="auto"/>
              </w:rPr>
            </w:pPr>
            <w:r>
              <w:rPr>
                <w:rFonts w:ascii="Times New Roman" w:cs="Times New Roman" w:eastAsia="Times New Roman" w:hAnsi="Times New Roman"/>
                <w:sz w:val="18"/>
                <w:szCs w:val="18"/>
                <w:color w:val="auto"/>
              </w:rPr>
              <w:t>Accounts receivable, net of allowances of $2,942, $1,115, and $1,045 at December 31, 2022</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2023 and March 31, 2024, respectively</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88,684</w:t>
            </w:r>
          </w:p>
        </w:tc>
        <w:tc>
          <w:tcPr>
            <w:tcW w:w="18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94,462</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107,795</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22,282</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28,845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30,129</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asset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19,450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17,295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23,024</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31,807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14,956</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5,275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7,085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8,217</w:t>
            </w:r>
          </w:p>
        </w:tc>
        <w:tc>
          <w:tcPr>
            <w:tcW w:w="0" w:type="dxa"/>
            <w:vAlign w:val="bottom"/>
          </w:tcPr>
          <w:p>
            <w:pPr>
              <w:spacing w:after="0"/>
              <w:rPr>
                <w:sz w:val="1"/>
                <w:szCs w:val="1"/>
                <w:color w:val="auto"/>
              </w:rPr>
            </w:pPr>
          </w:p>
        </w:tc>
      </w:tr>
      <w:tr>
        <w:trPr>
          <w:trHeight w:val="216"/>
        </w:trPr>
        <w:tc>
          <w:tcPr>
            <w:tcW w:w="7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438,629</w:t>
            </w:r>
          </w:p>
        </w:tc>
        <w:tc>
          <w:tcPr>
            <w:tcW w:w="620" w:type="dxa"/>
            <w:vAlign w:val="bottom"/>
          </w:tcPr>
          <w:p>
            <w:pPr>
              <w:spacing w:after="0"/>
              <w:rPr>
                <w:sz w:val="18"/>
                <w:szCs w:val="18"/>
                <w:color w:val="auto"/>
              </w:rPr>
            </w:pPr>
          </w:p>
        </w:tc>
        <w:tc>
          <w:tcPr>
            <w:tcW w:w="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350,331</w:t>
            </w:r>
          </w:p>
        </w:tc>
        <w:tc>
          <w:tcPr>
            <w:tcW w:w="6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44,105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61,681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59,217</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53,100</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73,354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73,346</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37,278</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21,916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18,996</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8,830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8,971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7,677</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contract asset, less current portion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24,948</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21,499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20,288</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23,398</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20,530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19,535</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631,364</w:t>
            </w:r>
          </w:p>
        </w:tc>
        <w:tc>
          <w:tcPr>
            <w:tcW w:w="6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564,052</w:t>
            </w:r>
          </w:p>
        </w:tc>
        <w:tc>
          <w:tcPr>
            <w:tcW w:w="6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deficit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45,987</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54,421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43,997</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55,272</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82,517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82,250</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50,142</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64,860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57,352</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2,355</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8,213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7,337</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6,070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6,437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6,542</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8,500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6,382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3,703</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dividends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8,343</w:t>
            </w:r>
          </w:p>
        </w:tc>
        <w:tc>
          <w:tcPr>
            <w:tcW w:w="0" w:type="dxa"/>
            <w:vAlign w:val="bottom"/>
          </w:tcPr>
          <w:p>
            <w:pPr>
              <w:spacing w:after="0"/>
              <w:rPr>
                <w:sz w:val="1"/>
                <w:szCs w:val="1"/>
                <w:color w:val="auto"/>
              </w:rPr>
            </w:pPr>
          </w:p>
        </w:tc>
      </w:tr>
      <w:tr>
        <w:trPr>
          <w:trHeight w:val="26"/>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174,239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232,627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209,524</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37,125</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32,040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32,730</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Minimum accrued data licensing fees, less current portion</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6,613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221,094</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193,124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186,733</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42,500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34,500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35,300</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9,604</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19,751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18,145</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payable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39,485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55,321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58,964</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168,452</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256,541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259,196</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35,136</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16,768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8,303</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734,248</w:t>
            </w:r>
          </w:p>
        </w:tc>
        <w:tc>
          <w:tcPr>
            <w:tcW w:w="6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840,672</w:t>
            </w:r>
          </w:p>
        </w:tc>
        <w:tc>
          <w:tcPr>
            <w:tcW w:w="6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ind w:left="5560"/>
              <w:spacing w:after="0"/>
              <w:rPr>
                <w:sz w:val="20"/>
                <w:szCs w:val="20"/>
                <w:color w:val="auto"/>
              </w:rPr>
            </w:pPr>
            <w:r>
              <w:rPr>
                <w:rFonts w:ascii="Times New Roman" w:cs="Times New Roman" w:eastAsia="Times New Roman" w:hAnsi="Times New Roman"/>
                <w:sz w:val="18"/>
                <w:szCs w:val="18"/>
                <w:color w:val="auto"/>
              </w:rPr>
              <w:t>F-3</w:t>
            </w: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40" w:type="dxa"/>
            <w:vAlign w:val="bottom"/>
            <w:vMerge w:val="restart"/>
          </w:tcPr>
          <w:p>
            <w:pPr>
              <w:ind w:left="33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3"/>
                <w:szCs w:val="13"/>
                <w:color w:val="auto"/>
              </w:rPr>
            </w:pPr>
          </w:p>
        </w:tc>
        <w:tc>
          <w:tcPr>
            <w:tcW w:w="1360" w:type="dxa"/>
            <w:vAlign w:val="bottom"/>
            <w:gridSpan w:val="2"/>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3"/>
                <w:szCs w:val="13"/>
                <w:color w:val="auto"/>
              </w:rPr>
            </w:pPr>
          </w:p>
        </w:tc>
        <w:tc>
          <w:tcPr>
            <w:tcW w:w="1380" w:type="dxa"/>
            <w:vAlign w:val="bottom"/>
            <w:gridSpan w:val="2"/>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3"/>
                <w:szCs w:val="13"/>
                <w:color w:val="auto"/>
              </w:rPr>
            </w:pPr>
          </w:p>
        </w:tc>
        <w:tc>
          <w:tcPr>
            <w:tcW w:w="1040" w:type="dxa"/>
            <w:vAlign w:val="bottom"/>
            <w:gridSpan w:val="2"/>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4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37"/>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4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Convertible redeemable preferred stock, $0.0001 par value, 65,441,289, 69,803,765, and</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69,803,765 shares authorized at December 31, 2022 and 2023 and March 31, 2024,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 62,692,927, 63,525,953, and 63,603,084 shares issued and outstanding at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2022 and 2023 and March 31, 2024, respectively; aggregate liquidation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preference of $1,043,757, $1,130,429, and $1,143,105 at December 31, 2022 and 2023 and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March 31, 2024, respectively</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1,026,143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1,105,543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1,134,802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4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Voting Common Stock, $0.0001 par value, 195,865,548 shares authorized at December 31,</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2022 and 200,228,024 shares authorized at December 31, 2023 and March 31, 2024,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58,367,961 shares issued and outstanding at December 31, 2022 and 2023 and March 31,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4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Non-voting Common Stock, $0.0001 par value, 66,946,627 shares authorized at</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2022 and 2023 and March 31, 2024; 4,932,415 shares issued and</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at December 31, 2022 and 5,205,802 shares issued and 5,060,336 shares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at December 31, 2023 and 5,214,943 shares issued and 5,069,477 shares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Stock, 145,466 shares at December 31, 2022 and 2023 and March 31, 2024, at cost</w:t>
            </w:r>
          </w:p>
        </w:tc>
        <w:tc>
          <w:tcPr>
            <w:tcW w:w="80" w:type="dxa"/>
            <w:vAlign w:val="bottom"/>
          </w:tcPr>
          <w:p>
            <w:pPr>
              <w:spacing w:after="0"/>
              <w:rPr>
                <w:sz w:val="18"/>
                <w:szCs w:val="18"/>
                <w:color w:val="auto"/>
              </w:rPr>
            </w:pPr>
          </w:p>
        </w:tc>
        <w:tc>
          <w:tcPr>
            <w:tcW w:w="136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3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(3,602)</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18,345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18,689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(1,138,302)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(1,396,917)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(1,489,467)</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(1,129,027</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(1,382,163</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(1,474,425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 and Stockholders’ deficit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564,052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469,272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340"/>
          </w:cols>
          <w:pgMar w:left="320" w:top="448" w:right="2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3"/>
        </w:trPr>
        <w:tc>
          <w:tcPr>
            <w:tcW w:w="6920" w:type="dxa"/>
            <w:vAlign w:val="bottom"/>
          </w:tcPr>
          <w:p>
            <w:pPr>
              <w:spacing w:after="0"/>
              <w:rPr>
                <w:sz w:val="9"/>
                <w:szCs w:val="9"/>
                <w:color w:val="auto"/>
              </w:rPr>
            </w:pPr>
          </w:p>
        </w:tc>
        <w:tc>
          <w:tcPr>
            <w:tcW w:w="1260" w:type="dxa"/>
            <w:vAlign w:val="bottom"/>
            <w:tcBorders>
              <w:top w:val="single" w:sz="8" w:color="auto"/>
            </w:tcBorders>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Borders>
              <w:top w:val="single" w:sz="8" w:color="auto"/>
            </w:tcBorders>
            <w:gridSpan w:val="3"/>
          </w:tcPr>
          <w:p>
            <w:pPr>
              <w:jc w:val="right"/>
              <w:ind w:right="378"/>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8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tcPr>
          <w:p>
            <w:pPr>
              <w:jc w:val="right"/>
              <w:ind w:right="453"/>
              <w:spacing w:after="0" w:line="13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Genomics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197,984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363,022</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82,058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w w:val="99"/>
              </w:rPr>
              <w:t>102,569</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Data and services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122,684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33,566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43,251</w:t>
            </w:r>
          </w:p>
        </w:tc>
        <w:tc>
          <w:tcPr>
            <w:tcW w:w="0" w:type="dxa"/>
            <w:vAlign w:val="bottom"/>
          </w:tcPr>
          <w:p>
            <w:pPr>
              <w:spacing w:after="0"/>
              <w:rPr>
                <w:sz w:val="1"/>
                <w:szCs w:val="1"/>
                <w:color w:val="auto"/>
              </w:rPr>
            </w:pPr>
          </w:p>
        </w:tc>
      </w:tr>
      <w:tr>
        <w:trPr>
          <w:trHeight w:val="216"/>
        </w:trPr>
        <w:tc>
          <w:tcPr>
            <w:tcW w:w="6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115,624</w:t>
            </w:r>
          </w:p>
        </w:tc>
        <w:tc>
          <w:tcPr>
            <w:tcW w:w="4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145,820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40" w:type="dxa"/>
            <w:vAlign w:val="bottom"/>
          </w:tcPr>
          <w:p>
            <w:pPr>
              <w:spacing w:after="0"/>
              <w:rPr>
                <w:sz w:val="18"/>
                <w:szCs w:val="18"/>
                <w:color w:val="auto"/>
              </w:rPr>
            </w:pPr>
          </w:p>
        </w:tc>
        <w:tc>
          <w:tcPr>
            <w:tcW w:w="112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150,255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45,280</w:t>
            </w:r>
          </w:p>
        </w:tc>
        <w:tc>
          <w:tcPr>
            <w:tcW w:w="100" w:type="dxa"/>
            <w:vAlign w:val="bottom"/>
          </w:tcPr>
          <w:p>
            <w:pPr>
              <w:spacing w:after="0"/>
              <w:rPr>
                <w:sz w:val="18"/>
                <w:szCs w:val="18"/>
                <w:color w:val="auto"/>
              </w:rPr>
            </w:pPr>
          </w:p>
        </w:tc>
        <w:tc>
          <w:tcPr>
            <w:tcW w:w="7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52,835</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40,227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56,482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11,393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15,288</w:t>
            </w:r>
          </w:p>
        </w:tc>
        <w:tc>
          <w:tcPr>
            <w:tcW w:w="0" w:type="dxa"/>
            <w:vAlign w:val="bottom"/>
          </w:tcPr>
          <w:p>
            <w:pPr>
              <w:spacing w:after="0"/>
              <w:rPr>
                <w:sz w:val="1"/>
                <w:szCs w:val="1"/>
                <w:color w:val="auto"/>
              </w:rPr>
            </w:pPr>
          </w:p>
        </w:tc>
      </w:tr>
      <w:tr>
        <w:trPr>
          <w:trHeight w:val="21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40" w:type="dxa"/>
            <w:vAlign w:val="bottom"/>
          </w:tcPr>
          <w:p>
            <w:pPr>
              <w:spacing w:after="0"/>
              <w:rPr>
                <w:sz w:val="18"/>
                <w:szCs w:val="18"/>
                <w:color w:val="auto"/>
              </w:rPr>
            </w:pPr>
          </w:p>
        </w:tc>
        <w:tc>
          <w:tcPr>
            <w:tcW w:w="112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79,093</w:t>
            </w:r>
          </w:p>
        </w:tc>
        <w:tc>
          <w:tcPr>
            <w:tcW w:w="160" w:type="dxa"/>
            <w:vAlign w:val="bottom"/>
          </w:tcPr>
          <w:p>
            <w:pPr>
              <w:spacing w:after="0"/>
              <w:rPr>
                <w:sz w:val="18"/>
                <w:szCs w:val="18"/>
                <w:color w:val="auto"/>
              </w:rPr>
            </w:pPr>
          </w:p>
        </w:tc>
        <w:tc>
          <w:tcPr>
            <w:tcW w:w="9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95,155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22,902</w:t>
            </w:r>
          </w:p>
        </w:tc>
        <w:tc>
          <w:tcPr>
            <w:tcW w:w="100" w:type="dxa"/>
            <w:vAlign w:val="bottom"/>
          </w:tcPr>
          <w:p>
            <w:pPr>
              <w:spacing w:after="0"/>
              <w:rPr>
                <w:sz w:val="18"/>
                <w:szCs w:val="18"/>
                <w:color w:val="auto"/>
              </w:rPr>
            </w:pPr>
          </w:p>
        </w:tc>
        <w:tc>
          <w:tcPr>
            <w:tcW w:w="7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27,067</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83,158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90,343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20,863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24,340</w:t>
            </w:r>
          </w:p>
        </w:tc>
        <w:tc>
          <w:tcPr>
            <w:tcW w:w="0" w:type="dxa"/>
            <w:vAlign w:val="bottom"/>
          </w:tcPr>
          <w:p>
            <w:pPr>
              <w:spacing w:after="0"/>
              <w:rPr>
                <w:sz w:val="1"/>
                <w:szCs w:val="1"/>
                <w:color w:val="auto"/>
              </w:rPr>
            </w:pPr>
          </w:p>
        </w:tc>
      </w:tr>
      <w:tr>
        <w:trPr>
          <w:trHeight w:val="21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112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233,377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69,047</w:t>
            </w:r>
          </w:p>
        </w:tc>
        <w:tc>
          <w:tcPr>
            <w:tcW w:w="100" w:type="dxa"/>
            <w:vAlign w:val="bottom"/>
          </w:tcPr>
          <w:p>
            <w:pPr>
              <w:spacing w:after="0"/>
              <w:rPr>
                <w:sz w:val="18"/>
                <w:szCs w:val="18"/>
                <w:color w:val="auto"/>
              </w:rPr>
            </w:pPr>
          </w:p>
        </w:tc>
        <w:tc>
          <w:tcPr>
            <w:tcW w:w="7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79,564</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586,110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w w:val="95"/>
              </w:rPr>
              <w:t>169,485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99"/>
              </w:rPr>
              <w:t>199,094</w:t>
            </w:r>
          </w:p>
        </w:tc>
        <w:tc>
          <w:tcPr>
            <w:tcW w:w="0" w:type="dxa"/>
            <w:vAlign w:val="bottom"/>
          </w:tcPr>
          <w:p>
            <w:pPr>
              <w:spacing w:after="0"/>
              <w:rPr>
                <w:sz w:val="1"/>
                <w:szCs w:val="1"/>
                <w:color w:val="auto"/>
              </w:rPr>
            </w:pPr>
          </w:p>
        </w:tc>
      </w:tr>
      <w:tr>
        <w:trPr>
          <w:trHeight w:val="223"/>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(265,442</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(196,083</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(53,861</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3,032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1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1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(21,894)</w:t>
            </w:r>
          </w:p>
        </w:tc>
        <w:tc>
          <w:tcPr>
            <w:tcW w:w="16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(46,869)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(9,191)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(4,846)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21,822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(289,150)</w:t>
            </w: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(213,529)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(54,240)</w:t>
            </w:r>
          </w:p>
        </w:tc>
        <w:tc>
          <w:tcPr>
            <w:tcW w:w="4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(64,732)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40" w:type="dxa"/>
            <w:vAlign w:val="bottom"/>
          </w:tcPr>
          <w:p>
            <w:pPr>
              <w:spacing w:after="0"/>
              <w:rPr>
                <w:sz w:val="18"/>
                <w:szCs w:val="18"/>
                <w:color w:val="auto"/>
              </w:rPr>
            </w:pPr>
          </w:p>
        </w:tc>
        <w:tc>
          <w:tcPr>
            <w:tcW w:w="11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(289,811)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9"/>
              </w:rPr>
              <w:t>(214,118)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(54,377)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(64,743)</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(4,338)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Dividends on Series A, B, B-1, B-2, C, D, E, F, G G-3, and G-4 preferred shares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(40,975)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(44,497)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(10,669)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(27,807)</w:t>
            </w:r>
          </w:p>
        </w:tc>
        <w:tc>
          <w:tcPr>
            <w:tcW w:w="0" w:type="dxa"/>
            <w:vAlign w:val="bottom"/>
          </w:tcPr>
          <w:p>
            <w:pPr>
              <w:spacing w:after="0"/>
              <w:rPr>
                <w:sz w:val="1"/>
                <w:szCs w:val="1"/>
                <w:color w:val="auto"/>
              </w:rPr>
            </w:pPr>
          </w:p>
        </w:tc>
      </w:tr>
      <w:tr>
        <w:trPr>
          <w:trHeight w:val="210"/>
        </w:trPr>
        <w:tc>
          <w:tcPr>
            <w:tcW w:w="6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40" w:type="dxa"/>
            <w:vAlign w:val="bottom"/>
          </w:tcPr>
          <w:p>
            <w:pPr>
              <w:spacing w:after="0"/>
              <w:rPr>
                <w:sz w:val="18"/>
                <w:szCs w:val="18"/>
                <w:color w:val="auto"/>
              </w:rPr>
            </w:pPr>
          </w:p>
        </w:tc>
        <w:tc>
          <w:tcPr>
            <w:tcW w:w="11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(2,841)</w:t>
            </w:r>
          </w:p>
        </w:tc>
        <w:tc>
          <w:tcPr>
            <w:tcW w:w="16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(3,011)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(333,928)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9"/>
              </w:rPr>
              <w:t>(265,964)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(65,767)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(93,056)</w:t>
            </w:r>
          </w:p>
        </w:tc>
        <w:tc>
          <w:tcPr>
            <w:tcW w:w="0" w:type="dxa"/>
            <w:vAlign w:val="bottom"/>
          </w:tcPr>
          <w:p>
            <w:pPr>
              <w:spacing w:after="0"/>
              <w:rPr>
                <w:sz w:val="1"/>
                <w:szCs w:val="1"/>
                <w:color w:val="auto"/>
              </w:rPr>
            </w:pPr>
          </w:p>
        </w:tc>
      </w:tr>
      <w:tr>
        <w:trPr>
          <w:trHeight w:val="21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2"/>
        </w:trPr>
        <w:tc>
          <w:tcPr>
            <w:tcW w:w="692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63,032</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63,306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63,229</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63,430</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Loss, net of tax</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(289,811)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9"/>
              </w:rPr>
              <w:t>(214,118)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(54,377)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(64,743)</w:t>
            </w:r>
          </w:p>
        </w:tc>
        <w:tc>
          <w:tcPr>
            <w:tcW w:w="0" w:type="dxa"/>
            <w:vAlign w:val="bottom"/>
          </w:tcPr>
          <w:p>
            <w:pPr>
              <w:spacing w:after="0"/>
              <w:rPr>
                <w:sz w:val="1"/>
                <w:szCs w:val="1"/>
                <w:color w:val="auto"/>
              </w:rPr>
            </w:pPr>
          </w:p>
        </w:tc>
      </w:tr>
      <w:tr>
        <w:trPr>
          <w:trHeight w:val="210"/>
        </w:trPr>
        <w:tc>
          <w:tcPr>
            <w:tcW w:w="6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(289,782)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9"/>
              </w:rPr>
              <w:t>(214,131)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(54,405)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(64,799)</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340"/>
          </w:cols>
          <w:pgMar w:left="320" w:top="448" w:right="2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980" w:type="dxa"/>
            <w:vAlign w:val="bottom"/>
            <w:gridSpan w:val="3"/>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9"/>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4"/>
          </w:tcPr>
          <w:p>
            <w:pPr>
              <w:jc w:val="right"/>
              <w:ind w:right="413"/>
              <w:spacing w:after="0" w:line="13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(289,811)</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(214,118)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w w:val="97"/>
              </w:rPr>
              <w:t>(54,377)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(64,743)</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4,700</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(6,400)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marketable equity securities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(9,807)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(6,246)</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(3,701)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warrant contract asset</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4,720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30,029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33,049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7,948</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9,189</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3,867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1,938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asset</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4,700</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equity-method investments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finance right-of-use lease assets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6,427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1,674</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7,359</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PIK interest added to principal</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2,182</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(8,203)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(7,347)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(9,678)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(13,552)</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(1,312)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(6,563)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(2,929)</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(1,284)</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(6,474)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(5,729)</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(2,296)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(4,209)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(4,236)</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(7,915)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(23,363)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4,533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(12,057)</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67,626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(26,412)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(3,832)</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(15,974)</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(6,746)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(9,121)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(4,867)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(2,750)</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22,803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38,577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(4,252)</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(2,353)</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payable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16,395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15,836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3,785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3,643</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(7,439)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(8,761)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(2,339)</w:t>
            </w:r>
          </w:p>
        </w:tc>
      </w:tr>
      <w:tr>
        <w:trPr>
          <w:trHeight w:val="26"/>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(168,204)</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(214,339)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7"/>
              </w:rPr>
              <w:t>(66,262)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(101,378)</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(18,377)</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(34,608)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(6,226)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(6,108)</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marketable equity securities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23,098</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 (Note 3)</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(39,562)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(5,705)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(2,869)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1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(57,939</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(40,313</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16,990</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G-3 Preferred Stock, net of offering costs</w:t>
            </w:r>
          </w:p>
        </w:tc>
        <w:tc>
          <w:tcPr>
            <w:tcW w:w="20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92,199</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G-4 Preferred Stock, net of offering costs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44,885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(3,602)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(3,602)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(2,883)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(5,625)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(5,625)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 net of original issue discount</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170,625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82,875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Payment of indemnity holdback related to acquisition</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(813)</w:t>
            </w:r>
          </w:p>
        </w:tc>
      </w:tr>
      <w:tr>
        <w:trPr>
          <w:trHeight w:val="26"/>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117,547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(3,785)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(1,378)</w:t>
            </w: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18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r>
      <w:tr>
        <w:trPr>
          <w:trHeight w:val="360"/>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F-6</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vMerge w:val="restart"/>
          </w:tcPr>
          <w:p>
            <w:pPr>
              <w:ind w:left="326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5"/>
          </w:tcPr>
          <w:p>
            <w:pPr>
              <w:ind w:left="420"/>
              <w:spacing w:after="0" w:line="13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25,265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(137,124)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(79,173)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(85,815)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278,466</w:t>
            </w:r>
          </w:p>
        </w:tc>
        <w:tc>
          <w:tcPr>
            <w:tcW w:w="1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303,731</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2"/>
              </w:rPr>
              <w:t>303,731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166,607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303,731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166,607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2"/>
              </w:rPr>
              <w:t>224,558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80,792</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302,938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165,767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2"/>
              </w:rPr>
              <w:t>223,756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303,731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166,607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2"/>
              </w:rPr>
              <w:t>224,558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80,792</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4,664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16,913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161</w:t>
            </w:r>
          </w:p>
        </w:tc>
        <w:tc>
          <w:tcPr>
            <w:tcW w:w="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Marketable equity securities received on accounts receivable</w:t>
            </w:r>
          </w:p>
        </w:tc>
        <w:tc>
          <w:tcPr>
            <w:tcW w:w="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Times New Roman" w:cs="Times New Roman" w:eastAsia="Times New Roman" w:hAnsi="Times New Roman"/>
                <w:sz w:val="18"/>
                <w:szCs w:val="18"/>
                <w:color w:val="auto"/>
              </w:rPr>
              <w:t>22,000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12,535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2,408</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6,137</w:t>
            </w:r>
          </w:p>
        </w:tc>
        <w:tc>
          <w:tcPr>
            <w:tcW w:w="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2,340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180"/>
              <w:spacing w:after="0" w:line="202" w:lineRule="exact"/>
              <w:rPr>
                <w:sz w:val="20"/>
                <w:szCs w:val="20"/>
                <w:color w:val="auto"/>
              </w:rPr>
            </w:pPr>
            <w:r>
              <w:rPr>
                <w:rFonts w:ascii="Times New Roman" w:cs="Times New Roman" w:eastAsia="Times New Roman" w:hAnsi="Times New Roman"/>
                <w:sz w:val="18"/>
                <w:szCs w:val="18"/>
                <w:color w:val="auto"/>
                <w:w w:val="88"/>
              </w:rPr>
              <w:t>1,379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Times New Roman" w:cs="Times New Roman" w:eastAsia="Times New Roman" w:hAnsi="Times New Roman"/>
                <w:sz w:val="18"/>
                <w:szCs w:val="18"/>
                <w:color w:val="auto"/>
              </w:rPr>
              <w:t>2,391</w:t>
            </w:r>
          </w:p>
        </w:tc>
        <w:tc>
          <w:tcPr>
            <w:tcW w:w="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Times New Roman" w:cs="Times New Roman" w:eastAsia="Times New Roman" w:hAnsi="Times New Roman"/>
                <w:sz w:val="18"/>
                <w:szCs w:val="18"/>
                <w:color w:val="auto"/>
              </w:rPr>
              <w:t>3,504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2,624</w:t>
            </w:r>
          </w:p>
        </w:tc>
        <w:tc>
          <w:tcPr>
            <w:tcW w:w="2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Redemption of convertible promissory note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17,142</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27,970</w:t>
            </w:r>
          </w:p>
        </w:tc>
        <w:tc>
          <w:tcPr>
            <w:tcW w:w="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5,060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180"/>
              <w:spacing w:after="0" w:line="202" w:lineRule="exact"/>
              <w:rPr>
                <w:sz w:val="20"/>
                <w:szCs w:val="20"/>
                <w:color w:val="auto"/>
              </w:rPr>
            </w:pPr>
            <w:r>
              <w:rPr>
                <w:rFonts w:ascii="Times New Roman" w:cs="Times New Roman" w:eastAsia="Times New Roman" w:hAnsi="Times New Roman"/>
                <w:sz w:val="18"/>
                <w:szCs w:val="18"/>
                <w:color w:val="auto"/>
                <w:w w:val="88"/>
              </w:rPr>
              <w:t>6,391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Non-voting common stock issued in connection with business combinations</w:t>
            </w:r>
          </w:p>
        </w:tc>
        <w:tc>
          <w:tcPr>
            <w:tcW w:w="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Times New Roman" w:cs="Times New Roman" w:eastAsia="Times New Roman" w:hAnsi="Times New Roman"/>
                <w:sz w:val="18"/>
                <w:szCs w:val="18"/>
                <w:color w:val="auto"/>
              </w:rPr>
              <w:t>4,947</w:t>
            </w:r>
          </w:p>
        </w:tc>
        <w:tc>
          <w:tcPr>
            <w:tcW w:w="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Times New Roman" w:cs="Times New Roman" w:eastAsia="Times New Roman" w:hAnsi="Times New Roman"/>
                <w:sz w:val="18"/>
                <w:szCs w:val="18"/>
                <w:color w:val="auto"/>
              </w:rPr>
              <w:t>9,209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4,305</w:t>
            </w:r>
          </w:p>
        </w:tc>
        <w:tc>
          <w:tcPr>
            <w:tcW w:w="2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4,338</w:t>
            </w:r>
          </w:p>
        </w:tc>
        <w:tc>
          <w:tcPr>
            <w:tcW w:w="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Non-voting common stock issued in connection with contingent consideration</w:t>
            </w:r>
          </w:p>
        </w:tc>
        <w:tc>
          <w:tcPr>
            <w:tcW w:w="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Times New Roman" w:cs="Times New Roman" w:eastAsia="Times New Roman" w:hAnsi="Times New Roman"/>
                <w:sz w:val="18"/>
                <w:szCs w:val="18"/>
                <w:color w:val="auto"/>
              </w:rPr>
              <w:t>4,304</w:t>
            </w:r>
          </w:p>
        </w:tc>
        <w:tc>
          <w:tcPr>
            <w:tcW w:w="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8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41,815</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1,097</w:t>
            </w:r>
          </w:p>
        </w:tc>
        <w:tc>
          <w:tcPr>
            <w:tcW w:w="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w w:val="88"/>
              </w:rPr>
              <w:t>892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Finance lease liabilities arising from obtaining right-of-use assets</w:t>
            </w:r>
          </w:p>
        </w:tc>
        <w:tc>
          <w:tcPr>
            <w:tcW w:w="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8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Issuance of Series G-3 Preferred Stock</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2,738</w:t>
            </w:r>
          </w:p>
        </w:tc>
        <w:tc>
          <w:tcPr>
            <w:tcW w:w="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2,738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180"/>
              <w:spacing w:after="0" w:line="202" w:lineRule="exact"/>
              <w:rPr>
                <w:sz w:val="20"/>
                <w:szCs w:val="20"/>
                <w:color w:val="auto"/>
              </w:rPr>
            </w:pPr>
            <w:r>
              <w:rPr>
                <w:rFonts w:ascii="Times New Roman" w:cs="Times New Roman" w:eastAsia="Times New Roman" w:hAnsi="Times New Roman"/>
                <w:sz w:val="18"/>
                <w:szCs w:val="18"/>
                <w:color w:val="auto"/>
                <w:w w:val="88"/>
              </w:rPr>
              <w:t>3,809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Issuance of warrant</w:t>
            </w:r>
          </w:p>
        </w:tc>
        <w:tc>
          <w:tcPr>
            <w:tcW w:w="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Times New Roman" w:cs="Times New Roman" w:eastAsia="Times New Roman" w:hAnsi="Times New Roman"/>
                <w:sz w:val="18"/>
                <w:szCs w:val="18"/>
                <w:color w:val="auto"/>
              </w:rPr>
              <w:t>4,223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Issuance of Series G-4 Preferred Stock</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320"/>
              <w:spacing w:after="0" w:line="202" w:lineRule="exact"/>
              <w:rPr>
                <w:sz w:val="20"/>
                <w:szCs w:val="20"/>
                <w:color w:val="auto"/>
              </w:rPr>
            </w:pPr>
            <w:r>
              <w:rPr>
                <w:rFonts w:ascii="Times New Roman" w:cs="Times New Roman" w:eastAsia="Times New Roman" w:hAnsi="Times New Roman"/>
                <w:sz w:val="18"/>
                <w:szCs w:val="18"/>
                <w:color w:val="auto"/>
                <w:w w:val="81"/>
              </w:rPr>
              <w:t>611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340"/>
          </w:cols>
          <w:pgMar w:left="320" w:top="448" w:right="2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 COMMON STOCK AND STOCKHOLDERS’ DEFICIT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7"/>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7"/>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9"/>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Voting Common</w:t>
            </w:r>
          </w:p>
        </w:tc>
        <w:tc>
          <w:tcPr>
            <w:tcW w:w="100" w:type="dxa"/>
            <w:vAlign w:val="bottom"/>
          </w:tcPr>
          <w:p>
            <w:pPr>
              <w:spacing w:after="0"/>
              <w:rPr>
                <w:sz w:val="13"/>
                <w:szCs w:val="13"/>
                <w:color w:val="auto"/>
              </w:rPr>
            </w:pPr>
          </w:p>
        </w:tc>
        <w:tc>
          <w:tcPr>
            <w:tcW w:w="980" w:type="dxa"/>
            <w:vAlign w:val="bottom"/>
            <w:gridSpan w:val="8"/>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13"/>
                <w:szCs w:val="13"/>
                <w:color w:val="auto"/>
              </w:rPr>
            </w:pPr>
          </w:p>
        </w:tc>
        <w:tc>
          <w:tcPr>
            <w:tcW w:w="8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7"/>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9"/>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8"/>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6"/>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10"/>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3"/>
                <w:szCs w:val="13"/>
                <w:color w:val="auto"/>
              </w:rPr>
            </w:pPr>
          </w:p>
        </w:tc>
        <w:tc>
          <w:tcPr>
            <w:tcW w:w="10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top w:val="single" w:sz="8" w:color="auto"/>
            </w:tcBorders>
            <w:gridSpan w:val="4"/>
          </w:tcPr>
          <w:p>
            <w:pPr>
              <w:jc w:val="right"/>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4"/>
          </w:tcPr>
          <w:p>
            <w:pPr>
              <w:jc w:val="right"/>
              <w:ind w:right="50"/>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gridSpan w:val="4"/>
          </w:tcPr>
          <w:p>
            <w:pPr>
              <w:ind w:left="1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gridSpan w:val="5"/>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940" w:type="dxa"/>
            <w:vAlign w:val="bottom"/>
            <w:tcBorders>
              <w:top w:val="single" w:sz="8" w:color="auto"/>
            </w:tcBorders>
            <w:gridSpan w:val="7"/>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Units  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1"/>
                <w:szCs w:val="11"/>
                <w:color w:val="auto"/>
              </w:rPr>
            </w:pPr>
          </w:p>
        </w:tc>
        <w:tc>
          <w:tcPr>
            <w:tcW w:w="84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40" w:type="dxa"/>
            <w:vAlign w:val="bottom"/>
            <w:gridSpan w:val="3"/>
          </w:tcPr>
          <w:p>
            <w:pPr>
              <w:jc w:val="center"/>
              <w:ind w:right="120"/>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79"/>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3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3"/>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61,078,813</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right w:val="single" w:sz="8" w:color="CCEEFF"/>
            </w:tcBorders>
            <w:gridSpan w:val="4"/>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898,291</w:t>
            </w:r>
          </w:p>
        </w:tc>
        <w:tc>
          <w:tcPr>
            <w:tcW w:w="16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4"/>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w w:val="95"/>
              </w:rPr>
              <w:t>58,367,961</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center"/>
              <w:ind w:right="30"/>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w w:val="79"/>
              </w:rPr>
              <w:t>6</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gridSpan w:val="4"/>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4,612,450</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center"/>
              <w:ind w:right="30"/>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center"/>
              <w:ind w:right="90"/>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360"/>
              <w:spacing w:after="0" w:line="138"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(807,486)</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(807,491)</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80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4"/>
                <w:szCs w:val="14"/>
                <w:color w:val="auto"/>
              </w:rPr>
              <w:t>Issuance of Series G-3 Preferred</w:t>
            </w:r>
          </w:p>
        </w:tc>
        <w:tc>
          <w:tcPr>
            <w:tcW w:w="754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3"/>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 net of stock issuance costs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92,199</w:t>
            </w: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$301</w:t>
            </w: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1,614,114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w w:val="98"/>
              </w:rPr>
              <w:t>Impact of adoption of Topic 842</w:t>
            </w: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tcBorders>
              <w:right w:val="single" w:sz="8" w:color="CCEEFF"/>
            </w:tcBorders>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5" w:lineRule="exact"/>
              <w:rPr>
                <w:sz w:val="20"/>
                <w:szCs w:val="20"/>
                <w:color w:val="auto"/>
              </w:rPr>
            </w:pPr>
            <w:r>
              <w:rPr>
                <w:rFonts w:ascii="Times New Roman" w:cs="Times New Roman" w:eastAsia="Times New Roman" w:hAnsi="Times New Roman"/>
                <w:sz w:val="14"/>
                <w:szCs w:val="14"/>
                <w:color w:val="auto"/>
                <w:w w:val="85"/>
              </w:rPr>
              <w:t>271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9"/>
              <w:spacing w:after="0" w:line="145" w:lineRule="exact"/>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w:t>
            </w:r>
          </w:p>
        </w:tc>
        <w:tc>
          <w:tcPr>
            <w:tcW w:w="100" w:type="dxa"/>
            <w:vAlign w:val="bottom"/>
          </w:tcPr>
          <w:p>
            <w:pPr>
              <w:spacing w:after="0"/>
              <w:rPr>
                <w:sz w:val="10"/>
                <w:szCs w:val="10"/>
                <w:color w:val="auto"/>
              </w:rPr>
            </w:pP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75"/>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301</w:t>
            </w: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10"/>
                <w:szCs w:val="10"/>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to redemption value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3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75"/>
              </w:rPr>
              <w:t>— </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vMerge w:val="continue"/>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35,352</w:t>
            </w: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w w:val="85"/>
              </w:rPr>
              <w:t>301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(41,276)</w:t>
            </w: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(40,975)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Non-voting common stock issued in</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connection with contingent</w:t>
            </w: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gridSpan w:val="6"/>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145,466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4,304</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4,304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consideration</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6"/>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color w:val="auto"/>
              </w:rPr>
              <w:t>Non-voting common stock issued in</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connection with contingent</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6"/>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174,499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4,947</w:t>
            </w:r>
          </w:p>
        </w:tc>
        <w:tc>
          <w:tcPr>
            <w:tcW w:w="12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4,947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consideration</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tcBorders>
              <w:right w:val="single" w:sz="8" w:color="CCEEFF"/>
            </w:tcBorders>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(289,811)</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(289,811)</w:t>
            </w:r>
          </w:p>
        </w:tc>
        <w:tc>
          <w:tcPr>
            <w:tcW w:w="0" w:type="dxa"/>
            <w:vAlign w:val="bottom"/>
          </w:tcPr>
          <w:p>
            <w:pPr>
              <w:spacing w:after="0"/>
              <w:rPr>
                <w:sz w:val="1"/>
                <w:szCs w:val="1"/>
                <w:color w:val="auto"/>
              </w:rPr>
            </w:pPr>
          </w:p>
        </w:tc>
      </w:tr>
      <w:tr>
        <w:trPr>
          <w:trHeight w:val="151"/>
        </w:trPr>
        <w:tc>
          <w:tcPr>
            <w:tcW w:w="184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340" w:type="dxa"/>
            <w:vAlign w:val="bottom"/>
          </w:tcPr>
          <w:p>
            <w:pPr>
              <w:spacing w:after="0"/>
              <w:rPr>
                <w:sz w:val="13"/>
                <w:szCs w:val="13"/>
                <w:color w:val="auto"/>
              </w:rPr>
            </w:pPr>
          </w:p>
        </w:tc>
        <w:tc>
          <w:tcPr>
            <w:tcW w:w="660" w:type="dxa"/>
            <w:vAlign w:val="bottom"/>
            <w:tcBorders>
              <w:top w:val="single" w:sz="8" w:color="auto"/>
              <w:bottom w:val="single" w:sz="8" w:color="auto"/>
            </w:tcBorders>
            <w:gridSpan w:val="3"/>
          </w:tcPr>
          <w:p>
            <w:pPr>
              <w:jc w:val="right"/>
              <w:spacing w:after="0" w:line="151" w:lineRule="exact"/>
              <w:rPr>
                <w:sz w:val="20"/>
                <w:szCs w:val="20"/>
                <w:color w:val="auto"/>
              </w:rPr>
            </w:pPr>
            <w:r>
              <w:rPr>
                <w:rFonts w:ascii="Times New Roman" w:cs="Times New Roman" w:eastAsia="Times New Roman" w:hAnsi="Times New Roman"/>
                <w:sz w:val="14"/>
                <w:szCs w:val="14"/>
                <w:color w:val="auto"/>
              </w:rPr>
              <w:t>62,692,927</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620" w:type="dxa"/>
            <w:vAlign w:val="bottom"/>
            <w:tcBorders>
              <w:top w:val="single" w:sz="8" w:color="auto"/>
              <w:bottom w:val="single" w:sz="8" w:color="auto"/>
            </w:tcBorders>
            <w:gridSpan w:val="4"/>
          </w:tcPr>
          <w:p>
            <w:pPr>
              <w:jc w:val="right"/>
              <w:spacing w:after="0" w:line="151" w:lineRule="exact"/>
              <w:rPr>
                <w:sz w:val="20"/>
                <w:szCs w:val="20"/>
                <w:color w:val="auto"/>
              </w:rPr>
            </w:pPr>
            <w:r>
              <w:rPr>
                <w:rFonts w:ascii="Times New Roman" w:cs="Times New Roman" w:eastAsia="Times New Roman" w:hAnsi="Times New Roman"/>
                <w:sz w:val="14"/>
                <w:szCs w:val="14"/>
                <w:color w:val="auto"/>
                <w:w w:val="96"/>
              </w:rPr>
              <w:t>1,026,143</w:t>
            </w: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gridSpan w:val="4"/>
          </w:tcPr>
          <w:p>
            <w:pPr>
              <w:ind w:left="40"/>
              <w:spacing w:after="0" w:line="151" w:lineRule="exact"/>
              <w:rPr>
                <w:sz w:val="20"/>
                <w:szCs w:val="20"/>
                <w:color w:val="auto"/>
              </w:rPr>
            </w:pPr>
            <w:r>
              <w:rPr>
                <w:rFonts w:ascii="Times New Roman" w:cs="Times New Roman" w:eastAsia="Times New Roman" w:hAnsi="Times New Roman"/>
                <w:sz w:val="14"/>
                <w:szCs w:val="14"/>
                <w:color w:val="auto"/>
                <w:w w:val="95"/>
              </w:rPr>
              <w:t>58,367,961</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center"/>
              <w:ind w:right="3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0"/>
                <w:szCs w:val="10"/>
                <w:color w:val="auto"/>
                <w:w w:val="79"/>
              </w:rPr>
              <w:t>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gridSpan w:val="4"/>
          </w:tcPr>
          <w:p>
            <w:pPr>
              <w:jc w:val="right"/>
              <w:spacing w:after="0" w:line="151" w:lineRule="exact"/>
              <w:rPr>
                <w:sz w:val="20"/>
                <w:szCs w:val="20"/>
                <w:color w:val="auto"/>
              </w:rPr>
            </w:pPr>
            <w:r>
              <w:rPr>
                <w:rFonts w:ascii="Times New Roman" w:cs="Times New Roman" w:eastAsia="Times New Roman" w:hAnsi="Times New Roman"/>
                <w:sz w:val="14"/>
                <w:szCs w:val="14"/>
                <w:color w:val="auto"/>
              </w:rPr>
              <w:t>4,932,415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center"/>
              <w:ind w:right="3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gridSpan w:val="2"/>
          </w:tcPr>
          <w:p>
            <w:pPr>
              <w:ind w:left="120"/>
              <w:spacing w:after="0" w:line="151" w:lineRule="exact"/>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center"/>
              <w:ind w:right="9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 xml:space="preserve">—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9,251</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(1,138,302</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(1,129,027</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6"/>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6"/>
          </w:tcPr>
          <w:p>
            <w:pPr>
              <w:jc w:val="center"/>
              <w:ind w:right="30"/>
              <w:spacing w:after="0" w:line="156"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4"/>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4"/>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9"/>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20" w:type="dxa"/>
            <w:vAlign w:val="bottom"/>
            <w:gridSpan w:val="11"/>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5"/>
          </w:tcPr>
          <w:p>
            <w:pPr>
              <w:ind w:left="12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3"/>
                <w:szCs w:val="13"/>
                <w:color w:val="auto"/>
              </w:rPr>
            </w:pPr>
          </w:p>
        </w:tc>
        <w:tc>
          <w:tcPr>
            <w:tcW w:w="1040" w:type="dxa"/>
            <w:vAlign w:val="bottom"/>
            <w:gridSpan w:val="3"/>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gridSpan w:val="2"/>
          </w:tcPr>
          <w:p>
            <w:pPr>
              <w:jc w:val="right"/>
              <w:ind w:right="11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gridSpan w:val="5"/>
          </w:tcPr>
          <w:p>
            <w:pPr>
              <w:jc w:val="right"/>
              <w:ind w:right="10"/>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right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gridSpan w:val="3"/>
          </w:tcPr>
          <w:p>
            <w:pPr>
              <w:jc w:val="center"/>
              <w:ind w:right="5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3"/>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gridSpan w:val="4"/>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gridSpan w:val="4"/>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2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gridSpan w:val="3"/>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85"/>
              </w:rPr>
              <w:t>Amount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10"/>
              <w:spacing w:after="0" w:line="138"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8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7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82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Balance at December 31,</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62,692,927</w:t>
            </w:r>
          </w:p>
        </w:tc>
        <w:tc>
          <w:tcPr>
            <w:tcW w:w="800" w:type="dxa"/>
            <w:vAlign w:val="bottom"/>
            <w:gridSpan w:val="7"/>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$1,026,143</w:t>
            </w:r>
          </w:p>
        </w:tc>
        <w:tc>
          <w:tcPr>
            <w:tcW w:w="140" w:type="dxa"/>
            <w:vAlign w:val="bottom"/>
            <w:tcBorders>
              <w:right w:val="single" w:sz="8" w:color="auto"/>
            </w:tcBorders>
            <w:shd w:val="clear" w:color="auto" w:fill="CCEEFF"/>
          </w:tcPr>
          <w:p>
            <w:pPr>
              <w:spacing w:after="0"/>
              <w:rPr>
                <w:sz w:val="8"/>
                <w:szCs w:val="8"/>
                <w:color w:val="auto"/>
              </w:rPr>
            </w:pPr>
          </w:p>
        </w:tc>
        <w:tc>
          <w:tcPr>
            <w:tcW w:w="780" w:type="dxa"/>
            <w:vAlign w:val="bottom"/>
            <w:gridSpan w:val="5"/>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58,367,961</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6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4,932,415</w:t>
            </w:r>
          </w:p>
        </w:tc>
        <w:tc>
          <w:tcPr>
            <w:tcW w:w="60" w:type="dxa"/>
            <w:vAlign w:val="bottom"/>
            <w:shd w:val="clear" w:color="auto" w:fill="CCEEFF"/>
          </w:tcPr>
          <w:p>
            <w:pPr>
              <w:spacing w:after="0"/>
              <w:rPr>
                <w:sz w:val="8"/>
                <w:szCs w:val="8"/>
                <w:color w:val="auto"/>
              </w:rPr>
            </w:pP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8"/>
                <w:szCs w:val="8"/>
                <w:color w:val="auto"/>
              </w:rPr>
            </w:pPr>
          </w:p>
        </w:tc>
        <w:tc>
          <w:tcPr>
            <w:tcW w:w="3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9,251</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(1,138,302)</w:t>
            </w:r>
          </w:p>
        </w:tc>
        <w:tc>
          <w:tcPr>
            <w:tcW w:w="16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8"/>
                <w:szCs w:val="8"/>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(1,129,027)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gridSpan w:val="2"/>
            <w:vMerge w:val="continue"/>
            <w:shd w:val="clear" w:color="auto" w:fill="CCEEFF"/>
          </w:tcPr>
          <w:p>
            <w:pPr>
              <w:spacing w:after="0"/>
              <w:rPr>
                <w:sz w:val="14"/>
                <w:szCs w:val="14"/>
                <w:color w:val="auto"/>
              </w:rPr>
            </w:pPr>
          </w:p>
        </w:tc>
        <w:tc>
          <w:tcPr>
            <w:tcW w:w="800" w:type="dxa"/>
            <w:vAlign w:val="bottom"/>
            <w:gridSpan w:val="7"/>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780" w:type="dxa"/>
            <w:vAlign w:val="bottom"/>
            <w:gridSpan w:val="5"/>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600" w:type="dxa"/>
            <w:vAlign w:val="bottom"/>
            <w:gridSpan w:val="4"/>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360" w:type="dxa"/>
            <w:vAlign w:val="bottom"/>
            <w:gridSpan w:val="3"/>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G-3</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47,781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2,738</w:t>
            </w:r>
          </w:p>
        </w:tc>
        <w:tc>
          <w:tcPr>
            <w:tcW w:w="1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Preferred Stock</w:t>
            </w: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Issuance of Series G-4</w:t>
            </w:r>
          </w:p>
        </w:tc>
        <w:tc>
          <w:tcPr>
            <w:tcW w:w="18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3180" w:type="dxa"/>
            <w:vAlign w:val="bottom"/>
            <w:tcBorders>
              <w:right w:val="single" w:sz="8" w:color="CCEEFF"/>
            </w:tcBorders>
            <w:gridSpan w:val="25"/>
            <w:shd w:val="clear" w:color="auto" w:fill="CCEEFF"/>
          </w:tcPr>
          <w:p>
            <w:pPr>
              <w:spacing w:after="0"/>
              <w:rPr>
                <w:sz w:val="10"/>
                <w:szCs w:val="10"/>
                <w:color w:val="auto"/>
              </w:rPr>
            </w:pPr>
          </w:p>
        </w:tc>
        <w:tc>
          <w:tcPr>
            <w:tcW w:w="4360" w:type="dxa"/>
            <w:vAlign w:val="bottom"/>
            <w:gridSpan w:val="17"/>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Preferred Stock, net of stock</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785,245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40,662</w:t>
            </w:r>
          </w:p>
        </w:tc>
        <w:tc>
          <w:tcPr>
            <w:tcW w:w="140" w:type="dxa"/>
            <w:vAlign w:val="bottom"/>
            <w:tcBorders>
              <w:right w:val="single" w:sz="8" w:color="auto"/>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costs of $4,338</w:t>
            </w: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gridSpan w:val="4"/>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Accretion of convertible</w:t>
            </w:r>
          </w:p>
        </w:tc>
        <w:tc>
          <w:tcPr>
            <w:tcW w:w="7880" w:type="dxa"/>
            <w:vAlign w:val="bottom"/>
            <w:gridSpan w:val="44"/>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preferred stock to</w:t>
            </w:r>
          </w:p>
        </w:tc>
        <w:tc>
          <w:tcPr>
            <w:tcW w:w="3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4,338</w:t>
            </w: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(4,338)</w:t>
            </w:r>
          </w:p>
        </w:tc>
        <w:tc>
          <w:tcPr>
            <w:tcW w:w="12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redemption value</w:t>
            </w:r>
          </w:p>
        </w:tc>
        <w:tc>
          <w:tcPr>
            <w:tcW w:w="3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3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right w:val="single" w:sz="8" w:color="auto"/>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34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340" w:type="dxa"/>
            <w:vAlign w:val="bottom"/>
          </w:tcPr>
          <w:p>
            <w:pPr>
              <w:spacing w:after="0"/>
              <w:rPr>
                <w:sz w:val="12"/>
                <w:szCs w:val="12"/>
                <w:color w:val="auto"/>
              </w:rPr>
            </w:pPr>
          </w:p>
        </w:tc>
        <w:tc>
          <w:tcPr>
            <w:tcW w:w="3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4"/>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w w:val="98"/>
              </w:rPr>
              <w:t>31,662</w:t>
            </w: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40" w:type="dxa"/>
            <w:vAlign w:val="bottom"/>
            <w:gridSpan w:val="2"/>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(44,497)</w:t>
            </w: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(44,497)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Repurchase of Non-voting</w:t>
            </w:r>
          </w:p>
        </w:tc>
        <w:tc>
          <w:tcPr>
            <w:tcW w:w="3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right w:val="single" w:sz="8" w:color="auto"/>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62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(145,466)</w:t>
            </w:r>
          </w:p>
        </w:tc>
        <w:tc>
          <w:tcPr>
            <w:tcW w:w="640" w:type="dxa"/>
            <w:vAlign w:val="bottom"/>
            <w:gridSpan w:val="5"/>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(3,602)</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w:t>
            </w:r>
          </w:p>
        </w:tc>
        <w:tc>
          <w:tcPr>
            <w:tcW w:w="34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620" w:type="dxa"/>
            <w:vAlign w:val="bottom"/>
            <w:gridSpan w:val="4"/>
            <w:vMerge w:val="continue"/>
            <w:shd w:val="clear" w:color="auto" w:fill="CCEEFF"/>
          </w:tcPr>
          <w:p>
            <w:pPr>
              <w:spacing w:after="0"/>
              <w:rPr>
                <w:sz w:val="14"/>
                <w:szCs w:val="14"/>
                <w:color w:val="auto"/>
              </w:rPr>
            </w:pPr>
          </w:p>
        </w:tc>
        <w:tc>
          <w:tcPr>
            <w:tcW w:w="640" w:type="dxa"/>
            <w:vAlign w:val="bottom"/>
            <w:gridSpan w:val="5"/>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Common stock issued in</w:t>
            </w:r>
          </w:p>
        </w:tc>
        <w:tc>
          <w:tcPr>
            <w:tcW w:w="7880" w:type="dxa"/>
            <w:vAlign w:val="bottom"/>
            <w:gridSpan w:val="44"/>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connection with business</w:t>
            </w:r>
          </w:p>
        </w:tc>
        <w:tc>
          <w:tcPr>
            <w:tcW w:w="3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273,387</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9,209</w:t>
            </w:r>
          </w:p>
        </w:tc>
        <w:tc>
          <w:tcPr>
            <w:tcW w:w="12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9,209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combination</w:t>
            </w:r>
          </w:p>
        </w:tc>
        <w:tc>
          <w:tcPr>
            <w:tcW w:w="3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6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Issuance of warrant</w:t>
            </w: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4,223</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9"/>
              <w:spacing w:after="0" w:line="145" w:lineRule="exact"/>
              <w:rPr>
                <w:sz w:val="20"/>
                <w:szCs w:val="20"/>
                <w:color w:val="auto"/>
              </w:rPr>
            </w:pPr>
            <w:r>
              <w:rPr>
                <w:rFonts w:ascii="Times New Roman" w:cs="Times New Roman" w:eastAsia="Times New Roman" w:hAnsi="Times New Roman"/>
                <w:sz w:val="14"/>
                <w:szCs w:val="14"/>
                <w:color w:val="auto"/>
              </w:rPr>
              <w:t>4,223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spacing w:after="0"/>
              <w:rPr>
                <w:sz w:val="12"/>
                <w:szCs w:val="12"/>
                <w:color w:val="auto"/>
              </w:rPr>
            </w:pPr>
          </w:p>
        </w:tc>
        <w:tc>
          <w:tcPr>
            <w:tcW w:w="3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(214,118)</w:t>
            </w: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(214,118)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440" w:type="dxa"/>
            <w:vAlign w:val="bottom"/>
            <w:tcBorders>
              <w:right w:val="single" w:sz="8" w:color="auto"/>
            </w:tcBorders>
            <w:gridSpan w:val="11"/>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3180" w:type="dxa"/>
            <w:vAlign w:val="bottom"/>
            <w:tcBorders>
              <w:right w:val="single" w:sz="8" w:color="auto"/>
            </w:tcBorders>
            <w:gridSpan w:val="25"/>
            <w:shd w:val="clear" w:color="auto" w:fill="000000"/>
          </w:tcPr>
          <w:p>
            <w:pPr>
              <w:spacing w:after="0"/>
              <w:rPr>
                <w:sz w:val="2"/>
                <w:szCs w:val="2"/>
                <w:color w:val="auto"/>
              </w:rPr>
            </w:pPr>
          </w:p>
        </w:tc>
        <w:tc>
          <w:tcPr>
            <w:tcW w:w="4360" w:type="dxa"/>
            <w:vAlign w:val="bottom"/>
            <w:gridSpan w:val="17"/>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8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63,525,953</w:t>
            </w:r>
          </w:p>
        </w:tc>
        <w:tc>
          <w:tcPr>
            <w:tcW w:w="800" w:type="dxa"/>
            <w:vAlign w:val="bottom"/>
            <w:gridSpan w:val="7"/>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1,105,543</w:t>
            </w:r>
          </w:p>
        </w:tc>
        <w:tc>
          <w:tcPr>
            <w:tcW w:w="140" w:type="dxa"/>
            <w:vAlign w:val="bottom"/>
            <w:tcBorders>
              <w:right w:val="single" w:sz="8" w:color="auto"/>
            </w:tcBorders>
            <w:shd w:val="clear" w:color="auto" w:fill="CCEEFF"/>
          </w:tcPr>
          <w:p>
            <w:pPr>
              <w:spacing w:after="0"/>
              <w:rPr>
                <w:sz w:val="10"/>
                <w:szCs w:val="10"/>
                <w:color w:val="auto"/>
              </w:rPr>
            </w:pPr>
          </w:p>
        </w:tc>
        <w:tc>
          <w:tcPr>
            <w:tcW w:w="780" w:type="dxa"/>
            <w:vAlign w:val="bottom"/>
            <w:gridSpan w:val="5"/>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58,367,961</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6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5,205,802</w:t>
            </w:r>
          </w:p>
        </w:tc>
        <w:tc>
          <w:tcPr>
            <w:tcW w:w="6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62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(145,466)</w:t>
            </w:r>
          </w:p>
        </w:tc>
        <w:tc>
          <w:tcPr>
            <w:tcW w:w="640" w:type="dxa"/>
            <w:vAlign w:val="bottom"/>
            <w:gridSpan w:val="5"/>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(3,602)</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18,345</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(1,396,917)</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(1,382,163)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gridSpan w:val="2"/>
            <w:vMerge w:val="continue"/>
            <w:shd w:val="clear" w:color="auto" w:fill="CCEEFF"/>
          </w:tcPr>
          <w:p>
            <w:pPr>
              <w:spacing w:after="0"/>
              <w:rPr>
                <w:sz w:val="14"/>
                <w:szCs w:val="14"/>
                <w:color w:val="auto"/>
              </w:rPr>
            </w:pPr>
          </w:p>
        </w:tc>
        <w:tc>
          <w:tcPr>
            <w:tcW w:w="800" w:type="dxa"/>
            <w:vAlign w:val="bottom"/>
            <w:gridSpan w:val="7"/>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780" w:type="dxa"/>
            <w:vAlign w:val="bottom"/>
            <w:gridSpan w:val="5"/>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600" w:type="dxa"/>
            <w:vAlign w:val="bottom"/>
            <w:gridSpan w:val="4"/>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620" w:type="dxa"/>
            <w:vAlign w:val="bottom"/>
            <w:gridSpan w:val="4"/>
            <w:vMerge w:val="continue"/>
            <w:shd w:val="clear" w:color="auto" w:fill="CCEEFF"/>
          </w:tcPr>
          <w:p>
            <w:pPr>
              <w:spacing w:after="0"/>
              <w:rPr>
                <w:sz w:val="14"/>
                <w:szCs w:val="14"/>
                <w:color w:val="auto"/>
              </w:rPr>
            </w:pPr>
          </w:p>
        </w:tc>
        <w:tc>
          <w:tcPr>
            <w:tcW w:w="640" w:type="dxa"/>
            <w:vAlign w:val="bottom"/>
            <w:gridSpan w:val="5"/>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-233045</wp:posOffset>
            </wp:positionV>
            <wp:extent cx="247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-33020</wp:posOffset>
            </wp:positionV>
            <wp:extent cx="2476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-15875</wp:posOffset>
            </wp:positionV>
            <wp:extent cx="247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340"/>
          </w:cols>
          <w:pgMar w:left="320" w:top="448" w:right="2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 COMMON STOCK AND STOCKHOLDERS’ DEFICIT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1900" w:type="dxa"/>
            <w:vAlign w:val="bottom"/>
          </w:tcPr>
          <w:p>
            <w:pPr>
              <w:spacing w:after="0"/>
              <w:rPr>
                <w:sz w:val="3"/>
                <w:szCs w:val="3"/>
                <w:color w:val="auto"/>
              </w:rPr>
            </w:pPr>
          </w:p>
        </w:tc>
        <w:tc>
          <w:tcPr>
            <w:tcW w:w="160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190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1600" w:type="dxa"/>
            <w:vAlign w:val="bottom"/>
            <w:gridSpan w:val="4"/>
          </w:tcPr>
          <w:p>
            <w:pPr>
              <w:jc w:val="center"/>
              <w:ind w:right="180"/>
              <w:spacing w:after="0" w:line="156"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0" w:type="dxa"/>
            <w:vAlign w:val="bottom"/>
            <w:shd w:val="clear" w:color="auto" w:fill="000000"/>
          </w:tcPr>
          <w:p>
            <w:pPr>
              <w:spacing w:after="0"/>
              <w:rPr>
                <w:sz w:val="13"/>
                <w:szCs w:val="13"/>
                <w:color w:val="auto"/>
              </w:rPr>
            </w:pPr>
          </w:p>
        </w:tc>
        <w:tc>
          <w:tcPr>
            <w:tcW w:w="102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1600" w:type="dxa"/>
            <w:vAlign w:val="bottom"/>
            <w:gridSpan w:val="4"/>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shd w:val="clear" w:color="auto" w:fill="000000"/>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00" w:type="dxa"/>
            <w:vAlign w:val="bottom"/>
          </w:tcPr>
          <w:p>
            <w:pPr>
              <w:spacing w:after="0"/>
              <w:rPr>
                <w:sz w:val="13"/>
                <w:szCs w:val="13"/>
                <w:color w:val="auto"/>
              </w:rPr>
            </w:pPr>
          </w:p>
        </w:tc>
        <w:tc>
          <w:tcPr>
            <w:tcW w:w="1600" w:type="dxa"/>
            <w:vAlign w:val="bottom"/>
            <w:gridSpan w:val="4"/>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shd w:val="clear" w:color="auto" w:fill="000000"/>
          </w:tcPr>
          <w:p>
            <w:pPr>
              <w:spacing w:after="0"/>
              <w:rPr>
                <w:sz w:val="13"/>
                <w:szCs w:val="13"/>
                <w:color w:val="auto"/>
              </w:rPr>
            </w:pPr>
          </w:p>
        </w:tc>
        <w:tc>
          <w:tcPr>
            <w:tcW w:w="1320" w:type="dxa"/>
            <w:vAlign w:val="bottom"/>
            <w:gridSpan w:val="4"/>
          </w:tcPr>
          <w:p>
            <w:pPr>
              <w:ind w:left="2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200" w:type="dxa"/>
            <w:vAlign w:val="bottom"/>
            <w:gridSpan w:val="4"/>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132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3"/>
                <w:szCs w:val="13"/>
                <w:color w:val="auto"/>
              </w:rPr>
            </w:pPr>
          </w:p>
        </w:tc>
        <w:tc>
          <w:tcPr>
            <w:tcW w:w="10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190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40" w:type="dxa"/>
            <w:vAlign w:val="bottom"/>
            <w:tcBorders>
              <w:top w:val="single" w:sz="8" w:color="auto"/>
            </w:tcBorders>
          </w:tcPr>
          <w:p>
            <w:pPr>
              <w:jc w:val="right"/>
              <w:ind w:right="10"/>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40" w:type="dxa"/>
            <w:vAlign w:val="bottom"/>
            <w:tcBorders>
              <w:top w:val="single" w:sz="8" w:color="auto"/>
            </w:tcBorders>
            <w:gridSpan w:val="2"/>
          </w:tcPr>
          <w:p>
            <w:pPr>
              <w:jc w:val="center"/>
              <w:ind w:right="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20" w:type="dxa"/>
            <w:vAlign w:val="bottom"/>
          </w:tcPr>
          <w:p>
            <w:pPr>
              <w:spacing w:after="0"/>
              <w:rPr>
                <w:sz w:val="11"/>
                <w:szCs w:val="11"/>
                <w:color w:val="auto"/>
              </w:rPr>
            </w:pPr>
          </w:p>
        </w:tc>
        <w:tc>
          <w:tcPr>
            <w:tcW w:w="700" w:type="dxa"/>
            <w:vAlign w:val="bottom"/>
            <w:tcBorders>
              <w:top w:val="single" w:sz="8" w:color="auto"/>
            </w:tcBorders>
            <w:gridSpan w:val="2"/>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660" w:type="dxa"/>
            <w:vAlign w:val="bottom"/>
            <w:tcBorders>
              <w:top w:val="single" w:sz="8" w:color="auto"/>
            </w:tcBorders>
            <w:gridSpan w:val="2"/>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1"/>
                <w:szCs w:val="11"/>
                <w:color w:val="auto"/>
              </w:rPr>
            </w:pPr>
          </w:p>
        </w:tc>
        <w:tc>
          <w:tcPr>
            <w:tcW w:w="84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40" w:type="dxa"/>
            <w:vAlign w:val="bottom"/>
            <w:gridSpan w:val="3"/>
          </w:tcPr>
          <w:p>
            <w:pPr>
              <w:jc w:val="center"/>
              <w:ind w:right="120"/>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38"/>
        </w:trPr>
        <w:tc>
          <w:tcPr>
            <w:tcW w:w="190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62,692,927</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8"/>
              </w:rPr>
              <w:t>$1,026,143</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720" w:type="dxa"/>
            <w:vAlign w:val="bottom"/>
            <w:tcBorders>
              <w:top w:val="single" w:sz="8" w:color="auto"/>
              <w:left w:val="single" w:sz="8" w:color="CCEEFF"/>
            </w:tcBorders>
            <w:shd w:val="clear" w:color="auto" w:fill="CCEEFF"/>
          </w:tcPr>
          <w:p>
            <w:pPr>
              <w:jc w:val="center"/>
              <w:ind w:left="30"/>
              <w:spacing w:after="0" w:line="138" w:lineRule="exact"/>
              <w:rPr>
                <w:sz w:val="20"/>
                <w:szCs w:val="20"/>
                <w:color w:val="auto"/>
              </w:rPr>
            </w:pPr>
            <w:r>
              <w:rPr>
                <w:rFonts w:ascii="Times New Roman" w:cs="Times New Roman" w:eastAsia="Times New Roman" w:hAnsi="Times New Roman"/>
                <w:sz w:val="14"/>
                <w:szCs w:val="14"/>
                <w:color w:val="auto"/>
                <w:w w:val="98"/>
              </w:rPr>
              <w:t>58,367,961</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w w:val="79"/>
              </w:rPr>
              <w:t>6</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4,932,415</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340"/>
              <w:spacing w:after="0" w:line="138"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   — </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9,251</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w w:val="97"/>
              </w:rPr>
              <w:t>(1,138,302)</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(1,129,027)</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G-3 Preferred</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47,781</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2,738</w:t>
            </w:r>
          </w:p>
        </w:tc>
        <w:tc>
          <w:tcPr>
            <w:tcW w:w="20" w:type="dxa"/>
            <w:vAlign w:val="bottom"/>
            <w:shd w:val="clear" w:color="auto" w:fill="000000"/>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0"/>
                <w:szCs w:val="10"/>
                <w:color w:val="auto"/>
              </w:rPr>
            </w:pP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0"/>
                <w:szCs w:val="10"/>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0"/>
                <w:szCs w:val="10"/>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6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0"/>
                <w:szCs w:val="10"/>
                <w:color w:val="auto"/>
              </w:rPr>
            </w:pPr>
          </w:p>
        </w:tc>
        <w:tc>
          <w:tcPr>
            <w:tcW w:w="840" w:type="dxa"/>
            <w:vAlign w:val="bottom"/>
            <w:tcBorders>
              <w:left w:val="single" w:sz="8" w:color="CCEEFF"/>
            </w:tcBorders>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7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40" w:type="dxa"/>
            <w:vAlign w:val="bottom"/>
            <w:tcBorders>
              <w:left w:val="single" w:sz="8" w:color="CCEEFF"/>
            </w:tcBorders>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7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5,440</w:t>
            </w:r>
          </w:p>
        </w:tc>
        <w:tc>
          <w:tcPr>
            <w:tcW w:w="20" w:type="dxa"/>
            <w:vAlign w:val="bottom"/>
            <w:shd w:val="clear" w:color="auto" w:fill="000000"/>
          </w:tcPr>
          <w:p>
            <w:pPr>
              <w:spacing w:after="0"/>
              <w:rPr>
                <w:sz w:val="12"/>
                <w:szCs w:val="12"/>
                <w:color w:val="auto"/>
              </w:rPr>
            </w:pPr>
          </w:p>
        </w:tc>
        <w:tc>
          <w:tcPr>
            <w:tcW w:w="840" w:type="dxa"/>
            <w:vAlign w:val="bottom"/>
            <w:gridSpan w:val="2"/>
          </w:tcPr>
          <w:p>
            <w:pPr>
              <w:ind w:left="5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0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700" w:type="dxa"/>
            <w:vAlign w:val="bottom"/>
            <w:gridSpan w:val="2"/>
          </w:tcPr>
          <w:p>
            <w:pPr>
              <w:ind w:left="38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2"/>
                <w:szCs w:val="12"/>
                <w:color w:val="auto"/>
              </w:rPr>
            </w:pPr>
          </w:p>
        </w:tc>
        <w:tc>
          <w:tcPr>
            <w:tcW w:w="240" w:type="dxa"/>
            <w:vAlign w:val="bottom"/>
          </w:tcPr>
          <w:p>
            <w:pPr>
              <w:ind w:left="4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660" w:type="dxa"/>
            <w:vAlign w:val="bottom"/>
            <w:gridSpan w:val="2"/>
          </w:tcPr>
          <w:p>
            <w:pPr>
              <w:ind w:left="3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0" w:type="dxa"/>
            <w:vAlign w:val="bottom"/>
            <w:gridSpan w:val="2"/>
          </w:tcPr>
          <w:p>
            <w:pPr>
              <w:jc w:val="right"/>
              <w:ind w:right="99"/>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3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40" w:type="dxa"/>
            <w:vAlign w:val="bottom"/>
            <w:gridSpan w:val="2"/>
          </w:tcPr>
          <w:p>
            <w:pPr>
              <w:ind w:left="260"/>
              <w:spacing w:after="0" w:line="145" w:lineRule="exact"/>
              <w:rPr>
                <w:sz w:val="20"/>
                <w:szCs w:val="20"/>
                <w:color w:val="auto"/>
              </w:rPr>
            </w:pPr>
            <w:r>
              <w:rPr>
                <w:rFonts w:ascii="Times New Roman" w:cs="Times New Roman" w:eastAsia="Times New Roman" w:hAnsi="Times New Roman"/>
                <w:sz w:val="14"/>
                <w:szCs w:val="14"/>
                <w:color w:val="auto"/>
              </w:rPr>
              <w:t>(10,669)</w:t>
            </w: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(10,669)</w:t>
            </w:r>
          </w:p>
        </w:tc>
        <w:tc>
          <w:tcPr>
            <w:tcW w:w="0" w:type="dxa"/>
            <w:vAlign w:val="bottom"/>
          </w:tcPr>
          <w:p>
            <w:pPr>
              <w:spacing w:after="0"/>
              <w:rPr>
                <w:sz w:val="1"/>
                <w:szCs w:val="1"/>
                <w:color w:val="auto"/>
              </w:rPr>
            </w:pPr>
          </w:p>
        </w:tc>
      </w:tr>
      <w:tr>
        <w:trPr>
          <w:trHeight w:val="122"/>
        </w:trPr>
        <w:tc>
          <w:tcPr>
            <w:tcW w:w="19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Repurchase of Non-voting</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0"/>
                <w:szCs w:val="10"/>
                <w:color w:val="auto"/>
              </w:rPr>
            </w:pPr>
          </w:p>
        </w:tc>
        <w:tc>
          <w:tcPr>
            <w:tcW w:w="840" w:type="dxa"/>
            <w:vAlign w:val="bottom"/>
            <w:tcBorders>
              <w:left w:val="single" w:sz="8" w:color="CCEEFF"/>
            </w:tcBorders>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76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(145,466)</w:t>
            </w:r>
          </w:p>
        </w:tc>
        <w:tc>
          <w:tcPr>
            <w:tcW w:w="660" w:type="dxa"/>
            <w:vAlign w:val="bottom"/>
            <w:gridSpan w:val="3"/>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(3,602)</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(3,602)</w:t>
            </w: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7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40" w:type="dxa"/>
            <w:vAlign w:val="bottom"/>
            <w:tcBorders>
              <w:left w:val="single" w:sz="8" w:color="CCEEFF"/>
            </w:tcBorders>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Common stock issued in</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0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connection with business</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130,874</w:t>
            </w:r>
          </w:p>
        </w:tc>
        <w:tc>
          <w:tcPr>
            <w:tcW w:w="260" w:type="dxa"/>
            <w:vAlign w:val="bottom"/>
          </w:tcPr>
          <w:p>
            <w:pPr>
              <w:spacing w:after="0"/>
              <w:rPr>
                <w:sz w:val="12"/>
                <w:szCs w:val="12"/>
                <w:color w:val="auto"/>
              </w:rPr>
            </w:pP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tcPr>
          <w:p>
            <w:pPr>
              <w:spacing w:after="0"/>
              <w:rPr>
                <w:sz w:val="12"/>
                <w:szCs w:val="12"/>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4,305</w:t>
            </w:r>
          </w:p>
        </w:tc>
        <w:tc>
          <w:tcPr>
            <w:tcW w:w="12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4,305</w:t>
            </w:r>
          </w:p>
        </w:tc>
        <w:tc>
          <w:tcPr>
            <w:tcW w:w="0" w:type="dxa"/>
            <w:vAlign w:val="bottom"/>
          </w:tcPr>
          <w:p>
            <w:pPr>
              <w:spacing w:after="0"/>
              <w:rPr>
                <w:sz w:val="1"/>
                <w:szCs w:val="1"/>
                <w:color w:val="auto"/>
              </w:rPr>
            </w:pPr>
          </w:p>
        </w:tc>
      </w:tr>
      <w:tr>
        <w:trPr>
          <w:trHeight w:val="167"/>
        </w:trPr>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combination</w:t>
            </w:r>
          </w:p>
        </w:tc>
        <w:tc>
          <w:tcPr>
            <w:tcW w:w="7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840" w:type="dxa"/>
            <w:vAlign w:val="bottom"/>
            <w:tcBorders>
              <w:left w:val="single" w:sz="8" w:color="CCEEFF"/>
            </w:tcBorders>
            <w:gridSpan w:val="2"/>
            <w:shd w:val="clear" w:color="auto" w:fill="CCEEFF"/>
          </w:tcPr>
          <w:p>
            <w:pPr>
              <w:ind w:left="5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8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9"/>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(54,377)</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(54,377)</w:t>
            </w:r>
          </w:p>
        </w:tc>
        <w:tc>
          <w:tcPr>
            <w:tcW w:w="0" w:type="dxa"/>
            <w:vAlign w:val="bottom"/>
          </w:tcPr>
          <w:p>
            <w:pPr>
              <w:spacing w:after="0"/>
              <w:rPr>
                <w:sz w:val="1"/>
                <w:szCs w:val="1"/>
                <w:color w:val="auto"/>
              </w:rPr>
            </w:pPr>
          </w:p>
        </w:tc>
      </w:tr>
      <w:tr>
        <w:trPr>
          <w:trHeight w:val="151"/>
        </w:trPr>
        <w:tc>
          <w:tcPr>
            <w:tcW w:w="190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62,740,708</w:t>
            </w:r>
          </w:p>
        </w:tc>
        <w:tc>
          <w:tcPr>
            <w:tcW w:w="1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1,034,321</w:t>
            </w:r>
          </w:p>
        </w:tc>
        <w:tc>
          <w:tcPr>
            <w:tcW w:w="18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720" w:type="dxa"/>
            <w:vAlign w:val="bottom"/>
            <w:tcBorders>
              <w:top w:val="single" w:sz="8" w:color="auto"/>
              <w:bottom w:val="single" w:sz="8" w:color="auto"/>
            </w:tcBorders>
          </w:tcPr>
          <w:p>
            <w:pPr>
              <w:jc w:val="center"/>
              <w:ind w:left="30"/>
              <w:spacing w:after="0" w:line="151" w:lineRule="exact"/>
              <w:rPr>
                <w:sz w:val="20"/>
                <w:szCs w:val="20"/>
                <w:color w:val="auto"/>
              </w:rPr>
            </w:pPr>
            <w:r>
              <w:rPr>
                <w:rFonts w:ascii="Times New Roman" w:cs="Times New Roman" w:eastAsia="Times New Roman" w:hAnsi="Times New Roman"/>
                <w:sz w:val="14"/>
                <w:szCs w:val="14"/>
                <w:color w:val="auto"/>
                <w:w w:val="98"/>
              </w:rPr>
              <w:t>58,367,961</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0"/>
                <w:szCs w:val="10"/>
                <w:color w:val="auto"/>
                <w:w w:val="79"/>
              </w:rPr>
              <w:t>6</w:t>
            </w: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5,063,289</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color w:val="auto"/>
                <w:w w:val="95"/>
              </w:rPr>
              <w:t>(145,466</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 (3,602</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13,556</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color w:val="auto"/>
                <w:w w:val="97"/>
              </w:rPr>
              <w:t>(1,203,348)</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(1,193,398)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9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900" w:type="dxa"/>
            <w:vAlign w:val="bottom"/>
          </w:tcPr>
          <w:p>
            <w:pPr>
              <w:spacing w:after="0"/>
              <w:rPr>
                <w:sz w:val="18"/>
                <w:szCs w:val="18"/>
                <w:color w:val="auto"/>
              </w:rPr>
            </w:pPr>
          </w:p>
        </w:tc>
        <w:tc>
          <w:tcPr>
            <w:tcW w:w="160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90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1600" w:type="dxa"/>
            <w:vAlign w:val="bottom"/>
            <w:gridSpan w:val="4"/>
          </w:tcPr>
          <w:p>
            <w:pPr>
              <w:jc w:val="center"/>
              <w:ind w:right="180"/>
              <w:spacing w:after="0" w:line="156"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0" w:type="dxa"/>
            <w:vAlign w:val="bottom"/>
            <w:shd w:val="clear" w:color="auto" w:fill="000000"/>
          </w:tcPr>
          <w:p>
            <w:pPr>
              <w:spacing w:after="0"/>
              <w:rPr>
                <w:sz w:val="13"/>
                <w:szCs w:val="13"/>
                <w:color w:val="auto"/>
              </w:rPr>
            </w:pPr>
          </w:p>
        </w:tc>
        <w:tc>
          <w:tcPr>
            <w:tcW w:w="102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1600" w:type="dxa"/>
            <w:vAlign w:val="bottom"/>
            <w:gridSpan w:val="4"/>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shd w:val="clear" w:color="auto" w:fill="000000"/>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00" w:type="dxa"/>
            <w:vAlign w:val="bottom"/>
          </w:tcPr>
          <w:p>
            <w:pPr>
              <w:spacing w:after="0"/>
              <w:rPr>
                <w:sz w:val="13"/>
                <w:szCs w:val="13"/>
                <w:color w:val="auto"/>
              </w:rPr>
            </w:pPr>
          </w:p>
        </w:tc>
        <w:tc>
          <w:tcPr>
            <w:tcW w:w="1600" w:type="dxa"/>
            <w:vAlign w:val="bottom"/>
            <w:gridSpan w:val="4"/>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shd w:val="clear" w:color="auto" w:fill="000000"/>
          </w:tcPr>
          <w:p>
            <w:pPr>
              <w:spacing w:after="0"/>
              <w:rPr>
                <w:sz w:val="13"/>
                <w:szCs w:val="13"/>
                <w:color w:val="auto"/>
              </w:rPr>
            </w:pPr>
          </w:p>
        </w:tc>
        <w:tc>
          <w:tcPr>
            <w:tcW w:w="1320" w:type="dxa"/>
            <w:vAlign w:val="bottom"/>
            <w:gridSpan w:val="4"/>
          </w:tcPr>
          <w:p>
            <w:pPr>
              <w:ind w:left="2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200" w:type="dxa"/>
            <w:vAlign w:val="bottom"/>
            <w:gridSpan w:val="4"/>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132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3"/>
                <w:szCs w:val="13"/>
                <w:color w:val="auto"/>
              </w:rPr>
            </w:pPr>
          </w:p>
        </w:tc>
        <w:tc>
          <w:tcPr>
            <w:tcW w:w="1040" w:type="dxa"/>
            <w:vAlign w:val="bottom"/>
            <w:gridSpan w:val="3"/>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190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40" w:type="dxa"/>
            <w:vAlign w:val="bottom"/>
            <w:tcBorders>
              <w:top w:val="single" w:sz="8" w:color="auto"/>
            </w:tcBorders>
          </w:tcPr>
          <w:p>
            <w:pPr>
              <w:jc w:val="right"/>
              <w:ind w:right="10"/>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40" w:type="dxa"/>
            <w:vAlign w:val="bottom"/>
            <w:tcBorders>
              <w:top w:val="single" w:sz="8" w:color="auto"/>
            </w:tcBorders>
            <w:gridSpan w:val="2"/>
          </w:tcPr>
          <w:p>
            <w:pPr>
              <w:jc w:val="center"/>
              <w:ind w:right="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20" w:type="dxa"/>
            <w:vAlign w:val="bottom"/>
          </w:tcPr>
          <w:p>
            <w:pPr>
              <w:spacing w:after="0"/>
              <w:rPr>
                <w:sz w:val="11"/>
                <w:szCs w:val="11"/>
                <w:color w:val="auto"/>
              </w:rPr>
            </w:pPr>
          </w:p>
        </w:tc>
        <w:tc>
          <w:tcPr>
            <w:tcW w:w="700" w:type="dxa"/>
            <w:vAlign w:val="bottom"/>
            <w:tcBorders>
              <w:top w:val="single" w:sz="8" w:color="auto"/>
            </w:tcBorders>
            <w:gridSpan w:val="2"/>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660" w:type="dxa"/>
            <w:vAlign w:val="bottom"/>
            <w:tcBorders>
              <w:top w:val="single" w:sz="8" w:color="auto"/>
            </w:tcBorders>
            <w:gridSpan w:val="2"/>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1"/>
                <w:szCs w:val="11"/>
                <w:color w:val="auto"/>
              </w:rPr>
            </w:pPr>
          </w:p>
        </w:tc>
        <w:tc>
          <w:tcPr>
            <w:tcW w:w="84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40" w:type="dxa"/>
            <w:vAlign w:val="bottom"/>
            <w:gridSpan w:val="3"/>
          </w:tcPr>
          <w:p>
            <w:pPr>
              <w:jc w:val="center"/>
              <w:ind w:right="120"/>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38"/>
        </w:trPr>
        <w:tc>
          <w:tcPr>
            <w:tcW w:w="190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63,525,953</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8"/>
              </w:rPr>
              <w:t>$1,105,543</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720" w:type="dxa"/>
            <w:vAlign w:val="bottom"/>
            <w:tcBorders>
              <w:top w:val="single" w:sz="8" w:color="auto"/>
              <w:left w:val="single" w:sz="8" w:color="CCEEFF"/>
            </w:tcBorders>
            <w:shd w:val="clear" w:color="auto" w:fill="CCEEFF"/>
          </w:tcPr>
          <w:p>
            <w:pPr>
              <w:jc w:val="center"/>
              <w:ind w:left="30"/>
              <w:spacing w:after="0" w:line="138" w:lineRule="exact"/>
              <w:rPr>
                <w:sz w:val="20"/>
                <w:szCs w:val="20"/>
                <w:color w:val="auto"/>
              </w:rPr>
            </w:pPr>
            <w:r>
              <w:rPr>
                <w:rFonts w:ascii="Times New Roman" w:cs="Times New Roman" w:eastAsia="Times New Roman" w:hAnsi="Times New Roman"/>
                <w:sz w:val="14"/>
                <w:szCs w:val="14"/>
                <w:color w:val="auto"/>
                <w:w w:val="98"/>
              </w:rPr>
              <w:t>58,367,961</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w w:val="79"/>
              </w:rPr>
              <w:t>6</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5,205,802</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60"/>
              <w:spacing w:after="0" w:line="138" w:lineRule="exact"/>
              <w:rPr>
                <w:sz w:val="20"/>
                <w:szCs w:val="20"/>
                <w:color w:val="auto"/>
              </w:rPr>
            </w:pPr>
            <w:r>
              <w:rPr>
                <w:rFonts w:ascii="Times New Roman" w:cs="Times New Roman" w:eastAsia="Times New Roman" w:hAnsi="Times New Roman"/>
                <w:sz w:val="14"/>
                <w:szCs w:val="14"/>
                <w:color w:val="auto"/>
                <w:w w:val="87"/>
              </w:rPr>
              <w:t>(145,466)</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3"/>
              </w:rPr>
              <w:t>$ (3,602)</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18,345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w w:val="97"/>
              </w:rPr>
              <w:t>(1,396,917)</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(1,382,163)</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G-3 Preferred</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66,465</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3,809</w:t>
            </w:r>
          </w:p>
        </w:tc>
        <w:tc>
          <w:tcPr>
            <w:tcW w:w="20" w:type="dxa"/>
            <w:vAlign w:val="bottom"/>
            <w:shd w:val="clear" w:color="auto" w:fill="000000"/>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0"/>
                <w:szCs w:val="10"/>
                <w:color w:val="auto"/>
              </w:rPr>
            </w:pP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0"/>
                <w:szCs w:val="10"/>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0"/>
                <w:szCs w:val="10"/>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6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G-4 Preferred</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10,666</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611</w:t>
            </w:r>
          </w:p>
        </w:tc>
        <w:tc>
          <w:tcPr>
            <w:tcW w:w="20" w:type="dxa"/>
            <w:vAlign w:val="bottom"/>
            <w:shd w:val="clear" w:color="auto" w:fill="000000"/>
          </w:tcPr>
          <w:p>
            <w:pPr>
              <w:spacing w:after="0"/>
              <w:rPr>
                <w:sz w:val="10"/>
                <w:szCs w:val="10"/>
                <w:color w:val="auto"/>
              </w:rPr>
            </w:pPr>
          </w:p>
        </w:tc>
        <w:tc>
          <w:tcPr>
            <w:tcW w:w="840" w:type="dxa"/>
            <w:vAlign w:val="bottom"/>
            <w:tcBorders>
              <w:left w:val="single" w:sz="8" w:color="CCEEFF"/>
            </w:tcBorders>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40" w:type="dxa"/>
            <w:vAlign w:val="bottom"/>
            <w:tcBorders>
              <w:left w:val="single" w:sz="8" w:color="CCEEFF"/>
            </w:tcBorders>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0"/>
                <w:szCs w:val="10"/>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0"/>
                <w:szCs w:val="10"/>
                <w:color w:val="auto"/>
              </w:rPr>
            </w:pP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0"/>
                <w:szCs w:val="10"/>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0"/>
                <w:szCs w:val="10"/>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6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67"/>
        </w:trPr>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7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7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24,839</w:t>
            </w:r>
          </w:p>
        </w:tc>
        <w:tc>
          <w:tcPr>
            <w:tcW w:w="20" w:type="dxa"/>
            <w:vAlign w:val="bottom"/>
            <w:shd w:val="clear" w:color="auto" w:fill="000000"/>
          </w:tcPr>
          <w:p>
            <w:pPr>
              <w:spacing w:after="0"/>
              <w:rPr>
                <w:sz w:val="12"/>
                <w:szCs w:val="12"/>
                <w:color w:val="auto"/>
              </w:rPr>
            </w:pPr>
          </w:p>
        </w:tc>
        <w:tc>
          <w:tcPr>
            <w:tcW w:w="840" w:type="dxa"/>
            <w:vAlign w:val="bottom"/>
            <w:tcBorders>
              <w:left w:val="single" w:sz="8" w:color="CCEEFF"/>
            </w:tcBorders>
            <w:gridSpan w:val="2"/>
            <w:shd w:val="clear" w:color="auto" w:fill="CCEEFF"/>
          </w:tcPr>
          <w:p>
            <w:pPr>
              <w:ind w:left="5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8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9"/>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(27,807)</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(27,807)</w:t>
            </w:r>
          </w:p>
        </w:tc>
        <w:tc>
          <w:tcPr>
            <w:tcW w:w="0" w:type="dxa"/>
            <w:vAlign w:val="bottom"/>
          </w:tcPr>
          <w:p>
            <w:pPr>
              <w:spacing w:after="0"/>
              <w:rPr>
                <w:sz w:val="1"/>
                <w:szCs w:val="1"/>
                <w:color w:val="auto"/>
              </w:rPr>
            </w:pPr>
          </w:p>
        </w:tc>
      </w:tr>
      <w:tr>
        <w:trPr>
          <w:trHeight w:val="122"/>
        </w:trPr>
        <w:tc>
          <w:tcPr>
            <w:tcW w:w="19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Common stock issued in</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0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connection with business</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9,141</w:t>
            </w:r>
          </w:p>
        </w:tc>
        <w:tc>
          <w:tcPr>
            <w:tcW w:w="260" w:type="dxa"/>
            <w:vAlign w:val="bottom"/>
          </w:tcPr>
          <w:p>
            <w:pPr>
              <w:spacing w:after="0"/>
              <w:rPr>
                <w:sz w:val="12"/>
                <w:szCs w:val="12"/>
                <w:color w:val="auto"/>
              </w:rPr>
            </w:pP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tcPr>
          <w:p>
            <w:pPr>
              <w:spacing w:after="0"/>
              <w:rPr>
                <w:sz w:val="12"/>
                <w:szCs w:val="12"/>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344</w:t>
            </w:r>
          </w:p>
        </w:tc>
        <w:tc>
          <w:tcPr>
            <w:tcW w:w="12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67"/>
        </w:trPr>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combinations</w:t>
            </w:r>
          </w:p>
        </w:tc>
        <w:tc>
          <w:tcPr>
            <w:tcW w:w="7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840" w:type="dxa"/>
            <w:vAlign w:val="bottom"/>
            <w:tcBorders>
              <w:left w:val="single" w:sz="8" w:color="CCEEFF"/>
            </w:tcBorders>
            <w:gridSpan w:val="2"/>
            <w:shd w:val="clear" w:color="auto" w:fill="CCEEFF"/>
          </w:tcPr>
          <w:p>
            <w:pPr>
              <w:ind w:left="5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8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9"/>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(64,743)</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(64,743)</w:t>
            </w:r>
          </w:p>
        </w:tc>
        <w:tc>
          <w:tcPr>
            <w:tcW w:w="0" w:type="dxa"/>
            <w:vAlign w:val="bottom"/>
          </w:tcPr>
          <w:p>
            <w:pPr>
              <w:spacing w:after="0"/>
              <w:rPr>
                <w:sz w:val="1"/>
                <w:szCs w:val="1"/>
                <w:color w:val="auto"/>
              </w:rPr>
            </w:pPr>
          </w:p>
        </w:tc>
      </w:tr>
      <w:tr>
        <w:trPr>
          <w:trHeight w:val="151"/>
        </w:trPr>
        <w:tc>
          <w:tcPr>
            <w:tcW w:w="190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63,603,084</w:t>
            </w:r>
          </w:p>
        </w:tc>
        <w:tc>
          <w:tcPr>
            <w:tcW w:w="1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1,134,802</w:t>
            </w:r>
          </w:p>
        </w:tc>
        <w:tc>
          <w:tcPr>
            <w:tcW w:w="18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720" w:type="dxa"/>
            <w:vAlign w:val="bottom"/>
            <w:tcBorders>
              <w:top w:val="single" w:sz="8" w:color="auto"/>
              <w:bottom w:val="single" w:sz="8" w:color="auto"/>
            </w:tcBorders>
          </w:tcPr>
          <w:p>
            <w:pPr>
              <w:jc w:val="center"/>
              <w:ind w:left="30"/>
              <w:spacing w:after="0" w:line="151" w:lineRule="exact"/>
              <w:rPr>
                <w:sz w:val="20"/>
                <w:szCs w:val="20"/>
                <w:color w:val="auto"/>
              </w:rPr>
            </w:pPr>
            <w:r>
              <w:rPr>
                <w:rFonts w:ascii="Times New Roman" w:cs="Times New Roman" w:eastAsia="Times New Roman" w:hAnsi="Times New Roman"/>
                <w:sz w:val="14"/>
                <w:szCs w:val="14"/>
                <w:color w:val="auto"/>
                <w:w w:val="98"/>
              </w:rPr>
              <w:t>58,367,961</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0"/>
                <w:szCs w:val="10"/>
                <w:color w:val="auto"/>
                <w:w w:val="79"/>
              </w:rPr>
              <w:t>6</w:t>
            </w: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5,214,943</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color w:val="auto"/>
                <w:w w:val="95"/>
              </w:rPr>
              <w:t>(145,466</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 (3,602</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18,689</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color w:val="auto"/>
                <w:w w:val="97"/>
              </w:rPr>
              <w:t>(1,489,467)</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(1,474,425)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40"/>
          </w:cols>
          <w:pgMar w:left="320" w:top="448" w:right="2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right="8500" w:hanging="455"/>
        <w:spacing w:after="0" w:line="412" w:lineRule="auto"/>
        <w:tabs>
          <w:tab w:leader="none" w:pos="453" w:val="left"/>
        </w:tabs>
        <w:numPr>
          <w:ilvl w:val="0"/>
          <w:numId w:val="1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BUSINESS Company Information</w:t>
      </w: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AI,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payors, and pharmaceutical companies. The Company primarily derives revenue from selling comprehensive genetic testing to physicians and large academic research institutions, licensing data to third parties, matching patients to clinical trials, and related services.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to Tempus Labs, Inc. in October 2016 and to Tempus AI, Inc. in December 2023.</w:t>
      </w:r>
    </w:p>
    <w:p>
      <w:pPr>
        <w:spacing w:after="0" w:line="209" w:lineRule="exact"/>
        <w:rPr>
          <w:sz w:val="20"/>
          <w:szCs w:val="20"/>
          <w:color w:val="auto"/>
        </w:rPr>
      </w:pPr>
    </w:p>
    <w:p>
      <w:pPr>
        <w:ind w:left="460" w:right="6320" w:hanging="455"/>
        <w:spacing w:after="0" w:line="412" w:lineRule="auto"/>
        <w:tabs>
          <w:tab w:leader="none" w:pos="453" w:val="left"/>
        </w:tabs>
        <w:numPr>
          <w:ilvl w:val="0"/>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Principles of Consolidation and Basis of Presentation</w:t>
      </w: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Tempus AI, Inc. and its wholly owned subsidiaries. All intercompany accounts and transactions have been eliminated in consolidation. The consolidated financial statements and accompanying notes were prepared in accordance with accounting principles generally accepted in the United States of America (“GAAP”)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and as of March 31, 2024, we had an accumulated deficit of $1.5 billion. The Company believes that its existing cash and cash equivalents and marketable equity securities at March 31, 2024, inclusive of the proceeds from the Series G-5 Financing, will be sufficient to allow the Company to fund its current operating plan through at least a period of one year from the date of issuance. To the extent the Company incurs additional losses beyond its current operating plan, it may be required to seek future capital requirements, in the form of third-party funding, or to reduce costs.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340"/>
          </w:cols>
          <w:pgMar w:left="320" w:top="448" w:right="2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Unaudited Interim Consolidated Financial Information</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accompanying interim consolidated balance sheet as of March 31, 2024, the consolidated statements of operations and comprehensive income (loss), redeemable convertible preferred stock, common stock and stockholders’ deficit, and cash flows for the three months ended March 31, 2023 and 2024, and the related footnote disclosures are unaudited. In management’s opinion, the unaudited interim consolidated financial statements include all adjustments necessary to state fairly the Company’s financial position as of March 31, 2024 and its results of operations and cash flows for the three months ended March 31, 2023 and 2024. The results of operations for the three months ended March 31, 2024 are not necessarily indicative of the results expected for the year ending December 31, 2024 or any other future period.</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estimates and assumptions that affect the reported amounts and classifications of assets and liabilities, revenue and expenses, and the related disclosures of contingent assets and liabilities in the consolidated financial statements and accompanying notes. The most significant estimates are related to revenue, accounts receivable, stock-based compensation, operating lease liabilities, and the useful lives of property, equipment and intangible assets. Actual results could differ from those estimates.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Revenue generated from COVID-19 testing was $22.2 million, or 6.9% of our total revenue, for the year ended December 31, 2022. Revenue generated from COVID-19 testing was $2.6 million, or 2.3%, of our total revenue for the three months ended March 31, 2023. Revenue generated from COVID-19 testing was $2.7 million, or 0.5% of total revenue, for the year ended December 31, 2023 and $0 for the three months ended March 31, 2024, as we stopped offering COVID-19 PCR diagnostic tests in the first quarter of 2023, at which time we shifted resources from COVID-19 testing to other aspects of the business.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considers all highly-liquid investments with an original maturity of three months or less from the date of purchase to be cash equivalents. Restricted cash primarily represents amounts that the Company is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340"/>
          </w:cols>
          <w:pgMar w:left="320" w:top="448" w:right="2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unable to access for operational purposes pursuant to a letter of credit with a financial institution in connection with an equipment lease. The Company had $0.8 million, $0.8 million, and $0.9 million of restricted cash as of December 31, 2022 and 2023, and March 31, 2024 respectively.</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 and Allowances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Accounts receivable primarily represents the net cash due from the Company’s customers, including payors, pharmaceutical companies, and research institutions. Payments of accounts receivable are allocated to the specific invoices identified on the remittance advice. Accounts receivables are reported at their gross outstanding balance reduced by an allowance for doubtful accounts and contractual allowance. The allowance for doubtful accounts is based on the age of an invoice, historical payment trends, as well as forward looking data and current economic trends. The Company had an allowance for doubtful accounts of $2.9 million, $1.1 million, and $1.0 million as of December 31, 2022 and 2023 and March 31, 2024, respectively.</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are primarily cash, restricted cash and accounts receivable. The Company maintains cash balances that may exceed the insured limits by the Federal Deposit Insurance Corporation. The Company has not experienced any losses on its deposits of cash.</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credit risk regarding trade accounts receivable as the Company generally does not require collateral, and a limited number of customers have accounted for a large part of the Company’s revenue and accounts receivable to date. Allowances are maintained for potential credit losses.</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Revenue from one customer accounted for 8.3%, 8.3%, 6.3%, and 6.6% of the Company’s revenues for the years ended December 31, 2022 and 2023, and the three months ended March 31, 2023 and 2024, respectively. The amount due from this customer was approximately $6.9 million or 7.8%, $11.2 million or 11.9%, $12.5 million or 12.8%, and $13.2 million or 12.3% of accounts receivable as of December 31, 2022 and 2023, and March 31, 2023 and 2024, respectively. One additional customer accounted for 5.1%, 6.0%, and 5.7% of the Company’s revenues for the year ended December 31, 2023 and the three months ended March 31, 2023 and 2024, respectively, but did not represent a significant portion of total revenues for the year ended December 31, 2022. The amount due from this additional customer was not material as of December 31, 2022 or 2023 or March 31, 2023 or 2024.</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Two additional customers did not represent a significant portion of total revenues for the years ended December 31, 2022 and 2023 or for the three months ended March 31, 2023 and 2024, but accounted for $6.3 million or 7.1%, and $6.1 million or 6.8%, respectively, of accounts receivable as of December 31, 2022. These two customers represented less than 5% of accounts receivable as of December 31, 2023, and March 31, 2023 and 2024. An additional customer did not represent a significant portion of total revenues for the years ended December 31, 2022 and 2023, or for the three months ended March 31, 2023 and 2024, but accounted for $10.1 million or 11.4%, and $4.9 million or 5.0%, respectively, of accounts receivable as of December 31, 2022 and March 31, 2023. This additional customer represented less than 5% of accounts receivable as of December 31, 2023 and March 31, 2024.</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Inventories, consisting of supplies and consumables used in the lab, are accounted for using the first-in, first-out method of accounting and are valued at the lower of cost or net realizable value. The Company periodically reviews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40"/>
          </w:cols>
          <w:pgMar w:left="320" w:top="448" w:right="2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inventory for excess or obsolescence and writes-down obsolete or otherwise un-usable inventory to its estimated net realizable value. Amounts written-down due to obsolete inventory are charged to cost of revenues. For the year ended December 31, 2022, the Company increased its inventory reserve by $1.9 million related to the expiration of COVID-19 testing kits. As of December 31, 2022, the Company had approximately $21.1 million of inventory and $1.2 million of inventory in process in the labs. As of December 31, 2023, the Company had approximately $27.3 million of inventory and $1.5 million of inventory in process in the labs. As of March 31, 2024, the Company had approximately $28.4 million of inventory and $1.7 million of inventory in process in the labs.</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relies on a sole supplier for certain laboratory materials and equipment. Purchases from this supplier accounted for approximately 35%, 33%, 37%, and 41%, of total vendor payments for the year ended December 31, 2022 and 2023, and for the three months ended March 31, 2023 and 2024, respectively. Amounts due to this vendor approximated $8.2 million, $11.8 million, and $8.6 million at December 31, 2022 and 2023, and March 31, 2024,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Prepaid assets are recorded when paid and consistent primarily of prepayments for insurance, medical, software subscriptions, and cloud storage service. Prepaid expenses are amortized into expense over the related service period. Other current assets included in this line are primarily related to the short-term portion of the Company’s warrant asset and other receivables. Prepaid expenses and other current assets totaled $19.5 million, $17.3 million, and $23.0 million at December 31, 2022 and 2023, and March 31, 2024,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Marketable Equity Securities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has investments in marketable equity securities received as payment of accounts receivable. The Company’s investment in marketable equity securities does not give the Company the ability to control or exercise significant influence over the investee. Marketable equity securities are recorded at fair value. The Company’s marketable equity securities totaled $31.8 million and $15.0 million as of December 31, 2023 and March 31, 2024, respectively, all of which were shares of Recursion Pharmaceuticals, Inc. Class A common stock. During the three months ended March 31, 2024, the Company sold 1,725,902 shares of Recursion Class A common stock at a weighted average price of $13.38 for $23.1 million. Changes in fair value are recorded in earnings within other (expense) income, net on the consolidated statements of operations and comprehensive loss.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summarizes the portion of unrealized gains recorded during the three months ended March 31, 2024 that relate to marketable equity securities held as of March 31, 2024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9"/>
        </w:trPr>
        <w:tc>
          <w:tcPr>
            <w:tcW w:w="9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3"/>
        </w:trPr>
        <w:tc>
          <w:tcPr>
            <w:tcW w:w="99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gain during the period on marketable equity securities</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6,246</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Less: Net gain recognized during the period on marketable equity securities sold during the period</w:t>
            </w: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(6,081)</w:t>
            </w:r>
          </w:p>
        </w:tc>
      </w:tr>
      <w:tr>
        <w:trPr>
          <w:trHeight w:val="26"/>
        </w:trPr>
        <w:tc>
          <w:tcPr>
            <w:tcW w:w="9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9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recognized during the period on marketable equity securities still held at the reporting date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9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Property and Equipment and Intangibles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Property and equipment are stated at cost and assets under finance leases are stated at the lesser of the present value of minimum lease payments or their fair market value. Depreciation is recognized using the straight-line method over the estimated useful lives of the related assets. Generally, the useful lives are three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340"/>
          </w:cols>
          <w:pgMar w:left="320" w:top="448" w:right="2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years for equipment and seven years for furniture and fixtures. Leasehold improvements are amortized on a straight-line basis over the lesser of the term of the lease or the estimated useful life of the asset. Intangibles, other than indefinite-lived intangibles, are amortized using the straight-line method, which approximates the pattern of usage, over their economic life, generally five to seven years. Assets to be disposed of, if any, are separately presented in the consolidated balance sheet and reported at the lower of the carrying amount or fair value, less costs to sell, and are no longer depreciated. See Note 4, “Balance Sheet Components” for additional information about these assets.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Company evaluates long-lived assets, including property and equipment, and intangible assets for impairment whenever events or changes in business circumstances indicate that the carrying amount of the asset may not be fully recoverable. Recoverability is measured by a comparison of the carrying amount to the net undiscounted cash flows expected to be generated by the asset group. If such assets are impaired, the impairment to be recognized is measured by the amount by which the carrying amount of a long-lived asset exceeds its fair value. Any loss would be recognized in loss from operations in the period in which the determination is made. The Company recognized an impairment charge related to long-lived assets during the three months ended March 31, 2023, and the year ended December 31, 2023. See Note 5, “Goodwill and Intangibles” for additional information. There were no impairment charges recognized related to long-lived assets during the year ended December 31, 2022, or during the three months ended March 31, 2024.</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Goodwill consists of the excess purchase price over the fair value of net assets acquired in business combinations. The Company conducts a test for the impairment of goodwill on at least an annual basis as of October 1st or sooner if indicators of impairment arise. The Company first assesses qualitative factors to determine whether it is more likely than not that goodwill is impaired. As part of the qualitative assessment, the Company evaluates factors including macroeconomic conditions, industry and market considerations, cost factors and overall financial performance of its single reporting unit.</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If the Company concludes that it is more-likely-than-not that its single reporting unit is impaired or if the Company elects not to perform the optional qualitative assessment, a quantitative assessment is performed. For the quantitative assessment, the fair value of the Company’s reporting unit is compared with the carrying amount of net assets, including goodwill, related to the reporting unit. The Company recognizes an impairment charge for the amount, if any, by which the carrying amount of a reporting unit exceeds the fair value of the reporting unit. The Company recorded no impairment loss during the years ended December 31, 2022 and 2023 or the three months ended March 31, 2023 and 2024.</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outstanding term loan (see Note 11) is accounted for in accordance with ASC 470. The original issue discount and deferred financing fees are amortized into interest expense within the consolidated statements of operations using the straight-line method over the term of the underlying debt, and unamortized amounts are presented net of the principal balance within long-term debt in the consolidated balance sheets.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outstanding promissory note (see Note 11) is accounted for in accordance with ASC 470. The Company determined the embedded conversion options, redemption features, and acceleration of repayment upon default are not required to be separately accounted for as derivatives under ASC 815 because they were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340"/>
          </w:cols>
          <w:pgMar w:left="320" w:top="448" w:right="2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either determined to be clearly and closely related to the host instrument or the Company has concluded that no value would be associated with the related feature based on the circumstances associated with the note’s issuance.</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determines whether an arrangement is or contains a lease at inception, and all significant lease arrangements are recognized at lease commencement. The majority of the Company’s leases are operating leases and are included in operating lease right-of-use assets, operating lease liabilities, and operating lease liabilities, less current portion on the consolidated balance sheets. Finance leases are included in finance lease right-of-use, or ROU, assets, finance lease liabilities, and finance lease liabilities, less current portion on the consolidated balance sheets.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and finance lease ROU assets and operating and finance lease liabilities are recognized at commencement based on the present value of fixed payments not yet paid over the remaining lease term discounted using the Company’s incremental borrowing rate. ROU assets also include any lease payments made at or before the lease commencement date, less lease incentives received and deferred rent. As the Company’s leases do not provide an implicit rate, the incremental borrowing rate used is estimated based on what the Company would have to pay on a collateralized basis over a similar term as the lease.</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Company has lease arrangements with lease and non-lease components. The Company elected the practical expedient not to separate non-lease components from lease components for the Company’s facility leases. Variable lease payments are presented as rent expense in the period in which they are incurred and consist primarily of our proportionate share of operating expenses, utilities, property taxes, insurance, common area maintenance and other facility-related expenses. The Company also elected to apply the short-term lease measurement and recognition exemption in which ROU assets and lease liabilities are not recognized for leases with terms of twelve months or less, and lease expense is recognized on a straight-line basis over the term of the short-term lease. The Company records rent expense in its consolidated statements of operations and comprehensive loss on a straight-line basis over the term of the lease and records variable lease payments as incurred. The Company’s lease terms may include options to extend or terminate the lease, which the Company includes in calculating the operating lease liabilities if it is reasonably certain that the Company will exercise the option. As of March 31, 2024, the Company’s lease liabilities did not include any options to extend or terminate any of its leases.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derives revenue from selling lab services (“Genomics”) to physicians, academic research institutions, and other parties. The Company also derives revenue from the commercialization of data generated in the lab (“Data and services”) through the licensing of de-identified datasets to third parties and by providing clinical trial support, such as matching patients to clinical trials enrolled in its clinical trial network, and related services. The majority of the Company’s revenue is generated in North America.</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accounts for revenue in accordance with ASC Topic 606, Revenue From Contracts With Customers. The Company commences revenue recognition when control of these products is transferred to customers in an amount that reflects the consideration the Company expects to be entitled to in exchange for such products. This principle is achieved by applying the five-step approach:</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340"/>
          </w:cols>
          <w:pgMar w:left="320" w:top="448" w:right="2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9"/>
        <w:spacing w:after="0" w:line="255" w:lineRule="auto"/>
        <w:tabs>
          <w:tab w:leader="none" w:pos="67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account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The Company provides disaggregation of revenue based on Genomics and Data and services on the consolidated statements of operations and comprehensive loss, as it believes these best depict how the nature, amount, timing and uncertainty of revenue and cash flows are affected by economic factors.</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generally recognizes revenue for its Genomics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 The Company recognized Genomics revenue of $198.0 million and $363.0 million for the years ended December 31, 2022 and 2023, respectively. The Company recognized Genomics revenue of $82.1 million and $102.6 million for the three months ended March 31, 2023 and 2024, respectively.</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Estimates are inclusive of the consideration to which we will be entitled at an amount for which it is probable that a reversal of cumulative consideration will not occur. The Company monitors the estimated amount to be collected at each reporting period based on actual cash collections in order to assess whether a revision to the estimate is required. During the year ended December 31, 2023, the Company recognized $12.2 million from cash collections in excess of revenue recognized in prior years, primarily as a result of achieving a higher success rate on appeals than estimated. Payment is typically due after the claim has been processed by the payor, generally 30-120 days from date of service. While management believes that the estimates are accurate, actual results could differ and the potential impact on the financial statements could be significant. The Company recognized revenue for clinical orders of $157.2 million and $328.4 million for the years ended December 31, 2022 and 2023, respectively. The Company recognized revenue for clinical orders of $72.5 million and $93.4 million for the three months ended March 31, 2023 and 2024, respectively.</w:t>
      </w:r>
    </w:p>
    <w:p>
      <w:pPr>
        <w:spacing w:after="0" w:line="19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$40.8 million and $34.6 million for the years ended December 31, 2022 and 2023, respectively. The Company recognized Genomics revenue for direct bill orders of $9.6 million and $9.2 million for the three months ended March 31, 2023 and 2024, respectively.</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Data and services revenue primarily represents data licensing and clinical trial services that the Company provides to pharmaceutical and biotechnology companies. The Company’s arrangements with these customers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40"/>
          </w:cols>
          <w:pgMar w:left="320" w:top="448" w:right="2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services product offering when it has met its performance obligation under the terms of the agreement with the customer. A description of the Company’s two product offerings are as follows: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Company’s Insights product consists primarily of licensing and analysis of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actual timing of data deliveries can be based on a variety of factors, including, but not limited to, the customer’s requirement and/or our technological, operational, and human capital capacity; in addition, management assesses relevant contractual terms in contracts with customers and applies significant judgment in identifying and accounting for all terms and conditions in certain contracts.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determined that the delivery of de-identified records and, when applicable, analytical services, and access to its enhanced Lens application are separate and distinct performance obligations. A description of the primary Insights contract types are as follows:</w:t>
      </w:r>
    </w:p>
    <w:p>
      <w:pPr>
        <w:spacing w:after="0" w:line="76" w:lineRule="exact"/>
        <w:rPr>
          <w:sz w:val="20"/>
          <w:szCs w:val="20"/>
          <w:color w:val="auto"/>
        </w:rPr>
      </w:pPr>
    </w:p>
    <w:p>
      <w:pPr>
        <w:jc w:val="both"/>
        <w:ind w:left="1000" w:hanging="549"/>
        <w:spacing w:after="0" w:line="252"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licensing on a one-time or limited duration basis </w:t>
      </w:r>
      <w:r>
        <w:rPr>
          <w:rFonts w:ascii="Times New Roman" w:cs="Times New Roman" w:eastAsia="Times New Roman" w:hAnsi="Times New Roman"/>
          <w:sz w:val="18"/>
          <w:szCs w:val="18"/>
          <w:color w:val="auto"/>
        </w:rPr>
        <w:t>– Customer licenses a specific dataset of records, and the Company accounts for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w:t>
      </w:r>
    </w:p>
    <w:p>
      <w:pPr>
        <w:spacing w:after="0" w:line="89" w:lineRule="exact"/>
        <w:rPr>
          <w:rFonts w:ascii="Times New Roman" w:cs="Times New Roman" w:eastAsia="Times New Roman" w:hAnsi="Times New Roman"/>
          <w:sz w:val="18"/>
          <w:szCs w:val="18"/>
          <w:color w:val="auto"/>
        </w:rPr>
      </w:pPr>
    </w:p>
    <w:p>
      <w:pPr>
        <w:jc w:val="both"/>
        <w:ind w:left="1000" w:hanging="549"/>
        <w:spacing w:after="0" w:line="256"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data subscriptions </w:t>
      </w:r>
      <w:r>
        <w:rPr>
          <w:rFonts w:ascii="Times New Roman" w:cs="Times New Roman" w:eastAsia="Times New Roman" w:hAnsi="Times New Roman"/>
          <w:sz w:val="18"/>
          <w:szCs w:val="18"/>
          <w:color w:val="auto"/>
        </w:rPr>
        <w:t>– Customer licenses an interchangeable maximum number of de-identified records, and the Company accounts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service as a right to access license and one performance obligation. Revenue is recognized as access to the dataset is provided, ratably over-time, with the measure of progress time-based.</w:t>
      </w:r>
    </w:p>
    <w:p>
      <w:pPr>
        <w:spacing w:after="0" w:line="85" w:lineRule="exact"/>
        <w:rPr>
          <w:rFonts w:ascii="Times New Roman" w:cs="Times New Roman" w:eastAsia="Times New Roman" w:hAnsi="Times New Roman"/>
          <w:sz w:val="18"/>
          <w:szCs w:val="18"/>
          <w:color w:val="auto"/>
        </w:rPr>
      </w:pPr>
    </w:p>
    <w:p>
      <w:pPr>
        <w:jc w:val="both"/>
        <w:ind w:left="1000" w:hanging="549"/>
        <w:spacing w:after="0" w:line="256"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Analytical services and other services </w:t>
      </w:r>
      <w:r>
        <w:rPr>
          <w:rFonts w:ascii="Times New Roman" w:cs="Times New Roman" w:eastAsia="Times New Roman" w:hAnsi="Times New Roman"/>
          <w:sz w:val="18"/>
          <w:szCs w:val="18"/>
          <w:color w:val="auto"/>
        </w:rPr>
        <w:t>– Services typically involve data analysis and research performed on behalf of the customer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resulting delivery of data, or a report addressing a series of questions and analytical results, is considered a single performance obligation. Revenue is generally recognized upon the delivery of these services, as defined by the contract.</w:t>
      </w:r>
    </w:p>
    <w:p>
      <w:pPr>
        <w:spacing w:after="0" w:line="85" w:lineRule="exact"/>
        <w:rPr>
          <w:rFonts w:ascii="Times New Roman" w:cs="Times New Roman" w:eastAsia="Times New Roman" w:hAnsi="Times New Roman"/>
          <w:sz w:val="18"/>
          <w:szCs w:val="18"/>
          <w:color w:val="auto"/>
        </w:rPr>
      </w:pPr>
    </w:p>
    <w:p>
      <w:pPr>
        <w:jc w:val="both"/>
        <w:ind w:left="1000" w:hanging="549"/>
        <w:spacing w:after="0" w:line="252"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Lens application subscription services </w:t>
      </w:r>
      <w:r>
        <w:rPr>
          <w:rFonts w:ascii="Times New Roman" w:cs="Times New Roman" w:eastAsia="Times New Roman" w:hAnsi="Times New Roman"/>
          <w:sz w:val="18"/>
          <w:szCs w:val="18"/>
          <w:color w:val="auto"/>
        </w:rPr>
        <w:t>– Customer licenses access to the Company’s enhanced Lens application under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software-as-a-service 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w:t>
      </w:r>
    </w:p>
    <w:p>
      <w:pPr>
        <w:spacing w:after="0" w:line="18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recognized revenue from Insights products of $88.4 million and $117.6 million for the years ended December 31, 2022 and 2023, respectively. The Company recognized revenue from Insights products of $22.8 million and $31.3 million for the three months ended March 31, 2023 and 2024, respectively.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340"/>
          </w:cols>
          <w:pgMar w:left="320" w:top="448" w:right="2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Trials product includes TIME clinical trial matching services, and other clinical trial services.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to TIME, the Company provides other clinical trial services conducting or supporting studies. In January 2022, the Company expanded these services through acquisition of Highline Consulting, LLC (now Tempus Compass), a contract research organization, or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 estimates of costs to complete its projects on an ongoing basis. Contract costs principally include direct labor and reimbursable out-of-pocket costs.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 recognized revenue from Trials products of $31.2 million and $45.6 million for the years ended December 31, 2022 and 2023,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recognized revenue from Trials products of $10.3 million and $11.3 million for the three months ended March 31, 2023 and 2024, respectively.</w:t>
      </w:r>
    </w:p>
    <w:p>
      <w:pPr>
        <w:spacing w:after="0" w:line="218"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For Insights and Trials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services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other revenue from pharmaceutical companies, non-for-profits, and researchers of $122.7 million and $168.8 million for the years ended December 31, 2022 and 2023, respectively. The Company recognized Data and other revenue from pharmaceutical companies, non-for-profits, and researchers of $33.6 million and $43.3 million for the three months ended March 31, 2023 and 2024, respectively.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Multi-year contract performance obligations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Company has limited multi-year contracts that do not contain early termination or customer opt-in clauses. These contracts contained defined, noncancelable performance obligations that will be fulfilled in future years. The Company’s remaining performance obligations related to multi-year contracts was $197.7 million as of December 31, 2023, of which the Company expects to recognize approximately 47% as revenue over the next year, and the remaining 34%, and 19%, of its remaining performance obligations as revenue in years two and three, and respectively. The Company’s remaining performance obligations related to multi-year contracts was $177.4 million as of March 31, 2024, of which the Company expects to recognize approximately 51% as revenue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340"/>
          </w:cols>
          <w:pgMar w:left="320" w:top="448" w:right="2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next year, and the remaining 34%, and 15%, of its remaining performance obligations as revenue in years two and three, respectively.</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May 2024, the Company amended its agreement with GlaxoSmithKline (“GSK”) which increased the length of the total commitment period, but did not change the total commitment or the timing of the remaining performance obligations disclosed above.</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Certain performance obligations may require payment before delivery of the service to the customer. The Company recognizes contract assets when we have an unconditional right to payment, and when revenues earned on a contract exceeds the billings. Contract assets are presented under accounts receivable, net. Accounts receivable as of December 31, 2022 and 2023 and March 31, 2024, included contract assets of $7.6 million, $2.4 million, and $3.1 million, respectively.</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based on applicable authoritative guidance in Financial Accounting Standards Board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contract asset was initially measured equal to the initial fair value of the warrant liability based on the authoritative guidance under FASB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As revenue is recognized over the period of the contractual commitment of the MSA, the associated contract asset amortization is recorded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of revenue. At each reporting period, the short-term portion of the warrant asset is adjusted based on the financial commitment and reclassified to Prepaid expenses and other current assets.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summarized the warrant contract asset presentation as of December 31, 2022 and 2023 and March 31, 2024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9"/>
        </w:trPr>
        <w:tc>
          <w:tcPr>
            <w:tcW w:w="554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4"/>
                <w:szCs w:val="14"/>
                <w:color w:val="auto"/>
              </w:rPr>
            </w:pPr>
          </w:p>
        </w:tc>
      </w:tr>
      <w:tr>
        <w:trPr>
          <w:trHeight w:val="203"/>
        </w:trPr>
        <w:tc>
          <w:tcPr>
            <w:tcW w:w="55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2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6,615</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4,843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4,843</w:t>
            </w:r>
          </w:p>
        </w:tc>
        <w:tc>
          <w:tcPr>
            <w:tcW w:w="40" w:type="dxa"/>
            <w:vAlign w:val="bottom"/>
            <w:shd w:val="clear" w:color="auto" w:fill="CCEEFF"/>
          </w:tcPr>
          <w:p>
            <w:pPr>
              <w:spacing w:after="0"/>
              <w:rPr>
                <w:sz w:val="17"/>
                <w:szCs w:val="17"/>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Warrant contract asset, less current portion</w:t>
            </w:r>
          </w:p>
        </w:tc>
        <w:tc>
          <w:tcPr>
            <w:tcW w:w="2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24,948</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20,288</w:t>
            </w:r>
          </w:p>
        </w:tc>
        <w:tc>
          <w:tcPr>
            <w:tcW w:w="40" w:type="dxa"/>
            <w:vAlign w:val="bottom"/>
          </w:tcPr>
          <w:p>
            <w:pPr>
              <w:spacing w:after="0"/>
              <w:rPr>
                <w:sz w:val="18"/>
                <w:szCs w:val="18"/>
                <w:color w:val="auto"/>
              </w:rPr>
            </w:pPr>
          </w:p>
        </w:tc>
      </w:tr>
      <w:tr>
        <w:trPr>
          <w:trHeight w:val="210"/>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warrant contract asset</w:t>
            </w:r>
          </w:p>
        </w:tc>
        <w:tc>
          <w:tcPr>
            <w:tcW w:w="272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31,563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26,342</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25,131</w:t>
            </w:r>
          </w:p>
        </w:tc>
      </w:tr>
      <w:tr>
        <w:trPr>
          <w:trHeight w:val="20"/>
        </w:trPr>
        <w:tc>
          <w:tcPr>
            <w:tcW w:w="5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November 2023, the Company entered into a Commercialization and Reference Laboratory Agreement with Personalis, Inc. (“Personalis”). The Company will pay up to $12.0 million to Personalis over three years as certain milestones are met, $6.0 million of which has been paid as of March 31, 2024. These payments will be treated as contract assets and amortized into revenue over the life of the contract. Contract asset balances will be offset by deferred revenue generated from issuance of the Personalis warrant asset. As of December 31, 2023 and March 31, 2024, there are $0.1 million of net contract assets related to this agreement recorded in Prepaid expenses and other current assets.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our Data and Services product offerings and timing of delivery of our de-identified licensed data and clinical test results. The portion of deferred revenue that is anticipated to be recognized as revenue during the succeeding twelve-month period is recorded as deferred</w:t>
      </w:r>
    </w:p>
    <w:p>
      <w:pPr>
        <w:spacing w:after="0" w:line="1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340"/>
          </w:cols>
          <w:pgMar w:left="320" w:top="448" w:right="2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revenue, current and any remaining portion is recorded as deferred revenue, non-current. The Company recognized $13.8 million and $43.5 million during the years ended December 31, 2022 and 2023, respectively, that was included in the corresponding deferred revenue balance at the beginning of the periods. For the three months ended March 31, 2023 and 2024, the Company recognized revenue of $10.7 million and $11.1 million, respectively, that was included in the corresponding deferred revenue balance at the beginning of the periods.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Genomics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Genomics consists of personnel lab expenses, including salaries, bonuses, employee benefits, amortization of intangible assets, cost of laboratory supplies and consumables, laboratory rent expense, third-party administration fees associated with COVID-19 testing, depreciation of laboratory equipment, shipping costs and certain allocated overhead expenses. Costs associated with performing the Company’s tests are recorded as the tests are processed at the time of report delivery.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Data and services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for Data and services includes data acquisition and royalty fees, and personnel costs related to our delivery of our data services and platform, cloud costs, and certain allocated overhead expenses. Costs associated with performing data services are recorded as incurred.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the Company’s technology platform and applications and the research and development of new products which the Company hopes to bring to the market. Technology research and development costs are expensed as incurred.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costs incurred to develop new assays and products, and include salaries and benefits of the Company’s scientific and laboratory research and development teams, amortization of intangible assets, inventory costs, overhead costs, validation costs, contract services and other related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Research and development costs are expensed as incurred.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has a 401(k) tax deferred savings plan under which eligible employees may elect to have a portion of their salary deferred and contributed to the plan. Employer matching contributions are determined by the Company and are discretionary. During the years ended December 31, 2022 and 2023 and the three months ended March 31, 2023 and 2024, the Company did not match any employee contributions.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consolidated financial statements and consist of taxes currently due plus deferred taxes. Deferred taxes are recognized based on differences between the basis of assets and liabilities for financial reporting and income tax purposes and are measured using enacted rates. The differences relate primarily to timing of deductibility of certain expenses and the estimated future effects of net operating loss carryforwards. Deferred tax assets and liabilities represent the future tax consequences of those differences, which will either be taxable or deductible when the assets and liabilities are recovered or settled. Deferred tax assets and liabilities are adjusted for the effects of changes in tax laws and rates on the date of enactment.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340"/>
          </w:cols>
          <w:pgMar w:left="320" w:top="448" w:right="2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 forwards.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given to evidence that can be objectively verified. The Company has evaluated its DTAs in each reporting period, including an assessment of its cumulative income or loss, to determine if a valuation allowance was required. After a review of the four sources of taxable income described above, the Company established a valuation allowance against the Company’s net deferred tax assets due to uncertainty surrounding the Company’s ability to generate future taxable income to realize these assets.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2023, the Company had tax effected federal and state net operating loss (“NOL”) carry forwards of approximately $161.7 million and $33.7 million, respectively, which may be available to offset future taxable income. The NOLs will begin to expire in 2037.</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evaluates tax positions under an approach for recognition and measurement of uncertain tax positions. The Company recognizes tax liabilities when the Company believes that certain positions may not be fully sustained upon review by tax authorities. Benefits from tax positions are measured at the largest amount of benefit that is more likely than not of being realized upon settlement. To the extent that the final tax outcome of these matters is different than the amounts recorded, such differences impact income tax expense in the period in which such determination is made. Interest and penalties, if any, related to accrue liabilities for potential tax assessments are included in income tax expense.</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concluded that as of December 31, 2022 and 2023 and March 31, 2024, there are no uncertain positions taken or expected to be taken that would require recognition of a liability in the financial statements.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is subject to routine audits by taxing jurisdictions. As of December 31, 2023 and March 31, 2024, the Company was not under audit in any jurisdiction.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Basic and diluted net loss per share attributable to common stockholders is presented in conformity with the two-class method required for participating securities. The Company considers all series of its redeemable convertible preferred stock to be participating securities. Under the two-class method, the net loss attributable to common stockholders is not allocated to the redeemable convertible preferred stock as the holders of its redeemable convertible preferred stock do not have a contractual obligation to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340"/>
          </w:cols>
          <w:pgMar w:left="320" w:top="448" w:right="2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Deferred offering costs consist primarily of accounting, legal, and other fees related to the Company’s proposed initial public offering (“IPO”). The deferred offering costs will be recorded against IPO proceeds upon the consummation of the IPO. If the IPO is abandoned, deferred offering costs will be expensed in the period the IPO is abandoned. The Company had $5.3 million, $7.1 million, and $8.2 million of deferred offering costs as of December 31, 2022 and 2023 and March 31, 2024,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Compensation expense relating to share-based payments is recognized in operations using a fair value measurement method. Under the fair value method, the estimated fair value of awards is charged to operations on a straight-line basis over the requisite service period, which is generally the vesting period. See Note 10 for further information on stock-based compensation.</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received to sell an asset or paid to transfer a liability in an orderly transaction between market participants at the measurement date. Fair value is a market- based measurement that is determined based on assumptions that market participants would use in pricing an asset or a liability.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 increase the comparability of fair value measures, the following hierarchy prioritizes the inputs in valuation methodologies used to measure fair value: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—Measurements that reflect quoted prices (unadjusted) for identical assets or liabilities in active markets.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—Measurements that include other inputs that are directly or indirectly observable in the marketplace.</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—Measurements derived from valuation techniques in which one or more significant inputs or significant value drivers are unobservable.</w:t>
      </w:r>
    </w:p>
    <w:p>
      <w:pPr>
        <w:spacing w:after="0" w:line="21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Fair value measurements are discussed further in Note 14.</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consolidated financial statements.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issued a warrant to its customer AstraZeneca in conjunction with the signing of a November 2021 MSA. The warrant to purchase up to $100 million in shares of the Company’s Class A common stock is a freestanding financial instrument classified as noncurrent liability on the Company’s consolidated balance sheets.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340"/>
          </w:cols>
          <w:pgMar w:left="320" w:top="448" w:right="2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Warrants are accounted for as liability-classified instruments based on an assessment of the warrant’s specific terms and applicable authoritative guidance in FASB ASC 480, </w:t>
      </w:r>
      <w:r>
        <w:rPr>
          <w:rFonts w:ascii="Times New Roman" w:cs="Times New Roman" w:eastAsia="Times New Roman" w:hAnsi="Times New Roman"/>
          <w:sz w:val="18"/>
          <w:szCs w:val="18"/>
          <w:i w:val="1"/>
          <w:iCs w:val="1"/>
          <w:color w:val="auto"/>
        </w:rPr>
        <w:t>Distinguishing Liabilities from Equity (“</w:t>
      </w:r>
      <w:r>
        <w:rPr>
          <w:rFonts w:ascii="Times New Roman" w:cs="Times New Roman" w:eastAsia="Times New Roman" w:hAnsi="Times New Roman"/>
          <w:sz w:val="18"/>
          <w:szCs w:val="18"/>
          <w:color w:val="auto"/>
        </w:rPr>
        <w:t>ASC 480”). The fair value of the warrant liability is measured each reporting period and any change in fair value of the warrant liability is recorded in Other (expense) income, net within the consolidated statements of operations.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 Asset</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As consideration for the Company’s obligations to Personalis under a Commercialization and Reference Laboratory Agreement signed in November 2023, Personalis issued certain warrants to the Company to purchase up to an aggregate of 9,218,800 shares of Personalis’ common stock, up to 4,609,400 shares of which are exercisable for cash at any time prior to December 31, 2024 at an exercise price of $1.50 per share, and up to 4,609,400 shares of which are exercisable for cash at any time prior to December 31, 2025 at an exercise price of $2.50 per share. The fair value of the warrant asset is measured each reporting period, and any change in fair value is recorded in Other (expense) income, net within the consolidated statements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and Accretion of Convertible Preferred Stock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Series A, B, B-1, B-2, C, D, E, F, G, G-2, G-3, and G-4 convertible preferred stock are classified outside of stockholders’ equity (deficit) because the holders of such shares have liquidation rights in the event of a deemed liquidation that, in certain situations, is not solely within the control of the Company.</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Assets and liabilities of the Company’s foreign subsidiaries are translated into U.S. dollars (USD) using period-end exchange rates while revenues and expenses are translated at the average exchange rate for the period presented. Gains or losses from balance sheet translation are the only component of accumulated other comprehensive loss in the consolidated balance sheet.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FASB issued ASU 2016-02, Leases, (Topic 842) (ASU 2016-02), in February 2016. ASU 2016-02 requires lessees to recognize, at commencement date, a lease liability representing the lessee’s obligation to make payments arising from the lease and a right-of-use asset representing the lessee’s right to use or control the use of a specific asset for the lease term. Under the new guidance, lessor accounting is largely unchanged. The Company adopted Topic 842 under the private company transition guidance as of January 1, 2022 using a modified retrospective approach. The Company elected a practical expedient which does not require the Company to reassess the lease classification for any expired or existing leases. Upon adoption, the Company recorded an operating lease right-of-use asset of $27.0 million and a corresponding operating lease liability of $41.8 million. The adoption resulted in a decrease to deferred rent of $14.8 million. The Company’s accounting for finance leases (formerly referred to as capital leases prior to the adoption of Topic 842) remains substantially unchanged. The impact on opening retained earnings was not material.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340"/>
          </w:cols>
          <w:pgMar w:left="320" w:top="448" w:right="2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which clarifies that an acquirer of a business should recognize and measure contract assets and contract liabilities in a business combination accordance with Topic 606 as if it had originated the contracts. The amendments should be applied prospectively to business combinations occurring on or after the effective date of the amendments, with early adoption permitted. The Company adopted the guidance as of January 1, 2022. The adoption did not have a material impact on the Company’s financial statements.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December 2019, the FASB issued ASU No. 2019-12, Simplifying the Accounting for Income Taxes (“ASU No. 2019-12”), which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It clarifies that single-member limited liability companies and similar disregarded entities that are not subject to income tax are not required to recognize an allocation of consolidated income tax expense in their separate financial statements, but they could elect to do so. The Company adopted the guidance as of January 1, 2022. The adoption did not have a material impact on the Company’s financial statements.</w:t>
      </w:r>
    </w:p>
    <w:p>
      <w:pPr>
        <w:spacing w:after="0" w:line="189"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In June 2016, the FASB issued ASU No. 2016-13, Financial Instruments-Credit Losses (Topic 326): Measurement of Credit Losses on Financial Instruments (“ASU No. 2016-13”). ASU No. 2016-13 requires the measurement and recognition of expected credit losses for financial assets that are held at amortized cost, including trade receivables. ASU No. 2016-13 replaces the previous incurred loss impairment model with an expected loss model which requires the use of forward-looking information to calculate credit loss estimates. The Company adopted the guidance as of January 1, 2023. The adoption of the standard did not have a material impact the Company’s financial statements. As part of our adoption of Topic 326, we assess our accounts receivables for expected credit losses at each reporting period by disaggregating by customers with similar characteristics, such as customer type and industry. The Company reviews for expected credit losses based on the age of an invoice, historical payment trends, as well as forward looking data and current economic trends. If a credit loss is determined, we record a reduction to our accounts receivable balance with a corresponding selling, general, and administrative expense.</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effect that this guidance will have on the consolidated financial statements and related disclosures.</w:t>
      </w:r>
    </w:p>
    <w:p>
      <w:pPr>
        <w:spacing w:after="0" w:line="327" w:lineRule="exact"/>
        <w:rPr>
          <w:sz w:val="20"/>
          <w:szCs w:val="20"/>
          <w:color w:val="auto"/>
        </w:rPr>
      </w:pPr>
    </w:p>
    <w:p>
      <w:pPr>
        <w:ind w:left="460" w:hanging="455"/>
        <w:spacing w:after="0"/>
        <w:tabs>
          <w:tab w:leader="none" w:pos="4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SEngine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October 3, 2023, the Company acquired all of the issued and outstanding interests of SEngine Precision Medicine LLC (“SEngine”), a Delaware limited liability company. The acquisition gives the Company access to SEngine’s meaningful organoid repository, advanced bioinformatics capabilities, and PARIS test platform. Combining these advancements with the Company’s existing business will allow the Company to accelerate our shared missions of getting the right patient on the right drug at the right time, while also advancing innovation in drug development.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340"/>
          </w:cols>
          <w:pgMar w:left="320" w:top="448" w:right="2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The acquisition resulted in goodwill of $9.6 million. The aggregate acquisition date fair value of consideration for the SEngine acquisition totaled $9.9 million. Consideration was made up of $2.8 million of cash and $6.3 million of non-voting common stock. The transaction also includes contingent consideration of up to 35,000 additional shares of non-voting common stock, to be determined based on the per share price of the Company’s non-voting common stock in a liquidity event completed prior to December 31, 2027. The contingent consideration has an acquisition fair value date of $0.8 million, which the Company recognized within Other current liabilities. The contingent consideration is classified as a Level 3 measurement for which fair value is derived from inputs that are unobservable and significant to the overall fair value measurement. The contingent consideration will be remeasured at fair value in each period following the closing within selling, general and administrative expense. See Note 14 for more information. In accordance with the terms of the agreement, $1.4 million in equity was held back and is payable on October 3, 2024, which is net of a net working capital adjustment that is less than $0.1 million. The Company issued 429 shares of non-voting common stock to the selling corporation in February 2024 in relation to the net working capital adjustment.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Mpirik</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March 8, 2023, the Company acquired all of the issued and outstanding interests of Mpirik, Inc. (“Mpirik”), a cardiology-focused healthcare technology company specializing in data-driven patient screening, automated care coordination, and clinical research. Mpirik’s platform adds to the Company’s existing portfolio to address the way heart disease is detected, diagnosed, and treated, further expanding Tempus’s cardiology business. The acquisition resulted in goodwill of $10.6 million. The aggregate acquisition date fair value of consideration for the Mpirik acquisition totaled $9.7 million. Consideration was made up of $4.6 million of non-voting common stock, $4.7 million of cash, and contingent consideration payable in cash with an acquisition date fair value of $0.4 million. In accordance with the terms of the agreement, $0.8 million in cash consideration and $0.3 million in equity consideration was held back and paid on March 11, 2024. In accordance with the equity consideration held back, the Company issued 8,724 shares of non-voting common stock to Mpirik shareholders in March 2024.</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Cash consideration of $4.7 million is net of a $0.3 million net working capital adjustment. In accordance with the terms of the agreement, the securityholders of the acquired business will be entitled to receive contingent consideration from the Company payable in an aggregate value of $1.0 million in cash, contingent upon the acquired business reaching a revenue target of $1.5 million for the twelve-month period ending December 31, 2023. The contingent consideration has an acquisition fair value date of $0.4 million, which the Company recognized within Other current liabilities. The contingent consideration is classified as a Level 3 measurement for which fair value is derived from inputs that are unobservable and significant to the overall fair value measurement. The contingent consideration will be remeasured at fair value in each period following the closing within selling, general and administrative expense. Mpirik did not achieve the revenue target for the twelve-month period ending December 31, 2023. As such, the contingent consideration liability was written down to $0. See Note 14 for more information. In addition, the Company issued 17,450 performance stock units to certain retained Mpirik employees on the closing date of the acquisition.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Arterys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 October 3, 2022, the Company acquired Arterys, Inc. (“Arterys”), a company that provides a platform to derive insights from radiology medical imagines to improve diagnostic decision-making, efficiency, and productivity across multiple disease areas, which resulted in goodwill of $11.1 million. The aggregate acquisition date fair value of consideration for the Arterys acquisition totaled $8.3 million, net of cash acquired of $0.3 million. Consideration was made up of $4.9 million of non-voting common stock and $3.0 million cash. Cash consideration of $3.0 million is net of a $1.0 million working capital adjustment paid back to Tempus in March 2023.</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340"/>
          </w:cols>
          <w:pgMar w:left="320" w:top="448" w:right="2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Highline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January 4, 2022, the Company entered into a Unit Purchase Agreement with Highline Consulting, LLC (“Highline”), a California limited liability company, Highline Consulting Parent, LLC, and the unitholders of Highline (collectively, the “Sellers”), pursuant to which the Company acquired all of the issued and outstanding interests of Highline, which transaction is referred to as the “Highline Acquisition”. Highline manages and executes on early and late-stage clinical trials, applying a customized approach to each study. Highline’s capabilities and expertise will help support and grow new and established business lines within Tempus, allowing the Company to vertically integrate more clinical trial services when appropriate to complement its existing CRO partnerships. Highline revenue will be included within Data and services revenue in the Company’s consolidated financial statements.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acquired Highline for a purchase price of $35.5 million. In addition, following the closing, the Sellers will be entitled to receive contingent consideration from the Company in an aggregate amount of up to $5.0 million, payable in a combination of cash and shares of the Company’s Class A common stock, contingent upon certain individual Sellers remaining employed by the Company as of the first and second anniversary of the closing. The contingent payments will be recorded pro rata over the two years following the closing within selling, general and administrative expense. In addition, the Company established a retention bonus pool of restricted stock units with an aggregate value of $4.0 million to be allocated among Highline employees retained by the Company. The retention bonus pool will be recorded as compensation expense over the requisite service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incurred an insignificant amount of transaction costs related to the Highline Acquisition, which were recorded within Selling, general and administrative expense in the consolidated statement of operations.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aggregate acquisition date fair value of consideration for the Highline Acquisition totaled $35.0 million, net of cash acquired of $3.6 million and net working capital deficiency of $0.5 million.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allocation of the aggregate purchase price of the Highline Acquisition (in thousands):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(1,124)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(3,129)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26,062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intangible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Acquisition Price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38,650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the net assets acquired was recorded as goodwill, which is primarily attributed to the assembled workforce of the acquired company and expected growth from vertical integration of Highline’s clinical trial services. As the Highline Acquisition was a stock purchase, the related goodwill created as a result of the acquisition is not deductible for tax purposes. The trade names and customer relationships intangible assets were established with seven year and three year remaining useful lives, respectively.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340"/>
          </w:cols>
          <w:pgMar w:left="320" w:top="448" w:right="2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AKESOgen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December 9, 2019, in accordance with a stock purchase agreement, Tempus AI, Inc. purchased 100% of the issued and outstanding shares of capital stock of AKESOgen for $30.3 million, with an adjustment for working capital. The transaction included a contingent consideration arrangement to transfer shares of non-voting common stock to the former owners with an acquisition date fair value of $3.4 million, which the company recognized under long-term liabilities. The consideration was to be paid out based on AKESOgen’s 2020 revenue, with a maximum payout of 726,979 shares of non-voting common stock. On May 19, 2021, the Company entered into a settlement agreement with the former owners of AKESOgen related to the contingent consideration, whereby $7.5 million was paid in cash and 145,466 shares of non-voting common stock were to be paid out on the third anniversary of the Closing date. The shares of non-voting common stock were issued on December 9, 2022 and subsequently repurchased by the Company in January 2023.</w:t>
      </w:r>
    </w:p>
    <w:p>
      <w:pPr>
        <w:spacing w:after="0" w:line="332" w:lineRule="exact"/>
        <w:rPr>
          <w:sz w:val="20"/>
          <w:szCs w:val="20"/>
          <w:color w:val="auto"/>
        </w:rPr>
      </w:pPr>
    </w:p>
    <w:p>
      <w:pPr>
        <w:ind w:right="8100" w:firstLine="5"/>
        <w:spacing w:after="0" w:line="412" w:lineRule="auto"/>
        <w:tabs>
          <w:tab w:leader="none" w:pos="446" w:val="left"/>
        </w:tabs>
        <w:numPr>
          <w:ilvl w:val="0"/>
          <w:numId w:val="1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 SHEET COMPONENTS Property and Equipment, net</w:t>
      </w:r>
    </w:p>
    <w:p>
      <w:pPr>
        <w:ind w:left="4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following summarizes property and equipment, net as of December 31, 2022 and 2023 and March 31, 2024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9"/>
        </w:trPr>
        <w:tc>
          <w:tcPr>
            <w:tcW w:w="7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r>
      <w:tr>
        <w:trPr>
          <w:trHeight w:val="203"/>
        </w:trPr>
        <w:tc>
          <w:tcPr>
            <w:tcW w:w="79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Equipment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65,327</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91,656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94,211</w:t>
            </w:r>
          </w:p>
        </w:tc>
        <w:tc>
          <w:tcPr>
            <w:tcW w:w="100" w:type="dxa"/>
            <w:vAlign w:val="bottom"/>
            <w:shd w:val="clear" w:color="auto" w:fill="CCEEFF"/>
          </w:tcPr>
          <w:p>
            <w:pPr>
              <w:spacing w:after="0"/>
              <w:rPr>
                <w:sz w:val="17"/>
                <w:szCs w:val="17"/>
                <w:color w:val="auto"/>
              </w:rPr>
            </w:pP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30,390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42,433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43,683</w:t>
            </w: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6,633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6,633</w:t>
            </w: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102,350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144,527</w:t>
            </w:r>
          </w:p>
        </w:tc>
        <w:tc>
          <w:tcPr>
            <w:tcW w:w="100" w:type="dxa"/>
            <w:vAlign w:val="bottom"/>
          </w:tcPr>
          <w:p>
            <w:pPr>
              <w:spacing w:after="0"/>
              <w:rPr>
                <w:sz w:val="18"/>
                <w:szCs w:val="18"/>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(58,245)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(79,041)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(85,310)</w:t>
            </w: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44,105</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59,217</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Depreciation expense on property and equipment is classified as follows in the accompanying consolidated statements of operations for the years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2023 and the three months ended March 31, 2023 and 2024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Year-Ended</w:t>
            </w: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3"/>
        </w:trPr>
        <w:tc>
          <w:tcPr>
            <w:tcW w:w="41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0" w:type="dxa"/>
            <w:vAlign w:val="bottom"/>
            <w:tcBorders>
              <w:top w:val="single" w:sz="8" w:color="auto"/>
            </w:tcBorders>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80" w:type="dxa"/>
            <w:vAlign w:val="bottom"/>
          </w:tcPr>
          <w:p>
            <w:pPr>
              <w:spacing w:after="0"/>
              <w:rPr>
                <w:sz w:val="9"/>
                <w:szCs w:val="9"/>
                <w:color w:val="auto"/>
              </w:rPr>
            </w:pPr>
          </w:p>
        </w:tc>
        <w:tc>
          <w:tcPr>
            <w:tcW w:w="1200" w:type="dxa"/>
            <w:vAlign w:val="bottom"/>
            <w:tcBorders>
              <w:top w:val="single" w:sz="8" w:color="auto"/>
            </w:tcBorders>
            <w:gridSpan w:val="3"/>
          </w:tcPr>
          <w:p>
            <w:pPr>
              <w:jc w:val="right"/>
              <w:ind w:right="580"/>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2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9"/>
                <w:szCs w:val="9"/>
                <w:color w:val="auto"/>
              </w:rPr>
            </w:pPr>
          </w:p>
        </w:tc>
      </w:tr>
      <w:tr>
        <w:trPr>
          <w:trHeight w:val="169"/>
        </w:trPr>
        <w:tc>
          <w:tcPr>
            <w:tcW w:w="4180" w:type="dxa"/>
            <w:vAlign w:val="bottom"/>
            <w:tcBorders>
              <w:bottom w:val="single" w:sz="8" w:color="CCEEFF"/>
            </w:tcBorders>
          </w:tcPr>
          <w:p>
            <w:pPr>
              <w:spacing w:after="0"/>
              <w:rPr>
                <w:sz w:val="14"/>
                <w:szCs w:val="14"/>
                <w:color w:val="auto"/>
              </w:rPr>
            </w:pPr>
          </w:p>
        </w:tc>
        <w:tc>
          <w:tcPr>
            <w:tcW w:w="2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4"/>
                <w:szCs w:val="14"/>
                <w:color w:val="auto"/>
              </w:rPr>
            </w:pPr>
          </w:p>
        </w:tc>
      </w:tr>
      <w:tr>
        <w:trPr>
          <w:trHeight w:val="203"/>
        </w:trPr>
        <w:tc>
          <w:tcPr>
            <w:tcW w:w="4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Cost of revenue, genomics</w:t>
            </w:r>
          </w:p>
        </w:tc>
        <w:tc>
          <w:tcPr>
            <w:tcW w:w="2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8,190</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12,961</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3,141</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3,381</w:t>
            </w:r>
          </w:p>
        </w:tc>
        <w:tc>
          <w:tcPr>
            <w:tcW w:w="40" w:type="dxa"/>
            <w:vAlign w:val="bottom"/>
            <w:shd w:val="clear" w:color="auto" w:fill="CCEEFF"/>
          </w:tcPr>
          <w:p>
            <w:pPr>
              <w:spacing w:after="0"/>
              <w:rPr>
                <w:sz w:val="17"/>
                <w:szCs w:val="17"/>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7,133</w:t>
            </w:r>
          </w:p>
        </w:tc>
        <w:tc>
          <w:tcPr>
            <w:tcW w:w="16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8,318</w:t>
            </w:r>
          </w:p>
        </w:tc>
        <w:tc>
          <w:tcPr>
            <w:tcW w:w="14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2,888</w:t>
            </w: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1,371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depreciation</w:t>
            </w:r>
          </w:p>
        </w:tc>
        <w:tc>
          <w:tcPr>
            <w:tcW w:w="25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5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21,279</w:t>
            </w:r>
          </w:p>
        </w:tc>
        <w:tc>
          <w:tcPr>
            <w:tcW w:w="5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5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4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6"/>
        </w:trPr>
        <w:tc>
          <w:tcPr>
            <w:tcW w:w="4180" w:type="dxa"/>
            <w:vAlign w:val="bottom"/>
          </w:tcPr>
          <w:p>
            <w:pPr>
              <w:spacing w:after="0"/>
              <w:rPr>
                <w:sz w:val="24"/>
                <w:szCs w:val="24"/>
                <w:color w:val="auto"/>
              </w:rPr>
            </w:pPr>
          </w:p>
        </w:tc>
        <w:tc>
          <w:tcPr>
            <w:tcW w:w="2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F-27</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as of December 31, 2022 and 2023 and March 31, 2024,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9"/>
        </w:trPr>
        <w:tc>
          <w:tcPr>
            <w:tcW w:w="5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4"/>
                <w:szCs w:val="14"/>
                <w:color w:val="auto"/>
              </w:rPr>
            </w:pPr>
          </w:p>
        </w:tc>
      </w:tr>
      <w:tr>
        <w:trPr>
          <w:trHeight w:val="203"/>
        </w:trPr>
        <w:tc>
          <w:tcPr>
            <w:tcW w:w="5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22,374</w:t>
            </w: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21,950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$ 16,193</w:t>
            </w:r>
          </w:p>
        </w:tc>
        <w:tc>
          <w:tcPr>
            <w:tcW w:w="40" w:type="dxa"/>
            <w:vAlign w:val="bottom"/>
            <w:tcBorders>
              <w:top w:val="single" w:sz="8" w:color="CCEEFF"/>
            </w:tcBorders>
            <w:shd w:val="clear" w:color="auto" w:fill="CCEEFF"/>
          </w:tcPr>
          <w:p>
            <w:pPr>
              <w:spacing w:after="0"/>
              <w:rPr>
                <w:sz w:val="17"/>
                <w:szCs w:val="17"/>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25,321</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37,783</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36,122</w:t>
            </w: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cloud storage costs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7,118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13,921</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21,113</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40" w:type="dxa"/>
            <w:vAlign w:val="bottom"/>
          </w:tcPr>
          <w:p>
            <w:pPr>
              <w:spacing w:after="0"/>
              <w:rPr>
                <w:sz w:val="18"/>
                <w:szCs w:val="18"/>
                <w:color w:val="auto"/>
              </w:rPr>
            </w:pPr>
          </w:p>
        </w:tc>
      </w:tr>
      <w:tr>
        <w:trPr>
          <w:trHeight w:val="21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2600" w:type="dxa"/>
            <w:vAlign w:val="bottom"/>
            <w:gridSpan w:val="2"/>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55,272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82,517</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$ 82,250</w:t>
            </w:r>
          </w:p>
        </w:tc>
      </w:tr>
      <w:tr>
        <w:trPr>
          <w:trHeight w:val="20"/>
        </w:trPr>
        <w:tc>
          <w:tcPr>
            <w:tcW w:w="5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7" w:lineRule="exact"/>
        <w:rPr>
          <w:sz w:val="20"/>
          <w:szCs w:val="20"/>
          <w:color w:val="auto"/>
        </w:rPr>
      </w:pPr>
    </w:p>
    <w:p>
      <w:pPr>
        <w:ind w:left="460" w:hanging="455"/>
        <w:spacing w:after="0"/>
        <w:tabs>
          <w:tab w:leader="none" w:pos="4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110" w:lineRule="exact"/>
        <w:rPr>
          <w:sz w:val="20"/>
          <w:szCs w:val="20"/>
          <w:color w:val="auto"/>
        </w:rPr>
      </w:pPr>
    </w:p>
    <w:p>
      <w:pPr>
        <w:jc w:val="both"/>
        <w:ind w:firstLine="454"/>
        <w:spacing w:after="0" w:line="218"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As disclosed in Note 2, Goodwill is tested for impairment at least annually as of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The changes in the carrying amount of goodwill for the years ended December 31, 2022 and 2023 were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$ 15,985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Goodwill related to business combinations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640" w:type="dxa"/>
            <w:vAlign w:val="bottom"/>
            <w:vMerge w:val="continue"/>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37,113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$ 53,100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6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Goodwill related to business combinations</w:t>
            </w:r>
          </w:p>
        </w:tc>
        <w:tc>
          <w:tcPr>
            <w:tcW w:w="680" w:type="dxa"/>
            <w:vAlign w:val="bottom"/>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w w:val="95"/>
              </w:rPr>
              <w:t>$ 20,249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$ 73,354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During the three months ended March 31, 2023, goodwill of $10.6 million was recorded in connection with the acquisition of Mpirik. There were no goodwill additions for the three months ended March 31, 2024.</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was no goodwill impairment for the years ended December 31, 2022 and 2023 or for the three months ended March 31, 2023 and 2024.</w:t>
      </w:r>
    </w:p>
    <w:p>
      <w:pPr>
        <w:spacing w:after="0" w:line="213"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Intangible assets are initially recorded at their acquisition cost, or fair value if acquired as part of a business combination and amortized over their estimated useful lives. Intangible assets consist of a website domain, customer relationships and trade names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an additional $2.1 million in licensed data related to de-identified data obtained through additional research collaboration agreements, and $8.0 million and $2.8 million of trade names and customer relationships, respectively, related to the Highline Acquisition. During the year ended December 31, 2023, the Company recorded an additional $3.8 million in licensed data related to de-identified data obtained through an additional agreement.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340"/>
          </w:cols>
          <w:pgMar w:left="320" w:top="448" w:right="2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January 2023, the Company amended a data licensing agreement, which reduced the future data license payments the Company owes in exchange for waiving exclusivity rights on the licensed data. The Company remeasured the related licensed data intangible asset to fair value, which resulted in an impairment of $7.4 million recorded in Research and development during the year ended December 31, 2023. A $7.9 million gain resulting from the related reduction of future data license payments was also recorded in Research and development during the year ended December 31, 2023. The impairment resulted in a reduction of $40.1 million and $32.7 million to gross intangible assets and accumulated amortization, respectively.</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December 31, 2022 and 2023 and March 31, 2024 (in thousands):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gridSpan w:val="2"/>
          </w:tcPr>
          <w:p>
            <w:pPr>
              <w:jc w:val="center"/>
              <w:ind w:right="6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9"/>
                <w:szCs w:val="9"/>
                <w:color w:val="auto"/>
              </w:rPr>
            </w:pPr>
          </w:p>
        </w:tc>
        <w:tc>
          <w:tcPr>
            <w:tcW w:w="108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Net</w:t>
            </w:r>
          </w:p>
        </w:tc>
        <w:tc>
          <w:tcPr>
            <w:tcW w:w="64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9"/>
                <w:szCs w:val="9"/>
                <w:color w:val="auto"/>
              </w:rPr>
            </w:pPr>
          </w:p>
        </w:tc>
        <w:tc>
          <w:tcPr>
            <w:tcW w:w="102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7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9"/>
                <w:szCs w:val="9"/>
                <w:color w:val="auto"/>
              </w:rPr>
            </w:pPr>
          </w:p>
        </w:tc>
        <w:tc>
          <w:tcPr>
            <w:tcW w:w="98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40" w:type="dxa"/>
            <w:vAlign w:val="bottom"/>
            <w:gridSpan w:val="2"/>
            <w:vMerge w:val="continue"/>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relationships</w:t>
            </w:r>
          </w:p>
        </w:tc>
        <w:tc>
          <w:tcPr>
            <w:tcW w:w="8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$20,550</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8,581</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$11,969</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$20,550</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12,219</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8,331</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$20,550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13,066</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7,484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Licensed data</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55,612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37,179</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18,433</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11,469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7,852</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6,064</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domain</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5,714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5,429</w:t>
            </w: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84,181</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46,903</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37,278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47,890</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25,974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21,916</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47,890</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28,894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18,996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Amortization of intangible assets is recognized using the straight-line method over their estimated useful lives, which range from three to seven years. Amortization expense was $13.3 million and $11.9 million for the years ended December 31, 2022 and December 31, 2023, respectively, and $2.9 million for both the three months ended March 31, 2023 and 2024, respectively, and is recorded in cost of revenues, research and development, or selling, general and administrative expense, depending on use of the asset. The weighted average life of our intangibles is approximately six years.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of December 31, 2023, the estimated future amortization expense related to intangible assets is as follows (in thousands):</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$ 10,751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$ 21,897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ind w:left="460" w:right="7540" w:hanging="455"/>
        <w:spacing w:after="0" w:line="366" w:lineRule="auto"/>
        <w:tabs>
          <w:tab w:leader="none" w:pos="453"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Purchase Obligations</w:t>
      </w:r>
    </w:p>
    <w:p>
      <w:pPr>
        <w:spacing w:after="0" w:line="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years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340"/>
          </w:cols>
          <w:pgMar w:left="320" w:top="448" w:right="2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ended December 31, 2022 and 2023, the Company recognized data licensing and cloud computing expenses of $31.1 million and $33.7 million, respectively, related to non-cancelable arrangements.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of December 31, 2023, future payments under these contractual obligations were as follows (in thousands):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2"/>
              </w:rPr>
              <w:t>113,497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purchase obligations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2"/>
              </w:rPr>
              <w:t>113,420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purchase obligations</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purchase obligations</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legal matters such as threatened or pending claims or proceedings. There were no material such matters as of and for the year ended December 31, 2023 or the three months ended March 31, 2024.</w:t>
      </w:r>
    </w:p>
    <w:p>
      <w:pPr>
        <w:spacing w:after="0" w:line="312" w:lineRule="exact"/>
        <w:rPr>
          <w:sz w:val="20"/>
          <w:szCs w:val="20"/>
          <w:color w:val="auto"/>
        </w:rPr>
      </w:pPr>
    </w:p>
    <w:p>
      <w:pPr>
        <w:ind w:left="460" w:hanging="455"/>
        <w:spacing w:after="0"/>
        <w:tabs>
          <w:tab w:leader="none" w:pos="4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Company has entered into various non-cancelable operating lease agreements, primarily for the rent of office and lab space, with expirations at various dates through 2029. The Company has also acquired portions of its equipment under finance lease arrangements, formerly referred to as capital leases under ASC 840, with expirations between 2022 and 2023. Lease cost is recognized on a straight-line basis over the lease term. Variable lease costs, which include items such as real estate taxes, common area maintenance, utilities, and storage are not included in the calculation of the right-of-use assets and are recognized as incurred.</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total lease costs for the years ended December 31, 2022 and 2023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Year-Ended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3"/>
        </w:trPr>
        <w:tc>
          <w:tcPr>
            <w:tcW w:w="416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44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9"/>
                <w:szCs w:val="9"/>
                <w:color w:val="auto"/>
              </w:rPr>
            </w:pPr>
          </w:p>
        </w:tc>
      </w:tr>
      <w:tr>
        <w:trPr>
          <w:trHeight w:val="169"/>
        </w:trPr>
        <w:tc>
          <w:tcPr>
            <w:tcW w:w="4160" w:type="dxa"/>
            <w:vAlign w:val="bottom"/>
            <w:tcBorders>
              <w:bottom w:val="single" w:sz="8" w:color="CCEEFF"/>
            </w:tcBorders>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r>
      <w:tr>
        <w:trPr>
          <w:trHeight w:val="203"/>
        </w:trPr>
        <w:tc>
          <w:tcPr>
            <w:tcW w:w="4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 cost</w:t>
            </w:r>
          </w:p>
        </w:tc>
        <w:tc>
          <w:tcPr>
            <w:tcW w:w="4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6,426</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6,760</w:t>
            </w:r>
          </w:p>
        </w:tc>
        <w:tc>
          <w:tcPr>
            <w:tcW w:w="100" w:type="dxa"/>
            <w:vAlign w:val="bottom"/>
            <w:shd w:val="clear" w:color="auto" w:fill="CCEEFF"/>
          </w:tcPr>
          <w:p>
            <w:pPr>
              <w:spacing w:after="0"/>
              <w:rPr>
                <w:sz w:val="17"/>
                <w:szCs w:val="17"/>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4,732</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4,641</w:t>
            </w: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48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6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10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4160" w:type="dxa"/>
            <w:vAlign w:val="bottom"/>
          </w:tcPr>
          <w:p>
            <w:pPr>
              <w:spacing w:after="0"/>
              <w:rPr>
                <w:sz w:val="24"/>
                <w:szCs w:val="24"/>
                <w:color w:val="auto"/>
              </w:rPr>
            </w:pPr>
          </w:p>
        </w:tc>
        <w:tc>
          <w:tcPr>
            <w:tcW w:w="49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F-30</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 term and discount rate as of December 31, 2022 and 2023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84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r>
      <w:tr>
        <w:trPr>
          <w:trHeight w:val="190"/>
        </w:trPr>
        <w:tc>
          <w:tcPr>
            <w:tcW w:w="84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6.6</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5.9</w:t>
            </w:r>
          </w:p>
        </w:tc>
      </w:tr>
      <w:tr>
        <w:trPr>
          <w:trHeight w:val="21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0.7</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0.0</w:t>
            </w:r>
          </w:p>
        </w:tc>
      </w:tr>
      <w:tr>
        <w:trPr>
          <w:trHeight w:val="210"/>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6.7%</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6.9%</w:t>
            </w:r>
          </w:p>
        </w:tc>
      </w:tr>
      <w:tr>
        <w:trPr>
          <w:trHeight w:val="228"/>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4.2%</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2023, the future payments under operating leases for each of the next five years and thereafter are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8,732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47,981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4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38,477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32,040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there were no material changes to the Company’s total lease costs, lease term and discount rate, or lease obligations.</w:t>
      </w:r>
    </w:p>
    <w:p>
      <w:pPr>
        <w:spacing w:after="0" w:line="356" w:lineRule="exact"/>
        <w:rPr>
          <w:sz w:val="20"/>
          <w:szCs w:val="20"/>
          <w:color w:val="auto"/>
        </w:rPr>
      </w:pPr>
    </w:p>
    <w:p>
      <w:pPr>
        <w:ind w:left="460" w:right="8640" w:hanging="455"/>
        <w:spacing w:after="0" w:line="366" w:lineRule="auto"/>
        <w:tabs>
          <w:tab w:leader="none" w:pos="453"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Company has authorized two classes of common stock, voting and non-voting. In March 2021, the Company amended its certificate of incorporation to bifurcate the voting common stock into two classes, Class A common stock and Class B common stock. As of December 31, 2021, the Company had authorized 181,700,285 shares of Class A common stock, 5,374,899 shares of Class B common stock, and 63,946,627 shares of non-voting common stock. In January 2022, the Company increased the number of authorized shares of non-voting common stock to 66,946,627. In April 2022, the Company increased the number of authorized shares of Class A common stock to 195,865,548 in conjunction with the Series G-3 Preferred stock financing (see Note 9, Redeemable Convertible Preferred Stock). In October 2023, the Company increased the number of authorized shares of Class A common stock to 200,228,024 in conjunction with the Series G-4 Preferred stock financing (see Note 9, Redeemable Convertible Preferred Stock).</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Class A common stock, Class B common stock and non-voting common stock are collectively referred to as “Common Stock” throughout the notes to these consolidated financial statements unless otherwise noted.</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rights of the holders of Class A common stock, Class B common stock and non-voting common stock are identical, except with respect to voting. Each share of Class A common stock is entitled to one vote per share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340"/>
          </w:cols>
          <w:pgMar w:left="320" w:top="448" w:right="2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each share of Class B common stock is entitled to fifteen votes per share. Non-voting shares of common stock do not have voting rights.</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Upon the closing of the IPO, on any transfer of shares of Class B common stock, whether or not for value, each such transferred share will automatically convert into one share of Class A common stock, except for certain transfers detailed below and further described in the Company’s amended and restated certificate of incorporation that will be in effect on the closing of this offering.</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 (2) the trading day that is no less than 90 days and no more than 150 days following the twenty-year anniversary of the filing of the Company’s twelfth amended and restated certificate of incorporation, which is       , 2044; (3) the date on which Mr. Lefkofsky is no longer providing services to the Company as an executive officer or member of the board of directors; and (4) the trading day that is no less than 90 days and no more than 150 days following the date that Mr. Lefkofsky and his controlled entities hold, in the aggregate, fewer than 10,000,000 shares of the Company’s capital stock (as adjusted for stock splits, stock dividends, combinations, subdivisions and recapitalizations).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Shares of non-voting common stock automatically convert into shares of Class A common stock immediately upon the closing of an initial public offering (“IPO”).</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issues stock-based awards to its employees in the form of stock options, restricted stock units, performance stock units and restricted stock, all of which have the potential to increase the outstanding shares of common stock in the future (see Note 10, Stock-Based Compensation).</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the remaining assets of the Company would first be distributed to the holders of Series G-5 Preferred Stock (see Note 17, Unaudited Subsequent Events), Series G-4 Preferred Stock, Series G-3 Preferred Stock, Series G-2 Preferred Stock, Series G Preferred Stock, Series F Preferred Stock, followed by distributions to the holders of Series E Preferred Stock, Series D Preferred Stock, Series C Preferred Stock, Series B-2 Preferred Stock, Series B-1 Preferred Stock, Series B Preferred Stock, and Series A Preferred Stock. After distribution to the preferred stockholders, the remaining assets of the Company would be distributed to the holders of shares of Series C Preferred Stock and Common Stock, pro rata based on the number of shares then held by each holder, treating all Series C Preferred Stock as if they had been converted into Common Stock.</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connection with a 2021 strategic collaboration with AstraZeneca, as amended in October 2022, February 2023 and December 2023, the Company granted warrants to purchase $100 million in shares of the Company’s Class A common stock at an exercise price equal to the price per share at which the Company’s common stock is valued in connection with the consummation of an IPO or a de-SPAC transaction, if an IPO or de-SPAC is completed on or before December 31, 2022. As no such transaction has occurred, in accordance with the agreement, the exercise price will be the latest equity financing price. The warrant will be automatically cancelled and terminated for no consideration in the event AstraZeneca declines to extend its financial commitment before December 31, 2024. If AstraZeneca exercises the warrant, AstraZeneca will be required to increase its minimum commitment under the MSA from $220 million to $320 million through December 2028.</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40"/>
          </w:cols>
          <w:pgMar w:left="320" w:top="448" w:right="2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 December 8, 2023, the Company issued Allen &amp; Company LLC (“Allen”) a warrant to purchase 150,000 shares of the Company’s Class A common stock at a price per share of $10.00. The exercise period of the warrant is from the date of issuance to November 30, 2026. The warrant may be exercised at any time at Allen’s option. However, upon a change in control or an IPO, the warrant will be automatically exercised. The warrant was issued as compensation for Allen’s assistance with the issuance of the Company’s Series G-4 preferred stock, and as such has been treated as an issuance cost and presented net of proceeds from Series G-4 preferred stock in Convertible redeemable preferred stock on the Company’s consolidated balance sheet.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January 2023, the Company repurchased 145,466 shares of non-voting common stock previously issued to the former owners of December 2019 acquisition AKESOgen. These shares were accounted for as treasury stock. The Company records treasury stock at cost.</w:t>
      </w:r>
    </w:p>
    <w:p>
      <w:pPr>
        <w:spacing w:after="0" w:line="312" w:lineRule="exact"/>
        <w:rPr>
          <w:sz w:val="20"/>
          <w:szCs w:val="20"/>
          <w:color w:val="auto"/>
        </w:rPr>
      </w:pPr>
    </w:p>
    <w:p>
      <w:pPr>
        <w:ind w:left="460" w:hanging="455"/>
        <w:spacing w:after="0"/>
        <w:tabs>
          <w:tab w:leader="none" w:pos="4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November 2020, the Company authorized 7,135,072 shares and issued 3,296,093 shares of Series G-2 Preferred stock (“Series G-2 Preferred”). In January 2021, the Company issued 287,922 shares of Series G-2 Preferred Stock for aggregate proceeds of $16.5 million. In conjunction with this issuance, the Company redeemed 130,876 shares of Series G-2 Preferred Stock from a related party in exchange for $7.5 million. Each share has a par value of $0.0001. The Company used the proceeds from such issuances for working capital and general corporate purposes.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2022, the Company issued 1,614,114 shares of Series G-3 Preferred stock (“Series G-3 Preferred”) for aggregate proceeds of $92.5 million. Each share has a par value of $0.0001. The Company will use the proceeds for working capital and general corporate purposes.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January 2023, the Company issued 47,781 shares of Series G-3 convertible preferred stock as payment of paid-in-kind dividends.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October 2023, the Company issued 785,245 shares of Series G-4 convertible preferred stock (“Series G-4 Preferred”) for aggregate proceeds of $45.0 million. Each share has a par value of $0.0001. The Company will use the proceeds for working capital and general corporate purposes.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January 2024, the Company issued 66,465 shares of Series G-3 convertible preferred stock and 10,666 shares of Series G-4 convertible preferred stock as payment of paid-in-kind dividends.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April 2024, the Company issued 3,489,981 shares of Series G-5 convertible preferred stock (“Series G-5 Preferred”) for aggregate proceeds of $200.0 million. Each share has a par value of $0.0001. The Company will use the proceeds for working capital and general corporate purposes. Terms of Series G-5 Preferred are consistent with previous terms of redeemable convertible preferred stock.</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340"/>
          </w:cols>
          <w:pgMar w:left="320" w:top="448" w:right="2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Redeemable convertible preferred stock outstanding as of December 31, 2022 and 2023 and March 31, 2024, consisted of the following (in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5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340" w:type="dxa"/>
            <w:vAlign w:val="bottom"/>
            <w:gridSpan w:val="4"/>
          </w:tcPr>
          <w:p>
            <w:pPr>
              <w:ind w:left="92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right"/>
              <w:ind w:right="3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40" w:type="dxa"/>
            <w:vAlign w:val="bottom"/>
          </w:tcPr>
          <w:p>
            <w:pPr>
              <w:spacing w:after="0"/>
              <w:rPr>
                <w:sz w:val="9"/>
                <w:szCs w:val="9"/>
                <w:color w:val="auto"/>
              </w:rPr>
            </w:pPr>
          </w:p>
        </w:tc>
        <w:tc>
          <w:tcPr>
            <w:tcW w:w="840" w:type="dxa"/>
            <w:vAlign w:val="bottom"/>
          </w:tcPr>
          <w:p>
            <w:pPr>
              <w:jc w:val="right"/>
              <w:ind w:right="13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5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4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34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44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920" w:type="dxa"/>
            <w:vAlign w:val="bottom"/>
            <w:gridSpan w:val="2"/>
          </w:tcPr>
          <w:p>
            <w:pPr>
              <w:jc w:val="right"/>
              <w:ind w:right="40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5,374,899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10,500</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4,191,173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31,500</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9,779,403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83,746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8,534,330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100,347</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99,479</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6,630,905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143,036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8,077,674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246,911</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246,911</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2,537,290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113,554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113,554</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2020/2021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3,453,139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197,889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1,614,114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95,274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95,274</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65,441,289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62,692,927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1,043,757</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right="6480" w:firstLine="5"/>
        <w:spacing w:after="0" w:line="267" w:lineRule="auto"/>
        <w:tabs>
          <w:tab w:leader="none" w:pos="44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 ** Excludes amounts related to embedded conversion features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780" w:type="dxa"/>
            <w:vAlign w:val="bottom"/>
            <w:gridSpan w:val="3"/>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40" w:type="dxa"/>
            <w:vAlign w:val="bottom"/>
            <w:gridSpan w:val="2"/>
          </w:tcPr>
          <w:p>
            <w:pPr>
              <w:ind w:left="84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1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140" w:type="dxa"/>
            <w:vAlign w:val="bottom"/>
            <w:gridSpan w:val="3"/>
          </w:tcPr>
          <w:p>
            <w:pPr>
              <w:jc w:val="right"/>
              <w:ind w:right="36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20" w:type="dxa"/>
            <w:vAlign w:val="bottom"/>
          </w:tcPr>
          <w:p>
            <w:pPr>
              <w:spacing w:after="0"/>
              <w:rPr>
                <w:sz w:val="9"/>
                <w:szCs w:val="9"/>
                <w:color w:val="auto"/>
              </w:rPr>
            </w:pPr>
          </w:p>
        </w:tc>
        <w:tc>
          <w:tcPr>
            <w:tcW w:w="760" w:type="dxa"/>
            <w:vAlign w:val="bottom"/>
          </w:tcPr>
          <w:p>
            <w:pPr>
              <w:jc w:val="right"/>
              <w:ind w:right="7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78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40" w:type="dxa"/>
            <w:vAlign w:val="bottom"/>
            <w:gridSpan w:val="2"/>
          </w:tcPr>
          <w:p>
            <w:pPr>
              <w:jc w:val="center"/>
              <w:ind w:right="28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240" w:type="dxa"/>
            <w:vAlign w:val="bottom"/>
            <w:gridSpan w:val="2"/>
          </w:tcPr>
          <w:p>
            <w:pPr>
              <w:ind w:left="12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46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82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8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34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10,000,000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31,500</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86,757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105,107</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151,621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261,722</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119,928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2020/2021</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197,889</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2022/2023</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1,661,895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98,891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785,245</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45,514</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69,803,765</w:t>
            </w:r>
          </w:p>
        </w:tc>
        <w:tc>
          <w:tcPr>
            <w:tcW w:w="34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63,525,953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1,130,429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1,105,543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Excludes amounts related to the conversion of convertible note</w:t>
      </w:r>
    </w:p>
    <w:p>
      <w:pPr>
        <w:spacing w:after="0" w:line="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Excludes amounts related to embedded conversion features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340"/>
          </w:cols>
          <w:pgMar w:left="320" w:top="448" w:right="2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6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220" w:type="dxa"/>
            <w:vAlign w:val="bottom"/>
            <w:gridSpan w:val="3"/>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260" w:type="dxa"/>
            <w:vAlign w:val="bottom"/>
            <w:tcBorders>
              <w:bottom w:val="single" w:sz="8" w:color="auto"/>
            </w:tcBorders>
            <w:gridSpan w:val="2"/>
          </w:tcPr>
          <w:p>
            <w:pPr>
              <w:ind w:left="860"/>
              <w:spacing w:after="0" w:line="125" w:lineRule="exact"/>
              <w:rPr>
                <w:sz w:val="20"/>
                <w:szCs w:val="20"/>
                <w:color w:val="auto"/>
              </w:rPr>
            </w:pPr>
            <w:r>
              <w:rPr>
                <w:rFonts w:ascii="Times New Roman" w:cs="Times New Roman" w:eastAsia="Times New Roman" w:hAnsi="Times New Roman"/>
                <w:sz w:val="14"/>
                <w:szCs w:val="14"/>
                <w:b w:val="1"/>
                <w:bCs w:val="1"/>
                <w:color w:val="auto"/>
                <w:w w:val="88"/>
              </w:rPr>
              <w:t>Shares</w:t>
            </w: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Liquidation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95"/>
              <w:spacing w:after="0" w:line="12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60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Issued</w:t>
            </w:r>
          </w:p>
        </w:tc>
        <w:tc>
          <w:tcPr>
            <w:tcW w:w="126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860" w:type="dxa"/>
            <w:vAlign w:val="bottom"/>
          </w:tcPr>
          <w:p>
            <w:pPr>
              <w:jc w:val="right"/>
              <w:ind w:right="15"/>
              <w:spacing w:after="0" w:line="131"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13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4"/>
              </w:rPr>
              <w:t>2015</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34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10,624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5,374,899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3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4,191,173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3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9,779,403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87,940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8,534,330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106,586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3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6,630,905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153,840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153,840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8,077,674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265,551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265,551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3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2,537,290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121,576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121,576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2020/2021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3,453,139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197,889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2022/2023/2024</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3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1,728,360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99,870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99,047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G-4**</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2023/2024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46,108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69,803,765</w:t>
            </w:r>
          </w:p>
        </w:tc>
        <w:tc>
          <w:tcPr>
            <w:tcW w:w="3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63,603,084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1,143,105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1,134,802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6480" w:firstLine="5"/>
        <w:spacing w:after="0" w:line="267" w:lineRule="auto"/>
        <w:tabs>
          <w:tab w:leader="none" w:pos="44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 ** Excludes amounts related to embedded conversion features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Stock issuance costs that reduced the initial value of preferred stock were fully accreted in the period of the Series issuance. As of December 31, 2022 and 2023 and March 31, 2024, all cumulative dividends have been paid and/or accrued.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Series A Preferred, Series B Preferred, Series B-1 Preferred, Series B-2 Preferred, Series C Preferred, Series D Preferred, Series E Preferred, Series F Preferred, Series G Preferred, Series G-2 Preferred, Series G-3 Preferred, Series G-4 Preferred, and Series G-5 Preferred, collectively, are referenced below as the “Series Preferred.” The rights, preferences, privileges, restrictions and other matters relating to the Series Preferred are as follows: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Except for the holders of Series G-2 Preferred, Series G-3 Preferred, Series G-4 Preferred, and Series G-5 Preferred, the holders of Series Preferred are entitled to dividends at a rate of 5% or 6% of the original issue price (subject to adjustment in the event of any stock dividend, stock split, combination or other similar recapitalization with respect to such class or series), depending on the series each holder participated in and/or the holders’ election to receive cash dividends annually or to accrue. The holders of Series G-3 Preferred are entitled to dividends at a rate of 4% of the original issue price, paid in non-assessable shares of Series G-3 Preferred Stock (“Series G-3 PIK Dividends”). The holders of Series G-4 Preferred are entitled to dividends at a rate of 5.25% of the original issue price, paid in non-assessable shares of Series G-4 Preferred Stock (“Series G-4 PIK Dividends”). The holders of Series G-5 Preferred are entitled to dividends at a rate of 5.25% of the original issue price, paid in non-assessable shares of Series G-5 Preferred Stock (“Series G-5 PIK Dividends”).</w:t>
      </w:r>
    </w:p>
    <w:p>
      <w:pPr>
        <w:spacing w:after="0" w:line="5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dividends are cumulative and accrued from the date of issue while the shares are redeemable at the option of the holders. Any cash payments are subject to approval by the Board. The Company declared all historical Series C dividends in February 2024.</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With the exception of the Series B Preferred stockholders, Preferred stockholders are entitled to the number of votes equal to the product obtained by multiplying the number of shares of voting common stock into which their shares could be converted.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340"/>
          </w:cols>
          <w:pgMar w:left="320" w:top="448" w:right="2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Series B Preferred stockholders are entitled to a number of votes equal to the product obtained by multiplying the number of shares of Class B common stock into which their shares could be converted by fifteen.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Holders of Series Preferred are entitled to receive, upon a liquidation event, the amount that would have been received if all shares of Series Preferred had been converted into voting common stock immediately prior to such liquidation event. If, upon the liquidation event, the assets of the Company are insufficient to fully pay the amounts owed to Series Preferred stockholders, the holders of Series Preferred will have preferential payment over other preferred holders in the following order: Series G-5, Series G-4, Series G-3, Series G-2, Series G, Series F, Series E, Series D, Series C, Series B-2, Series B-1, Series B, Series A.</w:t>
      </w: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Each outstanding share of Series G-5 Preferred, Series G-4 Preferred, Series G-3 Preferred, Series G-2 Preferred, Series G Preferred, Series F Preferred, Series E Preferred, and Series D Preferred shall be redeemed by the Company at a price equal to the original issuance price per share, plus any accruing dividends accrued but unpaid thereon whether or not declared, together with any other dividends declared but unpaid, in one cash payment not more than sixty days after the receipt by the Company, at any time during the period commencing on the date that is seven years from the original issue date of the Series G-5 Preferred shares and ending sixty days thereafter, of written notice from the holders of each preferred series, voting as separate class, requesting redemption of all shares of the preferred series. Upon receipt of a redemption request, the Company shall apply all of its assets to such redemption, and to no other corporate purpose, except to the extent prohibited by Delaware law governing distributions to stockholders.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Each share of Series Preferred shall be convertible, at the option of the holder, at any time, into such number of fully paid and non-assessable shares of voting common stock. Each share of Series Preferred shall automatically be converted into shares of voting common stock upon either (i) the closing of a public offering resulting in at least $100,000,000 of gross proceeds to the company or (ii) the date and time, of the occurrence of an event, specified by vote or written consent of the holders of the outstanding shares of each individual series of preferred shares. There were no shares of voting common stock issued as a result of conversion for the periods ended December 31, 2022 and 2023. In the event of an initial public offering (“IPO”), the Series G-3 Preferred and Series G-4 Preferred conversion price is subject to the greater of (i) 15% discount off of the public offering price and (ii) 10% discount off of the original issue price of the Series G-3 Preferred and Series G-4 Preferred (“Special IPO Adjustment”). In addition, holders of Series G-4 Preferred will receive an amount equal to 5% of the per share original issue price for each share of Series G-4 Preferred (the “G-4 Special Payment”), in the event that following an IPO, the average of the last trading price on each trading day during the ten day trading period beginning on the first day of trading of the Company’s Class A common stock is less than 110% of the price per share of Class A common stock sold in the IPO. In the event of an initial public offering (“IPO”), the Series G-5 Preferred conversion price is subject to the greater of (i) 10% discount off of the public offering price and (ii) 10% discount off of the original issue price of the Series G-5 Preferred (“Special Series G-5 IPO Adjustment”).</w:t>
      </w:r>
    </w:p>
    <w:p>
      <w:pPr>
        <w:spacing w:after="0" w:line="19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conjunction with the issuance of the Series G-3 Preferred, the Company signed a separate agreement with one of the investors (“Investor Letter Agreement”) in which the Company will, in connection with an IPO, pay the investor an amount equal to (a) the product of 287,923 and a 15% discount off of the public offering price, less (b) the product of 287,923 and the price per share of Class A Common Stock sold in the IPO. The agreement was signed with only one investor as an incentive to invest in Series G-3 Preferred.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340"/>
          </w:cols>
          <w:pgMar w:left="320" w:top="448" w:right="2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evaluated the conversion features to assess whether they qualify as freestanding instruments which are required to be bifurcated from the host instrument. Each instrument was determined to be an embedded conversion option which is clearly and closely related to its equity host instrument, and as such, no bifurcation was required.</w:t>
      </w:r>
    </w:p>
    <w:p>
      <w:pPr>
        <w:spacing w:after="0" w:line="323" w:lineRule="exact"/>
        <w:rPr>
          <w:sz w:val="20"/>
          <w:szCs w:val="20"/>
          <w:color w:val="auto"/>
        </w:rPr>
      </w:pPr>
    </w:p>
    <w:p>
      <w:pPr>
        <w:ind w:left="460" w:right="8160" w:hanging="455"/>
        <w:spacing w:after="0" w:line="366" w:lineRule="auto"/>
        <w:tabs>
          <w:tab w:leader="none" w:pos="453"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Plan</w:t>
      </w:r>
    </w:p>
    <w:p>
      <w:pPr>
        <w:spacing w:after="0" w:line="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2015, the Company adopted the Tempus AI, Inc. 2015 Stock Plan (the Plan), which has been amended and restated numerous times to increase the aggregate shares authorized to be issued to employees, consultants, and directors of the Company. As of December 31, 2022, there were 25,115,750 shares authorized under the Plan. In April 2023, the Plan was amended to increase the aggregate shares authorized to be issued, and as of December 31, 2023, there were 28,115,750 authorized under the Plan.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Plan provides for awards in the form of stock options, restricted stock awards, restricted stock unit awards, and performance stock units. The maximum contractual term of awards issued under the Plan is seven years. The Plan is administered by the Board of Directors of the Company, who determine the number of awards to be issued. As of December 31, 2022 and 2023, 2,476,611 shares and 2,522,250 shares, respectively, were available for future issuance under the Plan. As of March 31, 2024, 2,517,445 shares were available for issuance under the plan.</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January 18, 2023, the Company approved a two-year extension of the expiration date for active employees whose RSUs expire either in 2023 or 2024. The Company accounted for the extension as a stock compensation modification, which resulted in an increase in unrecognized compensation cost of $40.4 million for the year ended December 31, 2023 and $41.3 million for the three months ended March 31, 2024.</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July 18, 2023, the Company approved the removal of the market condition for 5,898,596 outstanding PSUs. The Company accounted for this as a stock compensation modification. Subsequent to the modification, these units are treated as RSUs as the terms are consistent with the Company’s existing RSUs. The modification resulted in a decrease in total unrecognized compensation cost of $19.3 million.</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restricted stock units (“RSUs”) granted under the Plan are subject to two vesting conditions. The first is a time-based component. The majority of the awards are eligible to vest over a four-year period, with 20% of the awards being eligible to vest after one year and the remaining awards becoming eligible to vest on a quarterly basis thereafter. The second vesting condition is the occurrence of a liquidity event, as defined in the grant agreement. The fair value of each RSU is estimated on the date of grant using the 409a value of a non-voting share of common stock on such date. The table below summarizes restricted stock unit activity under the Plan for the year ended December 31,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2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300" w:type="dxa"/>
            <w:vAlign w:val="bottom"/>
          </w:tcPr>
          <w:p>
            <w:pPr>
              <w:spacing w:after="0"/>
              <w:rPr>
                <w:sz w:val="13"/>
                <w:szCs w:val="13"/>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38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2022</w:t>
            </w:r>
          </w:p>
        </w:tc>
        <w:tc>
          <w:tcPr>
            <w:tcW w:w="48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12,411,421</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16.15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3,050,625</w:t>
            </w:r>
          </w:p>
        </w:tc>
        <w:tc>
          <w:tcPr>
            <w:tcW w:w="360" w:type="dxa"/>
            <w:vAlign w:val="bottom"/>
          </w:tcPr>
          <w:p>
            <w:pPr>
              <w:spacing w:after="0"/>
              <w:rPr>
                <w:sz w:val="18"/>
                <w:szCs w:val="18"/>
                <w:color w:val="auto"/>
              </w:rPr>
            </w:pPr>
          </w:p>
        </w:tc>
        <w:tc>
          <w:tcPr>
            <w:tcW w:w="52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33.89</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6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(508,673)</w:t>
            </w:r>
          </w:p>
        </w:tc>
        <w:tc>
          <w:tcPr>
            <w:tcW w:w="5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33.62</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6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(63,469)</w:t>
            </w:r>
          </w:p>
        </w:tc>
        <w:tc>
          <w:tcPr>
            <w:tcW w:w="52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 Modification</w:t>
            </w: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5,898,596</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48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20,788,500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880" w:type="dxa"/>
            <w:vAlign w:val="bottom"/>
          </w:tcPr>
          <w:p>
            <w:pPr>
              <w:spacing w:after="0"/>
              <w:rPr>
                <w:sz w:val="24"/>
                <w:szCs w:val="24"/>
                <w:color w:val="auto"/>
              </w:rPr>
            </w:pPr>
          </w:p>
        </w:tc>
        <w:tc>
          <w:tcPr>
            <w:tcW w:w="6020" w:type="dxa"/>
            <w:vAlign w:val="bottom"/>
            <w:gridSpan w:val="3"/>
          </w:tcPr>
          <w:p>
            <w:pPr>
              <w:jc w:val="right"/>
              <w:ind w:right="4060"/>
              <w:spacing w:after="0"/>
              <w:rPr>
                <w:sz w:val="20"/>
                <w:szCs w:val="20"/>
                <w:color w:val="auto"/>
              </w:rPr>
            </w:pPr>
            <w:r>
              <w:rPr>
                <w:rFonts w:ascii="Times New Roman" w:cs="Times New Roman" w:eastAsia="Times New Roman" w:hAnsi="Times New Roman"/>
                <w:sz w:val="18"/>
                <w:szCs w:val="18"/>
                <w:color w:val="auto"/>
              </w:rPr>
              <w:t>F-37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There were no restricted stock units that vested during the years ended December 31, 2022 and 2023. As of December 31, 2022 and December 31, 2023, there was $200.4 million and $550.2 million of unrecognized stock compensation expense relating to RSUs, respectively. Because of the liquidity event requirement, the Company cannot estimate the weighted-average period over which this expense will be recognized.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there was $555.0 million of unrecognized stock compensation expense related to RSUs.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performance stock units (“PSUs”) granted under the Plan are subject to two vesting conditions. For PSUs granted prior to 2022, the first condition is the achievement of a valuation target. The second vesting condition is the occurrence of a liquidity event, as defined in the grant agreement. For PSUs granted in 2022, the first condition is the achievement of the acquired business reaching a revenue target for the twelve-month period ending December 31, 2023. This target was not met as of December 31, 2023, which resulted in the forfeiture of 17,450 PSUs. The fair value of each PSU is estimated on the date of grant using the 409a value of a non-voting share of common stock on such date. The table below summarizes performance stock unit activity under the Plan for the year ended December 31,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11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300" w:type="dxa"/>
            <w:vAlign w:val="bottom"/>
          </w:tcPr>
          <w:p>
            <w:pPr>
              <w:spacing w:after="0"/>
              <w:rPr>
                <w:sz w:val="13"/>
                <w:szCs w:val="13"/>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2022</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5,898,596</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41.09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17,450</w:t>
            </w:r>
          </w:p>
        </w:tc>
        <w:tc>
          <w:tcPr>
            <w:tcW w:w="52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(17,450)</w:t>
            </w:r>
          </w:p>
        </w:tc>
        <w:tc>
          <w:tcPr>
            <w:tcW w:w="5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PSU Modification</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(5,898,596)</w:t>
            </w:r>
          </w:p>
        </w:tc>
        <w:tc>
          <w:tcPr>
            <w:tcW w:w="52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2022 and 2023 and March 31, 2024, there was $242.4 million, $0 million, and $0 million of unrecognized compensation expense related to Performance Stock Units, respectively.</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granted pursuant to the Plan vest on varying schedules, based upon individual agreements. The fair value of each option granted is estimated on the date of grant using the Black-Scholes option-pricing model. The estimated life for the stock options was based on the term of the agreement. The risk-free interest rate is based on the rate for a U.S. government security with the same estimated life at the time of the option grant and the stock purchase rights.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740" w:type="dxa"/>
            <w:vAlign w:val="bottom"/>
          </w:tcPr>
          <w:p>
            <w:pPr>
              <w:spacing w:after="0"/>
              <w:rPr>
                <w:sz w:val="13"/>
                <w:szCs w:val="13"/>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38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Ranges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 at December 31, 2022</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center"/>
              <w:ind w:left="315"/>
              <w:spacing w:after="0" w:line="203" w:lineRule="exact"/>
              <w:rPr>
                <w:sz w:val="20"/>
                <w:szCs w:val="20"/>
                <w:color w:val="auto"/>
              </w:rPr>
            </w:pPr>
            <w:r>
              <w:rPr>
                <w:rFonts w:ascii="Times New Roman" w:cs="Times New Roman" w:eastAsia="Times New Roman" w:hAnsi="Times New Roman"/>
                <w:sz w:val="18"/>
                <w:szCs w:val="18"/>
                <w:color w:val="auto"/>
                <w:w w:val="95"/>
              </w:rPr>
              <w:t>0.85</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center"/>
              <w:ind w:left="615"/>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595"/>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595"/>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0.85</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December 31, 2023</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gridSpan w:val="2"/>
            <w:vMerge w:val="continue"/>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bottom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center"/>
              <w:ind w:left="315"/>
              <w:spacing w:after="0" w:line="202" w:lineRule="exact"/>
              <w:rPr>
                <w:sz w:val="20"/>
                <w:szCs w:val="20"/>
                <w:color w:val="auto"/>
              </w:rPr>
            </w:pPr>
            <w:r>
              <w:rPr>
                <w:rFonts w:ascii="Times New Roman" w:cs="Times New Roman" w:eastAsia="Times New Roman" w:hAnsi="Times New Roman"/>
                <w:sz w:val="18"/>
                <w:szCs w:val="18"/>
                <w:color w:val="auto"/>
                <w:w w:val="95"/>
              </w:rPr>
              <w:t>0.85</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center"/>
              <w:ind w:left="615"/>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outstanding stock options were fully expensed prior to 2020. As such, no stock compensation expense relating to stock options was recorded in the year ended December 31, 2022 and 2023, and there is no unrecognized expense relating to stock options.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340"/>
          </w:cols>
          <w:pgMar w:left="320" w:top="448" w:right="2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previously granted restricted stock awards to employees. Compensation expense on those awards was recognized on a straight-line basis over the requisite service periods of the awards, typically three to four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580" w:type="dxa"/>
            <w:vAlign w:val="bottom"/>
          </w:tcPr>
          <w:p>
            <w:pPr>
              <w:spacing w:after="0"/>
              <w:rPr>
                <w:sz w:val="12"/>
                <w:szCs w:val="12"/>
                <w:color w:val="auto"/>
              </w:rPr>
            </w:pPr>
          </w:p>
        </w:tc>
        <w:tc>
          <w:tcPr>
            <w:tcW w:w="13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Unrestricted</w:t>
            </w:r>
          </w:p>
        </w:tc>
        <w:tc>
          <w:tcPr>
            <w:tcW w:w="7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2022</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into unrestricted</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8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compensation cost was recognized for the years ended December 31, 2022 and 2023, respectively, and as of December 31, 2022 and 2023, there was no unrecognized compensation cost related to non-vested restricted stock awards, respectively.</w:t>
      </w:r>
    </w:p>
    <w:p>
      <w:pPr>
        <w:spacing w:after="0" w:line="312" w:lineRule="exact"/>
        <w:rPr>
          <w:sz w:val="20"/>
          <w:szCs w:val="20"/>
          <w:color w:val="auto"/>
        </w:rPr>
      </w:pPr>
    </w:p>
    <w:p>
      <w:pPr>
        <w:ind w:left="460" w:hanging="455"/>
        <w:spacing w:after="0"/>
        <w:tabs>
          <w:tab w:leader="none" w:pos="4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On September 22, 2022, the Company entered into a Credit Agreement with Ares Capital Corporation (“Ares”) for a senior secured loan (the “Term Loan Facility”) in the amount of $175 million, less original issue discount of $4.4 million and deferred financing fees of $2.6 million. On April 25, 2023, the Company entered into an amendment to the Credit Agreement, which was accounted for as a debt modification. The amendment to the Credit Agreement increased the Term Loan Facility by an aggregate principal amount of $50 million, less original issue discount of $1.3 million and increased the interest rate on the Term Loan Facility by 25 basis points. On October 11, 2023, the Company signed a second amendment to its Credit Agreement with Ares which provided an additional $35.0 million in term debt. The Company received $34.1 million in cash, which is the aggregate principal amount of $35.0 million less original issue discount of $0.9 million. Terms of the second amendment are consistent with existing terms of the Credit Agreement. The proceeds of the Term Loan Facility will be used for working capital and general corporate purposes, to finance growth initiatives, to pay for operating expenses, and to pay the Transaction Costs. The Term Loan Facility is due at maturity on September 22, 2027 and is subject to quarterly interest payments for Base Rate Loans and at the end of the applicable interest rate period for Secured Overnight Financing Rate (“SOFR”) Loans. As of December 31, 2022, the interest rate on the Term Loan Facility was 10.5%. As of December 31, 2023, the interest rate on the $175 million originally borrowed under the Term Loan Facility was 10.40%, 10.39% on the $50 million borrowed under the amended Credit Agreement, and 10.41% on the $35 million borrowed under the second amended Credit Agreement. As of March 31, 2024, the interest rate on the Term Loan Facility was 10.33%.</w:t>
      </w:r>
    </w:p>
    <w:p>
      <w:pPr>
        <w:spacing w:after="0" w:line="194"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After the first three months from the effective date, each quarter, the Company has the option to convert the borrowing type to either a Base Rate Borrowing, which bears interest based on a Base Rate, defined as the greatest of the (a) the “Prime Rate” appearing the “Money Rates” section of the Wall Street Journal or another national publication selected by the Agent, (b) the Federal Funds Rate plus 0.50%, (c) Term SOFR for a one-month tenor in effect on such day plus 1.00% in each instance as of such day and (d) 2.00%, or a SOFR Borrowing, which bears interest based on Term SOFR. Additionally, the Company may make either a PIK election or a Cash election. Based on these elections, the Term Loan Facility will bear interest at one of the following rates:</w:t>
      </w:r>
    </w:p>
    <w:p>
      <w:pPr>
        <w:spacing w:after="0" w:line="65" w:lineRule="exact"/>
        <w:rPr>
          <w:sz w:val="20"/>
          <w:szCs w:val="20"/>
          <w:color w:val="auto"/>
        </w:rPr>
      </w:pPr>
    </w:p>
    <w:p>
      <w:pPr>
        <w:ind w:left="1020" w:hanging="569"/>
        <w:spacing w:after="0" w:line="267" w:lineRule="auto"/>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Base Rate plus an Applicable Rate of 4% per annum plus 3.25% per annum paid in-kind by adding the accrued interest to the outstanding principal balance on each interest payment date</w:t>
      </w:r>
    </w:p>
    <w:p>
      <w:pPr>
        <w:spacing w:after="0" w:line="77" w:lineRule="exact"/>
        <w:rPr>
          <w:rFonts w:ascii="Times New Roman" w:cs="Times New Roman" w:eastAsia="Times New Roman" w:hAnsi="Times New Roman"/>
          <w:sz w:val="18"/>
          <w:szCs w:val="18"/>
          <w:color w:val="auto"/>
        </w:rPr>
      </w:pPr>
    </w:p>
    <w:p>
      <w:pPr>
        <w:ind w:left="1020" w:hanging="569"/>
        <w:spacing w:after="0"/>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Rate plus an Applicable Rate of 6.25% per annum</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340"/>
          </w:cols>
          <w:pgMar w:left="320" w:top="447" w:right="2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1020" w:hanging="569"/>
        <w:spacing w:after="0" w:line="267" w:lineRule="auto"/>
        <w:tabs>
          <w:tab w:leader="none" w:pos="10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Term SOFR for the interest period plus an Applicable rate of 5% per annum plus 3.25% per annum paid in-kind by adding the accrued interest to the outstanding principal balance on each interest payment date</w:t>
      </w:r>
    </w:p>
    <w:p>
      <w:pPr>
        <w:spacing w:after="0" w:line="77" w:lineRule="exact"/>
        <w:rPr>
          <w:rFonts w:ascii="Times New Roman" w:cs="Times New Roman" w:eastAsia="Times New Roman" w:hAnsi="Times New Roman"/>
          <w:sz w:val="18"/>
          <w:szCs w:val="18"/>
          <w:color w:val="auto"/>
        </w:rPr>
      </w:pPr>
    </w:p>
    <w:p>
      <w:pPr>
        <w:ind w:left="1020" w:hanging="569"/>
        <w:spacing w:after="0"/>
        <w:tabs>
          <w:tab w:leader="none" w:pos="10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SOFR for the interest period in effect plus the Applicable Rate of 7.25% per annum</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Term Credit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2024 and 2025, the Company is required to generate consolidated revenues of $459.1 million and $594.1 million, respectively. The Company was in compliance with all covenants of the Credit Agreement as of March 31, 2024.</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obligations under the Term Loan Facility are guaranteed by the Company and secured by substantially all of the assets of the Company.</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original issue discount of $6.5 million and deferred financing fees of $2.6 million are amortized over the term of the underlying debt and unamortized amounts have been offset against long-term debt in the consolidated balance sheets. As of December 31, 2022 and 2023 and March 31, 2024, the unamortized original issue discount was $4.2 million, $5.1 million, and $4.8 million, respectively, and the unamortized deferred financing fees were $2.4 million, $1.9 million, and $1.8 million, respectively. Amortization of the original issue discount and deferred financing fees are reflected in interest expense on the consolidated statements of operations. Amortization of the original issue discount and deferred financing fees totaled $0.2 million and $0.2 million, respectively, for the year ended December 31, 2022. Amortization of the original issue discount and deferred financing fees totaled $0.3 million and $0.1 million, respectively, for the three months ended March 31, 2023. Amortization of the original issue discount and deferred financing fees totaled $0.3 million and $0.1 million, respectively, for the three months ended March 31, 2024.</w:t>
      </w:r>
    </w:p>
    <w:p>
      <w:pPr>
        <w:spacing w:after="0" w:line="186"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Through March 31, 2024, the Company has not made any principal repayments on the Term Loan Facility. Through March 31, 2024, the Company made $7.0 million in interest payments. As of December 31, 2022, the interest rate on the Term Loan Facility was 10.5%. As of December 31, 2023, the interest rate on the $175 million originally borrowed under the Term Loan Facility was 10.40%, 10.39% on the $50 million borrowed under the amended Credit Agreement, and 10.41% on the $35 million borrowed under the second amended Credit Agreement. As of March 31, 2024, the interest rate on the Term Loan Facility was</w:t>
      </w:r>
    </w:p>
    <w:p>
      <w:pPr>
        <w:spacing w:after="0" w:line="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10.33%. The Company recognized interest expense of $5.1 million and $28.9 million related to the Term Loan Facility during the years ended December 31, 2022 and 2023, respectively. The Company recognized interest expense of $5.1 million and $9.1 million related to the Term Loan Facility during the three months ended March 31, 2023 and 2024,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On June 22, 2020, in connection with entry into an agreement for use of Google LLC’s, or Google’s, Google Cloud Platform, the Company issued Google a convertible promissory note, or the Note, in the original principal amount of $330.0 million. On November 19, 2020, in connection with Series G-2 convertible preferred stock financing, the Company issued Google $80 million of the Series G-2 preferred stock, at a 10% discount to the purchase price per share in such financing, in partial satisfaction of the outstanding principal amount under the Note, and the Company amended and restated the terms of the Note.</w:t>
      </w:r>
    </w:p>
    <w:p>
      <w:pPr>
        <w:spacing w:after="0" w:line="15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340"/>
          </w:cols>
          <w:pgMar w:left="320" w:top="447" w:right="2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taking into account the aggregate value of the Google Cloud Platform services used by the Company. The Company accounts for the principal reductions as an offset to its cloud and compute spend within selling, general and administrative in its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concluded that one of the conversion features meets the definition of an embedded derivative that is required to be accounted for as a separate unit of accounting. The fair value of the embedded derivative is not material and was therefore not bifurcated. As such, upon issuance of the Note the Company recorded a promissory note of $330.0 million. The Company recognized interest expense of $16.4 million and $15.8 million during the year ended December 31, 2022 and 2023, respectively. The Company recognized interest expense of $3.8 million and $3.6 million during the three months ended March 31, 2023 and 2024, respectively.</w:t>
      </w:r>
    </w:p>
    <w:p>
      <w:pPr>
        <w:spacing w:after="0" w:line="329" w:lineRule="exact"/>
        <w:rPr>
          <w:sz w:val="20"/>
          <w:szCs w:val="20"/>
          <w:color w:val="auto"/>
        </w:rPr>
      </w:pPr>
    </w:p>
    <w:p>
      <w:pPr>
        <w:ind w:left="460" w:hanging="455"/>
        <w:spacing w:after="0"/>
        <w:tabs>
          <w:tab w:leader="none" w:pos="4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outstanding shares of Common Stock each period. Diluted net loss per share is calculated by giving effect to all potential dilutive Common Stock equivalents, which includes stock options, RSUs, RSAs, PSUs, and preferred stock. Because the Company incurred net losses each period, the basic and diluted calculations are the same. As a result of the adoption of ASU 2020-06 during Q1 2022, the Company used the if-converted method to calculate diluted EPS. As the Company had net losses in the years ended December 31, 2022 and 2023, and the three months ended March 31, 2023 and 2024, respectively, all potentially dilutive common stock equivalents have been excluded from the calculation of diluted net loss per share attributable to common stockholders as their effect is anti-dilutive.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340"/>
          </w:cols>
          <w:pgMar w:left="320" w:top="447" w:right="2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for basic and diluted net loss per share (in thousands, except share and per share data):</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Year-Ended</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r>
      <w:tr>
        <w:trPr>
          <w:trHeight w:val="169"/>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8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1320" w:type="dxa"/>
            <w:vAlign w:val="bottom"/>
            <w:gridSpan w:val="3"/>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8"/>
        </w:trPr>
        <w:tc>
          <w:tcPr>
            <w:tcW w:w="50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0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5"/>
              <w:spacing w:after="0" w:line="138"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1"/>
                <w:szCs w:val="11"/>
                <w:color w:val="auto"/>
              </w:rPr>
            </w:pPr>
          </w:p>
        </w:tc>
      </w:tr>
      <w:tr>
        <w:trPr>
          <w:trHeight w:val="190"/>
        </w:trPr>
        <w:tc>
          <w:tcPr>
            <w:tcW w:w="50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0"/>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9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w w:val="93"/>
              </w:rPr>
              <w:t>(289,811)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w w:val="93"/>
              </w:rPr>
              <w:t>(214,118)</w:t>
            </w:r>
          </w:p>
        </w:tc>
        <w:tc>
          <w:tcPr>
            <w:tcW w:w="15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(54,377)</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(64,743)</w:t>
            </w:r>
          </w:p>
        </w:tc>
      </w:tr>
      <w:tr>
        <w:trPr>
          <w:trHeight w:val="192"/>
        </w:trPr>
        <w:tc>
          <w:tcPr>
            <w:tcW w:w="502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Accretion of convertible preferred stock to redemption</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8"/>
        </w:trPr>
        <w:tc>
          <w:tcPr>
            <w:tcW w:w="5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(4,338)</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192"/>
        </w:trPr>
        <w:tc>
          <w:tcPr>
            <w:tcW w:w="502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Dividends on Series A, B, B-1, B-2, C, D, E, F, G, G-3, and</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5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G-4 preferred shares</w:t>
            </w:r>
          </w:p>
        </w:tc>
        <w:tc>
          <w:tcPr>
            <w:tcW w:w="100" w:type="dxa"/>
            <w:vAlign w:val="bottom"/>
          </w:tcPr>
          <w:p>
            <w:pPr>
              <w:spacing w:after="0"/>
              <w:rPr>
                <w:sz w:val="19"/>
                <w:szCs w:val="19"/>
                <w:color w:val="auto"/>
              </w:rPr>
            </w:pPr>
          </w:p>
        </w:tc>
        <w:tc>
          <w:tcPr>
            <w:tcW w:w="9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(40,975)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(44,497)</w:t>
            </w:r>
          </w:p>
        </w:tc>
        <w:tc>
          <w:tcPr>
            <w:tcW w:w="15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(10,669)</w:t>
            </w: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(27,807)</w:t>
            </w:r>
          </w:p>
        </w:tc>
      </w:tr>
      <w:tr>
        <w:trPr>
          <w:trHeight w:val="192"/>
        </w:trPr>
        <w:tc>
          <w:tcPr>
            <w:tcW w:w="502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Cumulative Undeclared Dividends on Series C preferred</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8"/>
        </w:trPr>
        <w:tc>
          <w:tcPr>
            <w:tcW w:w="5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(2,841)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(3,011)</w:t>
            </w:r>
          </w:p>
        </w:tc>
        <w:tc>
          <w:tcPr>
            <w:tcW w:w="15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w:t>
            </w:r>
          </w:p>
        </w:tc>
      </w:tr>
      <w:tr>
        <w:trPr>
          <w:trHeight w:val="223"/>
        </w:trPr>
        <w:tc>
          <w:tcPr>
            <w:tcW w:w="5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(333,928</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(265,964</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(65,767)</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4"/>
              </w:rPr>
              <w:t>(93,056)</w:t>
            </w:r>
          </w:p>
        </w:tc>
        <w:tc>
          <w:tcPr>
            <w:tcW w:w="120" w:type="dxa"/>
            <w:vAlign w:val="bottom"/>
          </w:tcPr>
          <w:p>
            <w:pPr>
              <w:spacing w:after="0"/>
              <w:rPr>
                <w:sz w:val="19"/>
                <w:szCs w:val="19"/>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2"/>
        </w:trPr>
        <w:tc>
          <w:tcPr>
            <w:tcW w:w="502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Weighted-average common shared outstanding, basic and</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5"/>
        </w:trPr>
        <w:tc>
          <w:tcPr>
            <w:tcW w:w="5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96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63,032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63,306</w:t>
            </w:r>
          </w:p>
        </w:tc>
        <w:tc>
          <w:tcPr>
            <w:tcW w:w="15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63,229</w:t>
            </w: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63,430</w:t>
            </w:r>
          </w:p>
        </w:tc>
      </w:tr>
      <w:tr>
        <w:trPr>
          <w:trHeight w:val="190"/>
        </w:trPr>
        <w:tc>
          <w:tcPr>
            <w:tcW w:w="5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5.30</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4.20</w:t>
            </w:r>
          </w:p>
        </w:tc>
        <w:tc>
          <w:tcPr>
            <w:tcW w:w="15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(1.04)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diluted net loss per share for each period, as the impact of including them would have been anti-dilutive. As disclosed in Note 8, the Company issued a warrant for $100 million in shares of the Company’s Class A common stock. As per the terms of the warrant, potentially dilutive shares are based on the latest equity financing price.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Exclusion from calculation of diluted net loss per share</w:t>
      </w:r>
    </w:p>
    <w:p>
      <w:pPr>
        <w:spacing w:after="0" w:line="260"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4800" w:type="dxa"/>
            <w:vAlign w:val="bottom"/>
            <w:shd w:val="clear" w:color="auto" w:fill="CCEEFF"/>
          </w:tcPr>
          <w:p>
            <w:pPr>
              <w:spacing w:after="0"/>
              <w:rPr>
                <w:sz w:val="18"/>
                <w:szCs w:val="18"/>
                <w:color w:val="auto"/>
              </w:rPr>
            </w:pPr>
          </w:p>
        </w:tc>
        <w:tc>
          <w:tcPr>
            <w:tcW w:w="248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360" w:type="dxa"/>
            <w:vAlign w:val="bottom"/>
            <w:gridSpan w:val="4"/>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38"/>
        </w:trPr>
        <w:tc>
          <w:tcPr>
            <w:tcW w:w="4800" w:type="dxa"/>
            <w:vAlign w:val="bottom"/>
            <w:tcBorders>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275"/>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295"/>
              <w:spacing w:after="0" w:line="138"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1"/>
                <w:szCs w:val="11"/>
                <w:color w:val="auto"/>
              </w:rPr>
            </w:pPr>
          </w:p>
        </w:tc>
      </w:tr>
      <w:tr>
        <w:trPr>
          <w:trHeight w:val="203"/>
        </w:trPr>
        <w:tc>
          <w:tcPr>
            <w:tcW w:w="48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Stock options outstanding</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80" w:type="dxa"/>
            <w:vAlign w:val="bottom"/>
            <w:shd w:val="clear" w:color="auto" w:fill="CCEEFF"/>
          </w:tcPr>
          <w:p>
            <w:pPr>
              <w:spacing w:after="0"/>
              <w:rPr>
                <w:sz w:val="17"/>
                <w:szCs w:val="17"/>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62,692,927</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63,525,953</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62,740,708</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63,603,084</w:t>
            </w: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Astrazeneca warrant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1,744,991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80" w:type="dxa"/>
            <w:vAlign w:val="bottom"/>
            <w:shd w:val="clear" w:color="auto" w:fill="CCEEFF"/>
          </w:tcPr>
          <w:p>
            <w:pPr>
              <w:spacing w:after="0"/>
              <w:rPr>
                <w:sz w:val="18"/>
                <w:szCs w:val="18"/>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Mpirik holdback liability</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SEngine holdback liability</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41,436</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41,007</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Allen &amp; Company warrant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18"/>
                <w:szCs w:val="18"/>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64,647,918</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65,681,104</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64,704,423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65,749,082</w:t>
            </w:r>
          </w:p>
        </w:tc>
      </w:tr>
      <w:tr>
        <w:trPr>
          <w:trHeight w:val="20"/>
        </w:trPr>
        <w:tc>
          <w:tcPr>
            <w:tcW w:w="48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disclosed in Note 10, the Company’s RSUs include a triggering liquidation performance condition prior to vesting. As disclosed in Note 11, contingent upon certain financing events, the Company’s Convertible Promissory Note will be converted to shares at the holder’s option, based on the amount outstanding at the maturity date, which is subject to reduction based on services used by us prior to the maturity date. As such, these are treated as contingently issuable shares and will be excluded from potential dilutive impact until the triggering liquidation performance condition is satisfied.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340"/>
          </w:cols>
          <w:pgMar w:left="320" w:top="447" w:right="2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disclosed in Note 9, the Company’s Series G-3 Preferred and Series G-4 Preferred contain embedded conversion features which will result in additional shares of Class A Common Stock to be distributed upon completion of an IPO. The number of shares which will be paid out related to these features is dependent upon the IPO price. As such, these are treated as contingently issuable shares and will be excluded from potential dilutive impact until the successful completion of an IPO.</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disclosed in Note 3, as part of the SEngine acquisition, the transaction includes a contingent consideration of up to 35,000 additional shares of non-voting common stock, to be determined based on the per share price of the Company’s non-voting common stock in a liquidity event completed prior to December 31, 2027. The number of shares which will be paid out is dependent upon the IPO price. As such, these are treated as contingently issuable shares and will be excluded from potential dilutive impact until the successful completion of an IPO.</w:t>
      </w:r>
    </w:p>
    <w:p>
      <w:pPr>
        <w:spacing w:after="0" w:line="3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INCOME TAXES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income taxes consist of the following as of December 31, 2022 and 2023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92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2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18"/>
              <w:spacing w:after="0"/>
              <w:rPr>
                <w:sz w:val="20"/>
                <w:szCs w:val="20"/>
                <w:color w:val="auto"/>
              </w:rPr>
            </w:pPr>
            <w:r>
              <w:rPr>
                <w:rFonts w:ascii="Times New Roman" w:cs="Times New Roman" w:eastAsia="Times New Roman" w:hAnsi="Times New Roman"/>
                <w:sz w:val="18"/>
                <w:szCs w:val="18"/>
                <w:color w:val="auto"/>
              </w:rPr>
              <w:t>196,643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195,378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IRC §163(j) Interest Expense Limitation Carryover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10,784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37,590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Excess of Tax Basis over Book Basis Fixed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18"/>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Reserve Liability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18"/>
              <w:spacing w:after="0"/>
              <w:rPr>
                <w:sz w:val="20"/>
                <w:szCs w:val="20"/>
                <w:color w:val="auto"/>
              </w:rPr>
            </w:pPr>
            <w:r>
              <w:rPr>
                <w:rFonts w:ascii="Times New Roman" w:cs="Times New Roman" w:eastAsia="Times New Roman" w:hAnsi="Times New Roman"/>
                <w:sz w:val="18"/>
                <w:szCs w:val="18"/>
                <w:color w:val="auto"/>
              </w:rPr>
              <w:t>1,351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2,033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260,487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313,527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(244,064)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(297,294)</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Income Tax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Gain/Loss on Marketable Equity 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 of Use Asset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(6,129)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Contract Asset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58"/>
              <w:spacing w:after="0"/>
              <w:rPr>
                <w:sz w:val="20"/>
                <w:szCs w:val="20"/>
                <w:color w:val="auto"/>
              </w:rPr>
            </w:pPr>
            <w:r>
              <w:rPr>
                <w:rFonts w:ascii="Times New Roman" w:cs="Times New Roman" w:eastAsia="Times New Roman" w:hAnsi="Times New Roman"/>
                <w:sz w:val="18"/>
                <w:szCs w:val="18"/>
                <w:color w:val="auto"/>
              </w:rPr>
              <w:t>(8,169)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(7,513)</w:t>
            </w:r>
          </w:p>
        </w:tc>
        <w:tc>
          <w:tcPr>
            <w:tcW w:w="0" w:type="dxa"/>
            <w:vAlign w:val="bottom"/>
          </w:tcPr>
          <w:p>
            <w:pPr>
              <w:spacing w:after="0"/>
              <w:rPr>
                <w:sz w:val="1"/>
                <w:szCs w:val="1"/>
                <w:color w:val="auto"/>
              </w:rPr>
            </w:pPr>
          </w:p>
        </w:tc>
      </w:tr>
      <w:tr>
        <w:trPr>
          <w:trHeight w:val="223"/>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(2,125)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23"/>
        </w:trPr>
        <w:tc>
          <w:tcPr>
            <w:tcW w:w="9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Income Tax Asset (Liability)</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92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total income tax expense (benefit) consists of the following as of December 31, 2022 and 2023 (in thousands):</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9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6"/>
              <w:spacing w:after="0" w:line="138"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2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7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Current Tax Expense (Benefit)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(66,827)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4"/>
              </w:rPr>
              <w:t>(52,755)</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52,878</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80" w:type="dxa"/>
            <w:vAlign w:val="bottom"/>
            <w:tcBorders>
              <w:top w:val="single" w:sz="8" w:color="auto"/>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F-43</w:t>
            </w: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9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as of December 31, 2022 and 2023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9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8"/>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2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Current tax expense (benefit)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(59,141)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(45,738)</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(7,017)</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(66,827)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(52,755)</w:t>
            </w:r>
          </w:p>
        </w:tc>
        <w:tc>
          <w:tcPr>
            <w:tcW w:w="0" w:type="dxa"/>
            <w:vAlign w:val="bottom"/>
          </w:tcPr>
          <w:p>
            <w:pPr>
              <w:spacing w:after="0"/>
              <w:rPr>
                <w:sz w:val="1"/>
                <w:szCs w:val="1"/>
                <w:color w:val="auto"/>
              </w:rPr>
            </w:pPr>
          </w:p>
        </w:tc>
      </w:tr>
      <w:tr>
        <w:trPr>
          <w:trHeight w:val="21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52,878</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92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components of income before income taxes as follows (in thousands):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6"/>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9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vMerge w:val="continue"/>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4"/>
          </w:tcPr>
          <w:p>
            <w:pPr>
              <w:jc w:val="right"/>
              <w:ind w:right="194"/>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2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Domestic</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 (289,556)</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 (213,522)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reconciliation of the difference between the federal statutory rate and the effective income tax rate as a percentage of income before taxes for the years ended December 31, 2022 and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1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gridSpan w:val="2"/>
          </w:tcPr>
          <w:p>
            <w:pPr>
              <w:jc w:val="right"/>
              <w:ind w:right="32"/>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ind w:right="35"/>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Federal Statutory Tax Rate</w:t>
            </w:r>
          </w:p>
        </w:tc>
        <w:tc>
          <w:tcPr>
            <w:tcW w:w="1060" w:type="dxa"/>
            <w:vAlign w:val="bottom"/>
            <w:gridSpan w:val="3"/>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State Statutory Tax Rate</w:t>
            </w: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(0.29%)</w:t>
            </w: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(23.11%)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4"/>
              </w:rPr>
              <w:t>(24.74%)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Net change in valuation allowance as follows (in thousands):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18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Allowance, beginning of year</w:t>
            </w:r>
          </w:p>
        </w:tc>
        <w:tc>
          <w:tcPr>
            <w:tcW w:w="3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161,749</w:t>
            </w:r>
          </w:p>
        </w:tc>
        <w:tc>
          <w:tcPr>
            <w:tcW w:w="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244,064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66,827</w:t>
            </w: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3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15,488</w:t>
            </w: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1"/>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 end of year</w:t>
            </w:r>
          </w:p>
        </w:tc>
        <w:tc>
          <w:tcPr>
            <w:tcW w:w="3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244,064</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297,294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income tax benefit as recorded in the financial statements differs from the benefit computed by applying statutory tax rates to net loss before income taxes due to permanent differences related to the deductibility of certain expenses and the valuation allowance. There is no current income tax benefit for the years ended December 31, 2022 or 2023.</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340"/>
          </w:cols>
          <w:pgMar w:left="320" w:top="447" w:right="2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had federal net operating loss (“NOL”) carry forwards of $161.7 million (tax effected) and state NOL carry forwards of approximately $33.7 million (tax effected), which may be available to offset future taxable income. The federal NOLs will begin to expire in 2037 and the state NOLs will begin to expire in 2028. A full valuation allowance has been recorded against the NOL carry forwards.</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jurisdictions. Due to its operating loss carryforwards, the U.S. federal statute of limitations remains open for tax year 2016 and onward and the Company continues to be subject to examination by the Internal Revenue Service for tax years 2016 and later. The resolutions of any examinations are not expected to be material to these financial statements. As of December 31, 2022 and 2023, there are no penalties or accrued interest recorded in the consolidated financial statements. The calculation of the Company’s tax obligations involves dealing with uncertainties in the application of complex tax laws and regulations. ASC 740, Income Taxes,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2022 and 2023.</w:t>
      </w:r>
    </w:p>
    <w:p>
      <w:pPr>
        <w:spacing w:after="0" w:line="19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recognizes interest and, if applicable, penalties for any uncertain tax positions. Interest and penalties are recorded as a component of income tax expense. In the years ended December 31, 2022 and 2023, the Company did not have any accrued interest or penalties associated with any unrecognized tax benefits.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does not provide for U.S. income taxes on unremitted earnings of foreign subsidiaries. Unremitted earnings of foreign subsidiaries were immaterial on December 31, 2022 and 2023.</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2023 and 2024</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Accounting for income taxes for interim periods generally requires the provision for income taxes to be determined by applying an estimate of the annual effective tax rate for the full fiscal year to income or loss before income taxes, adjusted for discrete items, if any, for the reporting period. The Company updates its estimate of the annual effective tax rate each quarter and makes a cumulative adjustment in such period.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Income tax expense (benefit) for the three months ended March 31, 2023 and 2024 is less than $0.1 million.</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Due to the Company’s history of losses in the United States, a full valuation allowance on all of the Company’s deferred tax assets, including net operating loss carryforwards and other book versus tax differences, was maintained.</w:t>
      </w:r>
    </w:p>
    <w:p>
      <w:pPr>
        <w:spacing w:after="0" w:line="312" w:lineRule="exact"/>
        <w:rPr>
          <w:sz w:val="20"/>
          <w:szCs w:val="20"/>
          <w:color w:val="auto"/>
        </w:rPr>
      </w:pPr>
    </w:p>
    <w:p>
      <w:pPr>
        <w:ind w:left="460" w:hanging="455"/>
        <w:spacing w:after="0"/>
        <w:tabs>
          <w:tab w:leader="none" w:pos="4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accounts receivable, finance lease obligations, minimum royalties, accounts payable, and accrued expenses approximate fair value due to the short maturity of these instruments. The carrying amounts of the related party receivable, finance lease obligations, and minimum royalties approximate fair value because the interest rates used fluctuate with market interest rates or the fixed rates are based on current rates offered to the Company for debt with similar terms and maturities.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340"/>
          </w:cols>
          <w:pgMar w:left="320" w:top="448" w:right="2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valuation methodologies used for the Company’s assets and liabilities measured at fair value and their classification in the valuation hierarchy are summarized below:</w:t>
      </w:r>
    </w:p>
    <w:p>
      <w:pPr>
        <w:spacing w:after="0" w:line="63"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i w:val="1"/>
          <w:iCs w:val="1"/>
          <w:color w:val="auto"/>
        </w:rPr>
        <w:t>Marketable equity securities</w:t>
      </w:r>
      <w:r>
        <w:rPr>
          <w:rFonts w:ascii="Times New Roman" w:cs="Times New Roman" w:eastAsia="Times New Roman" w:hAnsi="Times New Roman"/>
          <w:sz w:val="18"/>
          <w:szCs w:val="18"/>
          <w:color w:val="auto"/>
        </w:rPr>
        <w:t>— The Company holds marketable equity securities, that are all publicly traded securities with quoted prices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short-term. The securities are measured at fair value each reporting period. We classify the marketable equity securities as Level 1 as they are valued using quoted market prices at each reporting period.</w:t>
      </w:r>
    </w:p>
    <w:p>
      <w:pPr>
        <w:spacing w:after="0" w:line="73"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 The Company is subject to a contingent consideration arrangement to make a cash payment in an aggregate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million, contingent upon Mpirik reaching a revenue target of $1.5 million for the twelve-month period ending December 31, 2023. See Note 3, Business Combinations, for further discussion of that acquisition.</w:t>
      </w:r>
    </w:p>
    <w:p>
      <w:pPr>
        <w:spacing w:after="0" w:line="180" w:lineRule="exact"/>
        <w:rPr>
          <w:sz w:val="20"/>
          <w:szCs w:val="20"/>
          <w:color w:val="auto"/>
        </w:rPr>
      </w:pPr>
    </w:p>
    <w:p>
      <w:pPr>
        <w:jc w:val="both"/>
        <w:ind w:left="460"/>
        <w:spacing w:after="0" w:line="302" w:lineRule="auto"/>
        <w:rPr>
          <w:sz w:val="20"/>
          <w:szCs w:val="20"/>
          <w:color w:val="auto"/>
        </w:rPr>
      </w:pPr>
      <w:r>
        <w:rPr>
          <w:rFonts w:ascii="Times New Roman" w:cs="Times New Roman" w:eastAsia="Times New Roman" w:hAnsi="Times New Roman"/>
          <w:sz w:val="16"/>
          <w:szCs w:val="16"/>
          <w:color w:val="auto"/>
        </w:rPr>
        <w:t>The Company is also subject to a contingent consideration arrangement of up to 35,000 additional shares of non-voting common stock, to be determined based on the per share price of the Company’s non-voting common stock in a liquidity event completed prior to December 31, 2027. The contingent consideration has an acquisition fair value date of $0.8 million. See Note 3, Business Combinations for further discussion of that acquisition.</w:t>
      </w:r>
    </w:p>
    <w:p>
      <w:pPr>
        <w:spacing w:after="0" w:line="41" w:lineRule="exact"/>
        <w:rPr>
          <w:sz w:val="20"/>
          <w:szCs w:val="20"/>
          <w:color w:val="auto"/>
        </w:rPr>
      </w:pPr>
    </w:p>
    <w:p>
      <w:pPr>
        <w:jc w:val="both"/>
        <w:ind w:left="460"/>
        <w:spacing w:after="0" w:line="249" w:lineRule="auto"/>
        <w:rPr>
          <w:sz w:val="20"/>
          <w:szCs w:val="20"/>
          <w:color w:val="auto"/>
        </w:rPr>
      </w:pPr>
      <w:r>
        <w:rPr>
          <w:rFonts w:ascii="Times New Roman" w:cs="Times New Roman" w:eastAsia="Times New Roman" w:hAnsi="Times New Roman"/>
          <w:sz w:val="18"/>
          <w:szCs w:val="18"/>
          <w:color w:val="auto"/>
        </w:rPr>
        <w:t>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used a risk-neutral simulation model and option pricing framework to value the contingent consideration. We classify the contingent consideration liabilities as Level 3 due to the lack of relevant observable market data over fair value inputs such as probability-weighting of payment outcomes.</w:t>
      </w:r>
    </w:p>
    <w:p>
      <w:pPr>
        <w:spacing w:after="0" w:line="80"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i w:val="1"/>
          <w:iCs w:val="1"/>
          <w:color w:val="auto"/>
        </w:rPr>
        <w:t>Warrant asset</w:t>
      </w:r>
      <w:r>
        <w:rPr>
          <w:rFonts w:ascii="Times New Roman" w:cs="Times New Roman" w:eastAsia="Times New Roman" w:hAnsi="Times New Roman"/>
          <w:sz w:val="18"/>
          <w:szCs w:val="18"/>
          <w:color w:val="auto"/>
        </w:rPr>
        <w:t>—As discussed in Note 2, the Company received warrants from Personalis. The warrant assets are measured at fair value each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using a Black-Scholes option pricing model, which takes into consideration the price and volatility of Personalis Class A common stock. We classify the warrant asset as Level 2 as they are valued using observable market prices of Personalis Class A common stock.</w:t>
      </w:r>
    </w:p>
    <w:p>
      <w:pPr>
        <w:spacing w:after="0" w:line="73" w:lineRule="exact"/>
        <w:rPr>
          <w:sz w:val="20"/>
          <w:szCs w:val="20"/>
          <w:color w:val="auto"/>
        </w:rPr>
      </w:pPr>
    </w:p>
    <w:p>
      <w:pPr>
        <w:jc w:val="both"/>
        <w:ind w:left="460"/>
        <w:spacing w:after="0" w:line="252" w:lineRule="auto"/>
        <w:rPr>
          <w:sz w:val="20"/>
          <w:szCs w:val="20"/>
          <w:color w:val="auto"/>
        </w:rPr>
      </w:pPr>
      <w:r>
        <w:rPr>
          <w:rFonts w:ascii="Times New Roman" w:cs="Times New Roman" w:eastAsia="Times New Roman" w:hAnsi="Times New Roman"/>
          <w:sz w:val="18"/>
          <w:szCs w:val="18"/>
          <w:i w:val="1"/>
          <w:iCs w:val="1"/>
          <w:color w:val="auto"/>
        </w:rPr>
        <w:t>Warrant liability</w:t>
      </w:r>
      <w:r>
        <w:rPr>
          <w:rFonts w:ascii="Times New Roman" w:cs="Times New Roman" w:eastAsia="Times New Roman" w:hAnsi="Times New Roman"/>
          <w:sz w:val="18"/>
          <w:szCs w:val="18"/>
          <w:color w:val="auto"/>
        </w:rPr>
        <w:t>—As discussed in Note 8, the Company issued a $100 million warrant to AstraZeneca. The warrant liability is measured at fair value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 using a Black-Scholes option pricing model which takes into consideration the likelihood of the Company completing an IPO, which would allow AstraZeneca to exercise the warrant. The following table summarizes the assumptions used in the model as of December 31, 2023 and March 31,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liability assumptions</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418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4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180" w:type="dxa"/>
            <w:vAlign w:val="bottom"/>
          </w:tcPr>
          <w:p>
            <w:pPr>
              <w:spacing w:after="0"/>
              <w:rPr>
                <w:sz w:val="9"/>
                <w:szCs w:val="9"/>
                <w:color w:val="auto"/>
              </w:rPr>
            </w:pPr>
          </w:p>
        </w:tc>
        <w:tc>
          <w:tcPr>
            <w:tcW w:w="1520" w:type="dxa"/>
            <w:vAlign w:val="bottom"/>
            <w:gridSpan w:val="2"/>
          </w:tcPr>
          <w:p>
            <w:pPr>
              <w:jc w:val="right"/>
              <w:ind w:right="720"/>
              <w:spacing w:after="0" w:line="113" w:lineRule="exact"/>
              <w:rPr>
                <w:sz w:val="20"/>
                <w:szCs w:val="20"/>
                <w:color w:val="auto"/>
              </w:rPr>
            </w:pPr>
            <w:r>
              <w:rPr>
                <w:rFonts w:ascii="Times New Roman" w:cs="Times New Roman" w:eastAsia="Times New Roman" w:hAnsi="Times New Roman"/>
                <w:sz w:val="13"/>
                <w:szCs w:val="13"/>
                <w:b w:val="1"/>
                <w:bCs w:val="1"/>
                <w:color w:val="auto"/>
              </w:rPr>
              <w:t>Initial Public</w:t>
            </w:r>
          </w:p>
        </w:tc>
        <w:tc>
          <w:tcPr>
            <w:tcW w:w="148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7"/>
              </w:rPr>
              <w:t>Stay Private</w:t>
            </w:r>
          </w:p>
        </w:tc>
        <w:tc>
          <w:tcPr>
            <w:tcW w:w="1520" w:type="dxa"/>
            <w:vAlign w:val="bottom"/>
            <w:gridSpan w:val="2"/>
          </w:tcPr>
          <w:p>
            <w:pPr>
              <w:jc w:val="right"/>
              <w:ind w:right="740"/>
              <w:spacing w:after="0" w:line="113" w:lineRule="exact"/>
              <w:rPr>
                <w:sz w:val="20"/>
                <w:szCs w:val="20"/>
                <w:color w:val="auto"/>
              </w:rPr>
            </w:pPr>
            <w:r>
              <w:rPr>
                <w:rFonts w:ascii="Times New Roman" w:cs="Times New Roman" w:eastAsia="Times New Roman" w:hAnsi="Times New Roman"/>
                <w:sz w:val="13"/>
                <w:szCs w:val="13"/>
                <w:b w:val="1"/>
                <w:bCs w:val="1"/>
                <w:color w:val="auto"/>
              </w:rPr>
              <w:t>Initial Public</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Stay Private</w:t>
            </w: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80" w:type="dxa"/>
            <w:vAlign w:val="bottom"/>
            <w:gridSpan w:val="2"/>
            <w:vMerge w:val="continue"/>
          </w:tcPr>
          <w:p>
            <w:pPr>
              <w:spacing w:after="0"/>
              <w:rPr>
                <w:sz w:val="14"/>
                <w:szCs w:val="14"/>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Expected term (in years)</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w:t>
            </w:r>
          </w:p>
        </w:tc>
        <w:tc>
          <w:tcPr>
            <w:tcW w:w="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7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w:t>
            </w: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3.69%</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3.56%</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4.26%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55.00%</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55.00%</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Scenario weighting</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70.00%</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30.00%</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classify the warrant liability as Level 3 due to the lack of relevant observable market data over fair value inputs such as the probability-weighting and expected term of the IPO and stay private scenarios.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340"/>
          </w:cols>
          <w:pgMar w:left="320" w:top="447" w:right="2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Term Loan Facility and the Note were not recorded at fair value. The fair values of the Term Loan Facility and the Note approximated their carrying values as of December 31, 2022 and 2023 and March 31, 2024. Estimates of the fair values of the Term Loan Facility and the Note are classified as Level 3 due to the lack of relevant observable market data over fair value inputs.</w:t>
      </w:r>
    </w:p>
    <w:p>
      <w:pPr>
        <w:spacing w:after="0" w:line="18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summarizes assets and liabilities that are measured at fair value on a recurring basis as of December 31, 2022 and 2023 and March 31, 2024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14"/>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w w:val="99"/>
              </w:rPr>
              <w:t>Fair Value Measurement at Reporting Date Using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0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gridSpan w:val="6"/>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Quoted Price in</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5"/>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7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420" w:type="dxa"/>
            <w:vAlign w:val="bottom"/>
            <w:gridSpan w:val="6"/>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6"/>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60" w:type="dxa"/>
            <w:vAlign w:val="bottom"/>
          </w:tcPr>
          <w:p>
            <w:pPr>
              <w:spacing w:after="0"/>
              <w:rPr>
                <w:sz w:val="12"/>
                <w:szCs w:val="12"/>
                <w:color w:val="auto"/>
              </w:rPr>
            </w:pPr>
          </w:p>
        </w:tc>
        <w:tc>
          <w:tcPr>
            <w:tcW w:w="96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gridSpan w:val="8"/>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jc w:val="center"/>
              <w:ind w:right="5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Identical</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7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5"/>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402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1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18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42,500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42,500</w:t>
            </w:r>
          </w:p>
        </w:tc>
        <w:tc>
          <w:tcPr>
            <w:tcW w:w="0" w:type="dxa"/>
            <w:vAlign w:val="bottom"/>
          </w:tcPr>
          <w:p>
            <w:pPr>
              <w:spacing w:after="0"/>
              <w:rPr>
                <w:sz w:val="1"/>
                <w:szCs w:val="1"/>
                <w:color w:val="auto"/>
              </w:rPr>
            </w:pPr>
          </w:p>
        </w:tc>
      </w:tr>
      <w:tr>
        <w:trPr>
          <w:trHeight w:val="363"/>
        </w:trPr>
        <w:tc>
          <w:tcPr>
            <w:tcW w:w="4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1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 Measurement at Reporting Date Using</w:t>
            </w:r>
          </w:p>
        </w:tc>
        <w:tc>
          <w:tcPr>
            <w:tcW w:w="0" w:type="dxa"/>
            <w:vAlign w:val="bottom"/>
          </w:tcPr>
          <w:p>
            <w:pPr>
              <w:spacing w:after="0"/>
              <w:rPr>
                <w:sz w:val="1"/>
                <w:szCs w:val="1"/>
                <w:color w:val="auto"/>
              </w:rPr>
            </w:pPr>
          </w:p>
        </w:tc>
      </w:tr>
      <w:tr>
        <w:trPr>
          <w:trHeight w:val="113"/>
        </w:trPr>
        <w:tc>
          <w:tcPr>
            <w:tcW w:w="40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top w:val="single" w:sz="8" w:color="auto"/>
            </w:tcBorders>
            <w:gridSpan w:val="5"/>
          </w:tcPr>
          <w:p>
            <w:pPr>
              <w:jc w:val="right"/>
              <w:ind w:right="460"/>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2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4"/>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82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4"/>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40" w:type="dxa"/>
            <w:vAlign w:val="bottom"/>
          </w:tcPr>
          <w:p>
            <w:pPr>
              <w:spacing w:after="0"/>
              <w:rPr>
                <w:sz w:val="12"/>
                <w:szCs w:val="12"/>
                <w:color w:val="auto"/>
              </w:rPr>
            </w:pPr>
          </w:p>
        </w:tc>
        <w:tc>
          <w:tcPr>
            <w:tcW w:w="1440" w:type="dxa"/>
            <w:vAlign w:val="bottom"/>
            <w:gridSpan w:val="7"/>
          </w:tcPr>
          <w:p>
            <w:pPr>
              <w:jc w:val="center"/>
              <w:ind w:right="6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60" w:type="dxa"/>
            <w:vAlign w:val="bottom"/>
          </w:tcPr>
          <w:p>
            <w:pPr>
              <w:spacing w:after="0"/>
              <w:rPr>
                <w:sz w:val="12"/>
                <w:szCs w:val="12"/>
                <w:color w:val="auto"/>
              </w:rPr>
            </w:pPr>
          </w:p>
        </w:tc>
        <w:tc>
          <w:tcPr>
            <w:tcW w:w="96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7"/>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8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0"/>
        </w:trPr>
        <w:tc>
          <w:tcPr>
            <w:tcW w:w="402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Assets</w:t>
            </w:r>
          </w:p>
        </w:tc>
        <w:tc>
          <w:tcPr>
            <w:tcW w:w="1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96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31,807</w:t>
            </w:r>
          </w:p>
        </w:tc>
        <w:tc>
          <w:tcPr>
            <w:tcW w:w="140" w:type="dxa"/>
            <w:vAlign w:val="bottom"/>
          </w:tcPr>
          <w:p>
            <w:pPr>
              <w:spacing w:after="0"/>
              <w:rPr>
                <w:sz w:val="18"/>
                <w:szCs w:val="18"/>
                <w:color w:val="auto"/>
              </w:rPr>
            </w:pPr>
          </w:p>
        </w:tc>
        <w:tc>
          <w:tcPr>
            <w:tcW w:w="42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31,807</w:t>
            </w:r>
          </w:p>
        </w:tc>
        <w:tc>
          <w:tcPr>
            <w:tcW w:w="24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asset</w:t>
            </w:r>
          </w:p>
        </w:tc>
        <w:tc>
          <w:tcPr>
            <w:tcW w:w="196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10,000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196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34,500</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34,500</w:t>
            </w:r>
          </w:p>
        </w:tc>
        <w:tc>
          <w:tcPr>
            <w:tcW w:w="0" w:type="dxa"/>
            <w:vAlign w:val="bottom"/>
          </w:tcPr>
          <w:p>
            <w:pPr>
              <w:spacing w:after="0"/>
              <w:rPr>
                <w:sz w:val="1"/>
                <w:szCs w:val="1"/>
                <w:color w:val="auto"/>
              </w:rPr>
            </w:pPr>
          </w:p>
        </w:tc>
      </w:tr>
      <w:tr>
        <w:trPr>
          <w:trHeight w:val="228"/>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96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88"/>
              </w:rPr>
              <w:t>775</w:t>
            </w:r>
          </w:p>
        </w:tc>
        <w:tc>
          <w:tcPr>
            <w:tcW w:w="140" w:type="dxa"/>
            <w:vAlign w:val="bottom"/>
          </w:tcPr>
          <w:p>
            <w:pPr>
              <w:spacing w:after="0"/>
              <w:rPr>
                <w:sz w:val="19"/>
                <w:szCs w:val="19"/>
                <w:color w:val="auto"/>
              </w:rPr>
            </w:pPr>
          </w:p>
        </w:tc>
        <w:tc>
          <w:tcPr>
            <w:tcW w:w="42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363"/>
        </w:trPr>
        <w:tc>
          <w:tcPr>
            <w:tcW w:w="4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15"/>
          </w:tcPr>
          <w:p>
            <w:pPr>
              <w:ind w:left="3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3"/>
        </w:trPr>
        <w:tc>
          <w:tcPr>
            <w:tcW w:w="40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top w:val="single" w:sz="8" w:color="auto"/>
            </w:tcBorders>
            <w:gridSpan w:val="4"/>
          </w:tcPr>
          <w:p>
            <w:pPr>
              <w:jc w:val="center"/>
              <w:ind w:right="240"/>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2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gridSpan w:val="5"/>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Market for</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66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5"/>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60" w:type="dxa"/>
            <w:vAlign w:val="bottom"/>
          </w:tcPr>
          <w:p>
            <w:pPr>
              <w:spacing w:after="0"/>
              <w:rPr>
                <w:sz w:val="12"/>
                <w:szCs w:val="12"/>
                <w:color w:val="auto"/>
              </w:rPr>
            </w:pPr>
          </w:p>
        </w:tc>
        <w:tc>
          <w:tcPr>
            <w:tcW w:w="96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6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0"/>
        </w:trPr>
        <w:tc>
          <w:tcPr>
            <w:tcW w:w="402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Assets</w:t>
            </w:r>
          </w:p>
        </w:tc>
        <w:tc>
          <w:tcPr>
            <w:tcW w:w="1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14,956</w:t>
            </w:r>
          </w:p>
        </w:tc>
        <w:tc>
          <w:tcPr>
            <w:tcW w:w="5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14,956</w:t>
            </w:r>
          </w:p>
        </w:tc>
        <w:tc>
          <w:tcPr>
            <w:tcW w:w="42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asset</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5,300</w:t>
            </w:r>
          </w:p>
        </w:tc>
        <w:tc>
          <w:tcPr>
            <w:tcW w:w="52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5,300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35,300</w:t>
            </w:r>
          </w:p>
        </w:tc>
        <w:tc>
          <w:tcPr>
            <w:tcW w:w="52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35,300</w:t>
            </w:r>
          </w:p>
        </w:tc>
        <w:tc>
          <w:tcPr>
            <w:tcW w:w="0" w:type="dxa"/>
            <w:vAlign w:val="bottom"/>
          </w:tcPr>
          <w:p>
            <w:pPr>
              <w:spacing w:after="0"/>
              <w:rPr>
                <w:sz w:val="1"/>
                <w:szCs w:val="1"/>
                <w:color w:val="auto"/>
              </w:rPr>
            </w:pPr>
          </w:p>
        </w:tc>
      </w:tr>
      <w:tr>
        <w:trPr>
          <w:trHeight w:val="228"/>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969</w:t>
            </w:r>
          </w:p>
        </w:tc>
        <w:tc>
          <w:tcPr>
            <w:tcW w:w="5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the assets and liabilities measured at fair value using significant unobservable inputs (Level 3)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w w:val="95"/>
              </w:rPr>
              <w:t>Contingent</w:t>
            </w: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2021</w:t>
            </w:r>
          </w:p>
        </w:tc>
        <w:tc>
          <w:tcPr>
            <w:tcW w:w="3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8,005</w:t>
            </w:r>
          </w:p>
        </w:tc>
        <w:tc>
          <w:tcPr>
            <w:tcW w:w="8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37,800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(3,701)</w:t>
            </w:r>
          </w:p>
        </w:tc>
        <w:tc>
          <w:tcPr>
            <w:tcW w:w="34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paid in non-voting common shares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(4,304)</w:t>
            </w:r>
          </w:p>
        </w:tc>
        <w:tc>
          <w:tcPr>
            <w:tcW w:w="34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9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F-47</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280" w:type="dxa"/>
            <w:vAlign w:val="bottom"/>
          </w:tcPr>
          <w:p>
            <w:pPr>
              <w:spacing w:after="0"/>
              <w:rPr>
                <w:sz w:val="13"/>
                <w:szCs w:val="13"/>
                <w:color w:val="auto"/>
              </w:rPr>
            </w:pPr>
          </w:p>
        </w:tc>
        <w:tc>
          <w:tcPr>
            <w:tcW w:w="9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8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2022</w:t>
            </w: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$42,500</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consideration from acquisitions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4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(8,000)</w:t>
            </w:r>
          </w:p>
        </w:tc>
        <w:tc>
          <w:tcPr>
            <w:tcW w:w="2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34,500</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6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5"/>
              </w:rPr>
              <w:t>Contingent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600" w:type="dxa"/>
            <w:vAlign w:val="bottom"/>
            <w:gridSpan w:val="6"/>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2023</w:t>
            </w: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34,500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4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35,300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the Company recognized a gain of $3.7 million in selling, general and administrative expense due to the change in fair value of contingent consideration and $4.7 million in other expense, net due to the change in the fair value of warrant liability determined by Level 3 valuation techniques.</w:t>
      </w:r>
    </w:p>
    <w:p>
      <w:pPr>
        <w:spacing w:after="0" w:line="75"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For the year ended December 31, 2023, the Company recognized a gain of $0.4 million in selling, general and administrative expense due to the change in fair value of contingent consideration and gains of $8.0 million due to changes in fair value of the warrant liability determined by Level 3 valuation techniques.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the Company recognized a loss of $0.8 million in other income, net due to the change in fair value of the warrant liability and a loss of $0.2 million in selling, general and administrative expense due to the change in fair value of contingent consideration determined by Level 3 valuation techniques.</w:t>
      </w:r>
    </w:p>
    <w:p>
      <w:pPr>
        <w:spacing w:after="0" w:line="323" w:lineRule="exact"/>
        <w:rPr>
          <w:sz w:val="20"/>
          <w:szCs w:val="20"/>
          <w:color w:val="auto"/>
        </w:rPr>
      </w:pPr>
    </w:p>
    <w:p>
      <w:pPr>
        <w:ind w:left="460" w:hanging="455"/>
        <w:spacing w:after="0"/>
        <w:tabs>
          <w:tab w:leader="none" w:pos="4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2018, the Company received $1.5 million from a related party for assuming an office lease from such party. The Company is amortizing this amount over the course of its lease with the building. The Company had a remaining related liability of $0.9 million, $0.7 million, $0.7 million, as of December 31, 2022 and 2023 and March 31, 2024, respectively. Upon the adoption of ASC 842, the liability is amortized through the right-of-use asset as a reduction of rent expense over the lease term. The Company subleases a portion of office space to this related party on a month-to-month basis. Sublease income received from the related party was insignificant for the years ended December 31, 2022 and 2023 and the three months ended March 31, 2024.</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Company entered into a related party arrangement in August 2021, as amended and restated in February 2024, with Pathos for the purpose of furthering the commercialization efforts of drug development. Tempus received a warrant to purchase 23,456,790 shares, or approximately 19% of the current outstanding equity in Pathos, for $.0125 per share. The warrant will automatically exercise upon a change of control (as defined therein) or upon an IPO of Pathos’ securities. The Company also has an optional exercise election window during the last 10 days of the 20 year term of the warrant agreement. Pursuant to this master agreement, the Company granted Pathos a limited, non-exclusive, revocable, non-transferable right and license, without right of sublicense, to access and download certain de-identified records from the Company’s proprietary database. Pathos in turn agreed to certain license fees depending on the number of de-identified records it elects to license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340"/>
          </w:cols>
          <w:pgMar w:left="320" w:top="447" w:right="23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during the term of the master agreement. Pathos also agreed to pay the Company a subscription fee equal to $0.4 million per year for access to our Lens product. The Company recognized $0.4 million, $0.4 million, and $0.1 million in revenue for this access fee in the years ended December 31, 2022 and 2023, and the three months ended March 31, 2024, respectively. The master agreement provides for an initial term of five years, measured from February 2024, with a subsequent five-year renewal provision unless the agreement is terminated. Either party may terminate the agreement after the initial five-year term by prior written notice to the other party.</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2022, the Company entered into two additional related party arrangements with Pathos for both sequencing and other data services. The Company recognized less than $0.3 million in revenue for both arrangements for the years ended December 31, 2022 and 2023, and the three months ended March 31, 2023 and 2024. In 2023, the Company entered into an additional related party arrangement with Pathos for other data services. The Company recognized less than $0.1 million in revenue for the year ended December 31, 2023 and the three months ended March 31, 2023 and 2024.</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2022 and 2023 and March 31, 2024, there was no amount due to related parties. As of December 31, 2022 and 2023 and March 31, 2024, the amount due from related parties was $0.4 million, less than $0.1 million, and $0.5 million, respectively.</w:t>
      </w:r>
    </w:p>
    <w:p>
      <w:pPr>
        <w:spacing w:after="0" w:line="312" w:lineRule="exact"/>
        <w:rPr>
          <w:sz w:val="20"/>
          <w:szCs w:val="20"/>
          <w:color w:val="auto"/>
        </w:rPr>
      </w:pPr>
    </w:p>
    <w:p>
      <w:pPr>
        <w:ind w:left="460" w:hanging="455"/>
        <w:spacing w:after="0"/>
        <w:tabs>
          <w:tab w:leader="none" w:pos="4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For its consolidated financial statements as of December 31, 2023, the Company evaluated subsequent events through February 28, 2024, the date on which those financial statements were available to be issued. </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Company sold 1,725,902 shares of Recursion Class A common stock during the month of February 2024 at a weighted average price of $13.35 for $23.0 million of cash. The Company has 1,500,000 of Recursion Class A common stock remaining in marketable equity securities.</w:t>
      </w:r>
    </w:p>
    <w:p>
      <w:pPr>
        <w:spacing w:after="0" w:line="312" w:lineRule="exact"/>
        <w:rPr>
          <w:sz w:val="20"/>
          <w:szCs w:val="20"/>
          <w:color w:val="auto"/>
        </w:rPr>
      </w:pPr>
    </w:p>
    <w:p>
      <w:pPr>
        <w:ind w:left="460" w:hanging="455"/>
        <w:spacing w:after="0"/>
        <w:tabs>
          <w:tab w:leader="none" w:pos="4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SUBSEQUENT EVENTS</w:t>
      </w:r>
    </w:p>
    <w:p>
      <w:pPr>
        <w:spacing w:after="0" w:line="11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evaluated subsequent events through June 17, 2024, the date on which these financial statements were available to be issued.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G-5 Financing</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 April 30, 2024, the Company authorized 4,362,476 and issued 3,489,981 shares of Series G-5 convertible preferred stock (“Series G-5 Preferred”) for aggregate proceeds of $200.0 million (See Note 9, Redeemable Convertible Preferred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Japan Joint Venture</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May 18, 2024, the Company entered into a Joint Venture Agreement (the “Joint Venture Agreement”), by and among SoftBank Group Corporation (“SoftBank”), SoftBank Group Japan Corporation, the Company and Pegasos Corp. (the “Joint Venture”), pursuant to which the Joint Venture will engage in certain business activities in Japan similar to those conducted by the Company in the United States, including performing clinical sequencing, organizing patient data, and building a real world data business in Japan. The Company and SoftBank initially will capitalize the Joint Venture with ¥30,000,000,000 (approximately $190,779,000 based on foreign exchange rates as of May 31, 2024, split evenly between the two parties) and will each receive 50% of the Joint Venture’s outstanding capital stock and board seats. The initial capitalization of the Joint Venture is subject to a number of closing conditions, including that the parties must agree to a business plan and operating budget for the Joint Venture, receive an independent valuation of certain licensed technology of the Company and obtain any required regulatory clearances in the United States and Japan.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340"/>
          </w:cols>
          <w:pgMar w:left="320" w:top="447" w:right="2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connection with entering into the Joint Venture Agreement, the Company entered into the following agreements with the Joint Venture: a Data License Agreement (the “Data License Agreement”), which became effective immediately upon signing the Joint Venture Agreement; an Intellectual Property License Agreement (the “IP License Agreement”), and a Services Agreement, each of which will become effective upon closing. Under the Data License Agreement, Tempus will grant the Joint Venture a limited, non-exclusive, transferable license with a limited right to sublicense certain de-identified data for certain specified uses solely in Japan (which we refer to as the Unrestricted Data License). The Unrestricted Data License will be initially granted with respect to a certain specified number of de-identified data records (which we refer to as the Initial Records Batch) and the Joint Venture may elect to license additional de-identified data records under the Unrestricted Data License. Under the Data License Agreement, the Joint Venture will pay the Company ¥7,500,000,000 (approximately $47,694,750 based on foreign exchange rates as of May 31, 2024) in exchange for the license to the Initial Records Batch. For a certain specified number of additional de-identified data records beyond the Initial Records Batch, the license fees will be the same as the Initial Records Batch or the then-current lowest price that Tempus provides to its other customers for similar data and license terms, whichever is lower. For any additional de-identified data records licensed under the Unrestricted Data License, the license fees will be the then-current lowest price that Tempus provides to its other customers for similar data and license terms. Pursuant to the IP License Agreement, the Company will provide the Joint Venture with a non-exclusive license with respect to certain of the Company’s technologies for certain specified uses solely in Japan in exchange for ¥7,500,000,000 (approximately $47,694,750 based on foreign exchange rates as of May 31, 2024). Under the Services Agreement, the Company will provide the Joint Venture with certain services. The Company will account for the Joint Venture as a true 50/50 joint venture, which will be accounted for as an equity method investment. The accounting for the Data License Agreement and IP License Agreement is still being evaluated by the Company.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340"/>
          </w:cols>
          <w:pgMar w:left="320" w:top="447" w:right="2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i w:val="1"/>
          <w:iCs w:val="1"/>
          <w:color w:val="auto"/>
        </w:rPr>
        <w:t>11,100,000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923925</wp:posOffset>
            </wp:positionV>
            <wp:extent cx="2617470" cy="4083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617470" cy="408305"/>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ALLEN &amp; COMPANY LLC</w:t>
      </w:r>
    </w:p>
    <w:p>
      <w:pPr>
        <w:spacing w:after="0" w:line="111" w:lineRule="exact"/>
        <w:rPr>
          <w:sz w:val="20"/>
          <w:szCs w:val="20"/>
          <w:color w:val="auto"/>
        </w:rPr>
      </w:pPr>
    </w:p>
    <w:p>
      <w:pPr>
        <w:sectPr>
          <w:pgSz w:w="11900" w:h="16838" w:orient="portrait"/>
          <w:cols w:equalWidth="0" w:num="3">
            <w:col w:w="4460" w:space="720"/>
            <w:col w:w="2220" w:space="720"/>
            <w:col w:w="3220"/>
          </w:cols>
          <w:pgMar w:left="320" w:top="448" w:right="2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i w:val="1"/>
          <w:i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TD COWEN</w:t>
      </w:r>
    </w:p>
    <w:p>
      <w:pPr>
        <w:spacing w:after="0" w:line="100" w:lineRule="exact"/>
        <w:rPr>
          <w:sz w:val="20"/>
          <w:szCs w:val="20"/>
          <w:color w:val="auto"/>
        </w:rPr>
      </w:pPr>
    </w:p>
    <w:p>
      <w:pPr>
        <w:sectPr>
          <w:pgSz w:w="11900" w:h="16838" w:orient="portrait"/>
          <w:cols w:equalWidth="0" w:num="2">
            <w:col w:w="8000" w:space="720"/>
            <w:col w:w="2620"/>
          </w:cols>
          <w:pgMar w:left="320" w:top="448" w:right="2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20"/>
          <w:szCs w:val="20"/>
          <w:i w:val="1"/>
          <w:iCs w:val="1"/>
          <w:color w:val="auto"/>
        </w:rPr>
        <w:t>STIFEL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WILLIAM BLAIR</w:t>
      </w:r>
    </w:p>
    <w:p>
      <w:pPr>
        <w:spacing w:after="0" w:line="100" w:lineRule="exact"/>
        <w:rPr>
          <w:sz w:val="20"/>
          <w:szCs w:val="20"/>
          <w:color w:val="auto"/>
        </w:rPr>
      </w:pPr>
    </w:p>
    <w:p>
      <w:pPr>
        <w:sectPr>
          <w:pgSz w:w="11900" w:h="16838" w:orient="portrait"/>
          <w:cols w:equalWidth="0" w:num="2">
            <w:col w:w="7800" w:space="720"/>
            <w:col w:w="2820"/>
          </w:cols>
          <w:pgMar w:left="320" w:top="448" w:right="2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0"/>
          <w:szCs w:val="20"/>
          <w:i w:val="1"/>
          <w:iCs w:val="1"/>
          <w:color w:val="auto"/>
        </w:rPr>
        <w:t>LOOP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i w:val="1"/>
          <w:iCs w:val="1"/>
          <w:color w:val="auto"/>
        </w:rPr>
        <w:t>NEEDHAM &amp; COMPANY</w:t>
      </w:r>
    </w:p>
    <w:p>
      <w:pPr>
        <w:spacing w:after="0" w:line="200" w:lineRule="exact"/>
        <w:rPr>
          <w:sz w:val="20"/>
          <w:szCs w:val="20"/>
          <w:color w:val="auto"/>
        </w:rPr>
      </w:pPr>
    </w:p>
    <w:p>
      <w:pPr>
        <w:sectPr>
          <w:pgSz w:w="11900" w:h="16838" w:orient="portrait"/>
          <w:cols w:equalWidth="0" w:num="2">
            <w:col w:w="7420" w:space="720"/>
            <w:col w:w="3200"/>
          </w:cols>
          <w:pgMar w:left="320" w:top="44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Through and including July 8, 2024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13, 2024.</w:t>
      </w:r>
    </w:p>
    <w:sectPr>
      <w:pgSz w:w="11900" w:h="16838" w:orient="portrait"/>
      <w:cols w:equalWidth="0" w:num="1">
        <w:col w:w="11340"/>
      </w:cols>
      <w:pgMar w:left="320" w:top="44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1)"/>
      <w:numFmt w:val="decimal"/>
      <w:start w:val="1"/>
    </w:lvl>
  </w:abstractNum>
  <w:abstractNum w:abstractNumId="10">
    <w:nsid w:val="42963E5A"/>
    <w:multiLevelType w:val="hybridMultilevel"/>
    <w:lvl w:ilvl="0">
      <w:lvlJc w:val="left"/>
      <w:lvlText w:val="(%1)"/>
      <w:numFmt w:val="decimal"/>
      <w:start w:val="1"/>
    </w:lvl>
  </w:abstractNum>
  <w:abstractNum w:abstractNumId="11">
    <w:nsid w:val="A0382C5"/>
    <w:multiLevelType w:val="hybridMultilevel"/>
    <w:lvl w:ilvl="0">
      <w:lvlJc w:val="left"/>
      <w:lvlText w:val="(%1)"/>
      <w:numFmt w:val="decimal"/>
      <w:start w:val="1"/>
    </w:lvl>
  </w:abstractNum>
  <w:abstractNum w:abstractNumId="12">
    <w:nsid w:val="8F2B15E"/>
    <w:multiLevelType w:val="hybridMultilevel"/>
    <w:lvl w:ilvl="0">
      <w:lvlJc w:val="left"/>
      <w:lvlText w:val="(%1)"/>
      <w:numFmt w:val="decimal"/>
      <w:start w:val="2"/>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
      <w:numFmt w:val="bullet"/>
      <w:start w:val="1"/>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
      <w:numFmt w:val="bullet"/>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1)"/>
      <w:numFmt w:val="decimal"/>
      <w:start w:val="1"/>
    </w:lvl>
  </w:abstractNum>
  <w:abstractNum w:abstractNumId="43">
    <w:nsid w:val="60EF0119"/>
    <w:multiLevelType w:val="hybridMultilevel"/>
    <w:lvl w:ilvl="0">
      <w:lvlJc w:val="left"/>
      <w:lvlText w:val="•"/>
      <w:numFmt w:val="bullet"/>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
      <w:numFmt w:val="bullet"/>
      <w:start w:val="1"/>
    </w:lvl>
  </w:abstractNum>
  <w:abstractNum w:abstractNumId="50">
    <w:nsid w:val="488AC1A"/>
    <w:multiLevelType w:val="hybridMultilevel"/>
    <w:lvl w:ilvl="0">
      <w:lvlJc w:val="left"/>
      <w:lvlText w:val="•"/>
      <w:numFmt w:val="bullet"/>
      <w:start w:val="1"/>
    </w:lvl>
  </w:abstractNum>
  <w:abstractNum w:abstractNumId="51">
    <w:nsid w:val="5FB8011C"/>
    <w:multiLevelType w:val="hybridMultilevel"/>
    <w:lvl w:ilvl="0">
      <w:lvlJc w:val="left"/>
      <w:lvlText w:val="•"/>
      <w:numFmt w:val="bullet"/>
      <w:start w:val="1"/>
    </w:lvl>
    <w:lvl w:ilvl="1">
      <w:lvlJc w:val="left"/>
      <w:lvlText w:val="(%2)"/>
      <w:numFmt w:val="decimal"/>
      <w:start w:val="6"/>
    </w:lvl>
  </w:abstractNum>
  <w:abstractNum w:abstractNumId="52">
    <w:nsid w:val="6AA78F7F"/>
    <w:multiLevelType w:val="hybridMultilevel"/>
    <w:lvl w:ilvl="0">
      <w:lvlJc w:val="left"/>
      <w:lvlText w:val="•"/>
      <w:numFmt w:val="bullet"/>
      <w:start w:val="1"/>
    </w:lvl>
    <w:lvl w:ilvl="1">
      <w:lvlJc w:val="left"/>
      <w:lvlText w:val="(%2)"/>
      <w:numFmt w:val="decimal"/>
      <w:start w:val="9"/>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
      <w:numFmt w:val="bullet"/>
      <w:start w:val="1"/>
    </w:lvl>
  </w:abstractNum>
  <w:abstractNum w:abstractNumId="55">
    <w:nsid w:val="6A5F7029"/>
    <w:multiLevelType w:val="hybridMultilevel"/>
    <w:lvl w:ilvl="0">
      <w:lvlJc w:val="left"/>
      <w:lvlText w:val="(%1)"/>
      <w:numFmt w:val="decimal"/>
      <w:start w:val="1"/>
    </w:lvl>
  </w:abstractNum>
  <w:abstractNum w:abstractNumId="56">
    <w:nsid w:val="7D5E18F8"/>
    <w:multiLevelType w:val="hybridMultilevel"/>
    <w:lvl w:ilvl="0">
      <w:lvlJc w:val="left"/>
      <w:lvlText w:val="•"/>
      <w:numFmt w:val="bullet"/>
      <w:start w:val="1"/>
    </w:lvl>
  </w:abstractNum>
  <w:abstractNum w:abstractNumId="57">
    <w:nsid w:val="5F3534A4"/>
    <w:multiLevelType w:val="hybridMultilevel"/>
    <w:lvl w:ilvl="0">
      <w:lvlJc w:val="left"/>
      <w:lvlText w:val="•"/>
      <w:numFmt w:val="bullet"/>
      <w:start w:val="1"/>
    </w:lvl>
  </w:abstractNum>
  <w:abstractNum w:abstractNumId="58">
    <w:nsid w:val="73A1821B"/>
    <w:multiLevelType w:val="hybridMultilevel"/>
    <w:lvl w:ilvl="0">
      <w:lvlJc w:val="left"/>
      <w:lvlText w:val="•"/>
      <w:numFmt w:val="bullet"/>
      <w:start w:val="1"/>
    </w:lvl>
  </w:abstractNum>
  <w:abstractNum w:abstractNumId="59">
    <w:nsid w:val="7DE67713"/>
    <w:multiLevelType w:val="hybridMultilevel"/>
    <w:lvl w:ilvl="0">
      <w:lvlJc w:val="left"/>
      <w:lvlText w:val="*"/>
      <w:numFmt w:val="bullet"/>
      <w:start w:val="1"/>
    </w:lvl>
  </w:abstractNum>
  <w:abstractNum w:abstractNumId="60">
    <w:nsid w:val="555C55B5"/>
    <w:multiLevelType w:val="hybridMultilevel"/>
    <w:lvl w:ilvl="0">
      <w:lvlJc w:val="left"/>
      <w:lvlText w:val="(%1)"/>
      <w:numFmt w:val="lowerRoman"/>
      <w:start w:val="1"/>
    </w:lvl>
  </w:abstractNum>
  <w:abstractNum w:abstractNumId="61">
    <w:nsid w:val="3FA62ACA"/>
    <w:multiLevelType w:val="hybridMultilevel"/>
    <w:lvl w:ilvl="0">
      <w:lvlJc w:val="left"/>
      <w:lvlText w:val="•"/>
      <w:numFmt w:val="bullet"/>
      <w:start w:val="1"/>
    </w:lvl>
  </w:abstractNum>
  <w:abstractNum w:abstractNumId="62">
    <w:nsid w:val="14FCE74E"/>
    <w:multiLevelType w:val="hybridMultilevel"/>
    <w:lvl w:ilvl="0">
      <w:lvlJc w:val="left"/>
      <w:lvlText w:val="(%1)"/>
      <w:numFmt w:val="decimal"/>
      <w:start w:val="1"/>
    </w:lvl>
  </w:abstractNum>
  <w:abstractNum w:abstractNumId="63">
    <w:nsid w:val="6A3DD3E8"/>
    <w:multiLevelType w:val="hybridMultilevel"/>
    <w:lvl w:ilvl="0">
      <w:lvlJc w:val="left"/>
      <w:lvlText w:val="•"/>
      <w:numFmt w:val="bullet"/>
      <w:start w:val="1"/>
    </w:lvl>
  </w:abstractNum>
  <w:abstractNum w:abstractNumId="64">
    <w:nsid w:val="71C91298"/>
    <w:multiLevelType w:val="hybridMultilevel"/>
    <w:lvl w:ilvl="0">
      <w:lvlJc w:val="left"/>
      <w:lvlText w:val="•"/>
      <w:numFmt w:val="bullet"/>
      <w:start w:val="1"/>
    </w:lvl>
  </w:abstractNum>
  <w:abstractNum w:abstractNumId="65">
    <w:nsid w:val="9DAF632"/>
    <w:multiLevelType w:val="hybridMultilevel"/>
    <w:lvl w:ilvl="0">
      <w:lvlJc w:val="left"/>
      <w:lvlText w:val="(%1)"/>
      <w:numFmt w:val="lowerRoman"/>
      <w:start w:val="2"/>
    </w:lvl>
  </w:abstractNum>
  <w:abstractNum w:abstractNumId="66">
    <w:nsid w:val="53299938"/>
    <w:multiLevelType w:val="hybridMultilevel"/>
    <w:lvl w:ilvl="0">
      <w:lvlJc w:val="left"/>
      <w:lvlText w:val="(%1)"/>
      <w:numFmt w:val="lowerRoman"/>
      <w:start w:val="5"/>
    </w:lvl>
  </w:abstractNum>
  <w:abstractNum w:abstractNumId="67">
    <w:nsid w:val="1FBFE8E0"/>
    <w:multiLevelType w:val="hybridMultilevel"/>
    <w:lvl w:ilvl="0">
      <w:lvlJc w:val="left"/>
      <w:lvlText w:val="(%1)"/>
      <w:numFmt w:val="lowerRoman"/>
      <w:start w:val="1"/>
    </w:lvl>
  </w:abstractNum>
  <w:abstractNum w:abstractNumId="68">
    <w:nsid w:val="5092CA79"/>
    <w:multiLevelType w:val="hybridMultilevel"/>
    <w:lvl w:ilvl="0">
      <w:lvlJc w:val="left"/>
      <w:lvlText w:val="•"/>
      <w:numFmt w:val="bullet"/>
      <w:start w:val="1"/>
    </w:lvl>
  </w:abstractNum>
  <w:abstractNum w:abstractNumId="69">
    <w:nsid w:val="1D545C4D"/>
    <w:multiLevelType w:val="hybridMultilevel"/>
    <w:lvl w:ilvl="0">
      <w:lvlJc w:val="left"/>
      <w:lvlText w:val="%1."/>
      <w:numFmt w:val="decimal"/>
      <w:start w:val="498"/>
    </w:lvl>
  </w:abstractNum>
  <w:abstractNum w:abstractNumId="70">
    <w:nsid w:val="59ADEA3D"/>
    <w:multiLevelType w:val="hybridMultilevel"/>
    <w:lvl w:ilvl="0">
      <w:lvlJc w:val="left"/>
      <w:lvlText w:val="•"/>
      <w:numFmt w:val="bullet"/>
      <w:start w:val="1"/>
    </w:lvl>
  </w:abstractNum>
  <w:abstractNum w:abstractNumId="71">
    <w:nsid w:val="288F1A34"/>
    <w:multiLevelType w:val="hybridMultilevel"/>
    <w:lvl w:ilvl="0">
      <w:lvlJc w:val="left"/>
      <w:lvlText w:val="•"/>
      <w:numFmt w:val="bullet"/>
      <w:start w:val="1"/>
    </w:lvl>
  </w:abstractNum>
  <w:abstractNum w:abstractNumId="72">
    <w:nsid w:val="2A155DBC"/>
    <w:multiLevelType w:val="hybridMultilevel"/>
    <w:lvl w:ilvl="0">
      <w:lvlJc w:val="left"/>
      <w:lvlText w:val="•"/>
      <w:numFmt w:val="bullet"/>
      <w:start w:val="1"/>
    </w:lvl>
  </w:abstractNum>
  <w:abstractNum w:abstractNumId="73">
    <w:nsid w:val="1D9F6E5F"/>
    <w:multiLevelType w:val="hybridMultilevel"/>
    <w:lvl w:ilvl="0">
      <w:lvlJc w:val="left"/>
      <w:lvlText w:val="•"/>
      <w:numFmt w:val="bullet"/>
      <w:start w:val="1"/>
    </w:lvl>
  </w:abstractNum>
  <w:abstractNum w:abstractNumId="74">
    <w:nsid w:val="97E1B4E"/>
    <w:multiLevelType w:val="hybridMultilevel"/>
    <w:lvl w:ilvl="0">
      <w:lvlJc w:val="left"/>
      <w:lvlText w:val="•"/>
      <w:numFmt w:val="bullet"/>
      <w:start w:val="1"/>
    </w:lvl>
  </w:abstractNum>
  <w:abstractNum w:abstractNumId="75">
    <w:nsid w:val="51088277"/>
    <w:multiLevelType w:val="hybridMultilevel"/>
    <w:lvl w:ilvl="0">
      <w:lvlJc w:val="left"/>
      <w:lvlText w:val="•"/>
      <w:numFmt w:val="bullet"/>
      <w:start w:val="1"/>
    </w:lvl>
  </w:abstractNum>
  <w:abstractNum w:abstractNumId="76">
    <w:nsid w:val="1CA0C5FA"/>
    <w:multiLevelType w:val="hybridMultilevel"/>
    <w:lvl w:ilvl="0">
      <w:lvlJc w:val="left"/>
      <w:lvlText w:val="•"/>
      <w:numFmt w:val="bullet"/>
      <w:start w:val="1"/>
    </w:lvl>
  </w:abstractNum>
  <w:abstractNum w:abstractNumId="77">
    <w:nsid w:val="53584BCB"/>
    <w:multiLevelType w:val="hybridMultilevel"/>
    <w:lvl w:ilvl="0">
      <w:lvlJc w:val="left"/>
      <w:lvlText w:val="(%1)"/>
      <w:numFmt w:val="decimal"/>
      <w:start w:val="1"/>
    </w:lvl>
  </w:abstractNum>
  <w:abstractNum w:abstractNumId="78">
    <w:nsid w:val="415E286C"/>
    <w:multiLevelType w:val="hybridMultilevel"/>
    <w:lvl w:ilvl="0">
      <w:lvlJc w:val="left"/>
      <w:lvlText w:val="•"/>
      <w:numFmt w:val="bullet"/>
      <w:start w:val="1"/>
    </w:lvl>
  </w:abstractNum>
  <w:abstractNum w:abstractNumId="79">
    <w:nsid w:val="7C58FD05"/>
    <w:multiLevelType w:val="hybridMultilevel"/>
    <w:lvl w:ilvl="0">
      <w:lvlJc w:val="left"/>
      <w:lvlText w:val="•"/>
      <w:numFmt w:val="bullet"/>
      <w:start w:val="1"/>
    </w:lvl>
  </w:abstractNum>
  <w:abstractNum w:abstractNumId="80">
    <w:nsid w:val="23D86AAC"/>
    <w:multiLevelType w:val="hybridMultilevel"/>
    <w:lvl w:ilvl="0">
      <w:lvlJc w:val="left"/>
      <w:lvlText w:val="•"/>
      <w:numFmt w:val="bullet"/>
      <w:start w:val="1"/>
    </w:lvl>
  </w:abstractNum>
  <w:abstractNum w:abstractNumId="81">
    <w:nsid w:val="45E6D486"/>
    <w:multiLevelType w:val="hybridMultilevel"/>
    <w:lvl w:ilvl="0">
      <w:lvlJc w:val="left"/>
      <w:lvlText w:val="•"/>
      <w:numFmt w:val="bullet"/>
      <w:start w:val="1"/>
    </w:lvl>
  </w:abstractNum>
  <w:abstractNum w:abstractNumId="82">
    <w:nsid w:val="5C10FE21"/>
    <w:multiLevelType w:val="hybridMultilevel"/>
    <w:lvl w:ilvl="0">
      <w:lvlJc w:val="left"/>
      <w:lvlText w:val="(%1)"/>
      <w:numFmt w:val="decimal"/>
      <w:start w:val="1"/>
    </w:lvl>
  </w:abstractNum>
  <w:abstractNum w:abstractNumId="83">
    <w:nsid w:val="E7FFA2B"/>
    <w:multiLevelType w:val="hybridMultilevel"/>
    <w:lvl w:ilvl="0">
      <w:lvlJc w:val="left"/>
      <w:lvlText w:val="(%1)"/>
      <w:numFmt w:val="lowerLetter"/>
      <w:start w:val="1"/>
    </w:lvl>
  </w:abstractNum>
  <w:abstractNum w:abstractNumId="84">
    <w:nsid w:val="3C5991AA"/>
    <w:multiLevelType w:val="hybridMultilevel"/>
    <w:lvl w:ilvl="0">
      <w:lvlJc w:val="left"/>
      <w:lvlText w:val="•"/>
      <w:numFmt w:val="bullet"/>
      <w:start w:val="1"/>
    </w:lvl>
  </w:abstractNum>
  <w:abstractNum w:abstractNumId="85">
    <w:nsid w:val="4BD8591A"/>
    <w:multiLevelType w:val="hybridMultilevel"/>
    <w:lvl w:ilvl="0">
      <w:lvlJc w:val="left"/>
      <w:lvlText w:val="•"/>
      <w:numFmt w:val="bullet"/>
      <w:start w:val="1"/>
    </w:lvl>
  </w:abstractNum>
  <w:abstractNum w:abstractNumId="86">
    <w:nsid w:val="78DF6A55"/>
    <w:multiLevelType w:val="hybridMultilevel"/>
    <w:lvl w:ilvl="0">
      <w:lvlJc w:val="left"/>
      <w:lvlText w:val="(%1)"/>
      <w:numFmt w:val="decimal"/>
      <w:start w:val="1"/>
    </w:lvl>
  </w:abstractNum>
  <w:abstractNum w:abstractNumId="87">
    <w:nsid w:val="39B7AAA2"/>
    <w:multiLevelType w:val="hybridMultilevel"/>
    <w:lvl w:ilvl="0">
      <w:lvlJc w:val="left"/>
      <w:lvlText w:val="(%1)"/>
      <w:numFmt w:val="decimal"/>
      <w:start w:val="1"/>
    </w:lvl>
  </w:abstractNum>
  <w:abstractNum w:abstractNumId="88">
    <w:nsid w:val="2B0D8DBE"/>
    <w:multiLevelType w:val="hybridMultilevel"/>
    <w:lvl w:ilvl="0">
      <w:lvlJc w:val="left"/>
      <w:lvlText w:val="(%1)"/>
      <w:numFmt w:val="decimal"/>
      <w:start w:val="6"/>
    </w:lvl>
  </w:abstractNum>
  <w:abstractNum w:abstractNumId="89">
    <w:nsid w:val="6C80EC70"/>
    <w:multiLevelType w:val="hybridMultilevel"/>
    <w:lvl w:ilvl="0">
      <w:lvlJc w:val="left"/>
      <w:lvlText w:val="(%1)"/>
      <w:numFmt w:val="lowerRoman"/>
      <w:start w:val="2"/>
    </w:lvl>
  </w:abstractNum>
  <w:abstractNum w:abstractNumId="90">
    <w:nsid w:val="379E21B5"/>
    <w:multiLevelType w:val="hybridMultilevel"/>
    <w:lvl w:ilvl="0">
      <w:lvlJc w:val="left"/>
      <w:lvlText w:val="(%1)"/>
      <w:numFmt w:val="decimal"/>
      <w:start w:val="2"/>
    </w:lvl>
  </w:abstractNum>
  <w:abstractNum w:abstractNumId="91">
    <w:nsid w:val="69E373"/>
    <w:multiLevelType w:val="hybridMultilevel"/>
    <w:lvl w:ilvl="0">
      <w:lvlJc w:val="left"/>
      <w:lvlText w:val="(%1)"/>
      <w:numFmt w:val="decimal"/>
      <w:start w:val="2"/>
    </w:lvl>
  </w:abstractNum>
  <w:abstractNum w:abstractNumId="92">
    <w:nsid w:val="2C27173B"/>
    <w:multiLevelType w:val="hybridMultilevel"/>
    <w:lvl w:ilvl="0">
      <w:lvlJc w:val="left"/>
      <w:lvlText w:val="•"/>
      <w:numFmt w:val="bullet"/>
      <w:start w:val="1"/>
    </w:lvl>
  </w:abstractNum>
  <w:abstractNum w:abstractNumId="93">
    <w:nsid w:val="4C9B0904"/>
    <w:multiLevelType w:val="hybridMultilevel"/>
    <w:lvl w:ilvl="0">
      <w:lvlJc w:val="left"/>
      <w:lvlText w:val="•"/>
      <w:numFmt w:val="bullet"/>
      <w:start w:val="1"/>
    </w:lvl>
  </w:abstractNum>
  <w:abstractNum w:abstractNumId="94">
    <w:nsid w:val="6AA7B75C"/>
    <w:multiLevelType w:val="hybridMultilevel"/>
    <w:lvl w:ilvl="0">
      <w:lvlJc w:val="left"/>
      <w:lvlText w:val="•"/>
      <w:numFmt w:val="bullet"/>
      <w:start w:val="1"/>
    </w:lvl>
  </w:abstractNum>
  <w:abstractNum w:abstractNumId="95">
    <w:nsid w:val="1DF029D3"/>
    <w:multiLevelType w:val="hybridMultilevel"/>
    <w:lvl w:ilvl="0">
      <w:lvlJc w:val="left"/>
      <w:lvlText w:val="•"/>
      <w:numFmt w:val="bullet"/>
      <w:start w:val="1"/>
    </w:lvl>
  </w:abstractNum>
  <w:abstractNum w:abstractNumId="96">
    <w:nsid w:val="5675FF36"/>
    <w:multiLevelType w:val="hybridMultilevel"/>
    <w:lvl w:ilvl="0">
      <w:lvlJc w:val="left"/>
      <w:lvlText w:val="•"/>
      <w:numFmt w:val="bullet"/>
      <w:start w:val="1"/>
    </w:lvl>
  </w:abstractNum>
  <w:abstractNum w:abstractNumId="97">
    <w:nsid w:val="3DD15094"/>
    <w:multiLevelType w:val="hybridMultilevel"/>
    <w:lvl w:ilvl="0">
      <w:lvlJc w:val="left"/>
      <w:lvlText w:val="(%1)"/>
      <w:numFmt w:val="decimal"/>
      <w:start w:val="1"/>
    </w:lvl>
  </w:abstractNum>
  <w:abstractNum w:abstractNumId="98">
    <w:nsid w:val="3DB012B3"/>
    <w:multiLevelType w:val="hybridMultilevel"/>
    <w:lvl w:ilvl="0">
      <w:lvlJc w:val="left"/>
      <w:lvlText w:val="(%1)"/>
      <w:numFmt w:val="decimal"/>
      <w:start w:val="1"/>
    </w:lvl>
  </w:abstractNum>
  <w:abstractNum w:abstractNumId="99">
    <w:nsid w:val="2708C9AF"/>
    <w:multiLevelType w:val="hybridMultilevel"/>
    <w:lvl w:ilvl="0">
      <w:lvlJc w:val="left"/>
      <w:lvlText w:val="(%1)"/>
      <w:numFmt w:val="decimal"/>
      <w:start w:val="1"/>
    </w:lvl>
  </w:abstractNum>
  <w:abstractNum w:abstractNumId="100">
    <w:nsid w:val="5B25ACE2"/>
    <w:multiLevelType w:val="hybridMultilevel"/>
    <w:lvl w:ilvl="0">
      <w:lvlJc w:val="left"/>
      <w:lvlText w:val="•"/>
      <w:numFmt w:val="bullet"/>
      <w:start w:val="1"/>
    </w:lvl>
  </w:abstractNum>
  <w:abstractNum w:abstractNumId="101">
    <w:nsid w:val="175DFCF0"/>
    <w:multiLevelType w:val="hybridMultilevel"/>
    <w:lvl w:ilvl="0">
      <w:lvlJc w:val="left"/>
      <w:lvlText w:val="*"/>
      <w:numFmt w:val="bullet"/>
      <w:start w:val="1"/>
    </w:lvl>
  </w:abstractNum>
  <w:abstractNum w:abstractNumId="102">
    <w:nsid w:val="4F97E3E4"/>
    <w:multiLevelType w:val="hybridMultilevel"/>
    <w:lvl w:ilvl="0">
      <w:lvlJc w:val="left"/>
      <w:lvlText w:val="†"/>
      <w:numFmt w:val="bullet"/>
      <w:start w:val="1"/>
    </w:lvl>
  </w:abstractNum>
  <w:abstractNum w:abstractNumId="103">
    <w:nsid w:val="53B0A9E"/>
    <w:multiLevelType w:val="hybridMultilevel"/>
    <w:lvl w:ilvl="0">
      <w:lvlJc w:val="left"/>
      <w:lvlText w:val="(%1)"/>
      <w:numFmt w:val="decimal"/>
      <w:start w:val="1"/>
    </w:lvl>
  </w:abstractNum>
  <w:abstractNum w:abstractNumId="104">
    <w:nsid w:val="34FD6B4F"/>
    <w:multiLevelType w:val="hybridMultilevel"/>
    <w:lvl w:ilvl="0">
      <w:lvlJc w:val="left"/>
      <w:lvlText w:val="(%1)"/>
      <w:numFmt w:val="decimal"/>
      <w:start w:val="3"/>
    </w:lvl>
  </w:abstractNum>
  <w:abstractNum w:abstractNumId="105">
    <w:nsid w:val="5915FF32"/>
    <w:multiLevelType w:val="hybridMultilevel"/>
    <w:lvl w:ilvl="0">
      <w:lvlJc w:val="left"/>
      <w:lvlText w:val="•"/>
      <w:numFmt w:val="bullet"/>
      <w:start w:val="1"/>
    </w:lvl>
  </w:abstractNum>
  <w:abstractNum w:abstractNumId="106">
    <w:nsid w:val="56438D15"/>
    <w:multiLevelType w:val="hybridMultilevel"/>
    <w:lvl w:ilvl="0">
      <w:lvlJc w:val="left"/>
      <w:lvlText w:val="•"/>
      <w:numFmt w:val="bullet"/>
      <w:start w:val="1"/>
    </w:lvl>
  </w:abstractNum>
  <w:abstractNum w:abstractNumId="107">
    <w:nsid w:val="519E3149"/>
    <w:multiLevelType w:val="hybridMultilevel"/>
    <w:lvl w:ilvl="0">
      <w:lvlJc w:val="left"/>
      <w:lvlText w:val="(%1)"/>
      <w:numFmt w:val="decimal"/>
      <w:start w:val="4"/>
    </w:lvl>
  </w:abstractNum>
  <w:abstractNum w:abstractNumId="108">
    <w:nsid w:val="2C6E4AFD"/>
    <w:multiLevelType w:val="hybridMultilevel"/>
    <w:lvl w:ilvl="0">
      <w:lvlJc w:val="left"/>
      <w:lvlText w:val="(%1)"/>
      <w:numFmt w:val="decimal"/>
      <w:start w:val="1"/>
    </w:lvl>
  </w:abstractNum>
  <w:abstractNum w:abstractNumId="109">
    <w:nsid w:val="17A1B582"/>
    <w:multiLevelType w:val="hybridMultilevel"/>
    <w:lvl w:ilvl="0">
      <w:lvlJc w:val="left"/>
      <w:lvlText w:val="•"/>
      <w:numFmt w:val="bullet"/>
      <w:start w:val="1"/>
    </w:lvl>
  </w:abstractNum>
  <w:abstractNum w:abstractNumId="110">
    <w:nsid w:val="4DF72E4E"/>
    <w:multiLevelType w:val="hybridMultilevel"/>
    <w:lvl w:ilvl="0">
      <w:lvlJc w:val="left"/>
      <w:lvlText w:val="•"/>
      <w:numFmt w:val="bullet"/>
      <w:start w:val="1"/>
    </w:lvl>
  </w:abstractNum>
  <w:abstractNum w:abstractNumId="111">
    <w:nsid w:val="5046B5A9"/>
    <w:multiLevelType w:val="hybridMultilevel"/>
    <w:lvl w:ilvl="0">
      <w:lvlJc w:val="left"/>
      <w:lvlText w:val="(%1)"/>
      <w:numFmt w:val="lowerRoman"/>
      <w:start w:val="2"/>
    </w:lvl>
  </w:abstractNum>
  <w:abstractNum w:abstractNumId="112">
    <w:nsid w:val="5D888A08"/>
    <w:multiLevelType w:val="hybridMultilevel"/>
    <w:lvl w:ilvl="0">
      <w:lvlJc w:val="left"/>
      <w:lvlText w:val="(%1)"/>
      <w:numFmt w:val="decimal"/>
      <w:start w:val="1"/>
    </w:lvl>
  </w:abstractNum>
  <w:abstractNum w:abstractNumId="113">
    <w:nsid w:val="2A082C70"/>
    <w:multiLevelType w:val="hybridMultilevel"/>
    <w:lvl w:ilvl="0">
      <w:lvlJc w:val="left"/>
      <w:lvlText w:val="(%1)"/>
      <w:numFmt w:val="decimal"/>
      <w:start w:val="6"/>
    </w:lvl>
  </w:abstractNum>
  <w:abstractNum w:abstractNumId="114">
    <w:nsid w:val="5EC6AFD4"/>
    <w:multiLevelType w:val="hybridMultilevel"/>
    <w:lvl w:ilvl="0">
      <w:lvlJc w:val="left"/>
      <w:lvlText w:val="(%1)"/>
      <w:numFmt w:val="lowerRoman"/>
      <w:start w:val="1"/>
    </w:lvl>
  </w:abstractNum>
  <w:abstractNum w:abstractNumId="115">
    <w:nsid w:val="19E21BB2"/>
    <w:multiLevelType w:val="hybridMultilevel"/>
    <w:lvl w:ilvl="0">
      <w:lvlJc w:val="left"/>
      <w:lvlText w:val="(%1)"/>
      <w:numFmt w:val="lowerLetter"/>
      <w:start w:val="1"/>
    </w:lvl>
  </w:abstractNum>
  <w:abstractNum w:abstractNumId="116">
    <w:nsid w:val="75E0858A"/>
    <w:multiLevelType w:val="hybridMultilevel"/>
    <w:lvl w:ilvl="0">
      <w:lvlJc w:val="left"/>
      <w:lvlText w:val="(%1)"/>
      <w:numFmt w:val="lowerLetter"/>
      <w:start w:val="5"/>
    </w:lvl>
  </w:abstractNum>
  <w:abstractNum w:abstractNumId="117">
    <w:nsid w:val="57A61A29"/>
    <w:multiLevelType w:val="hybridMultilevel"/>
    <w:lvl w:ilvl="0">
      <w:lvlJc w:val="left"/>
      <w:lvlText w:val="(%1)"/>
      <w:numFmt w:val="decimal"/>
      <w:start w:val="1"/>
    </w:lvl>
  </w:abstractNum>
  <w:abstractNum w:abstractNumId="118">
    <w:nsid w:val="5399C654"/>
    <w:multiLevelType w:val="hybridMultilevel"/>
    <w:lvl w:ilvl="0">
      <w:lvlJc w:val="left"/>
      <w:lvlText w:val="(%1)"/>
      <w:numFmt w:val="lowerLetter"/>
      <w:start w:val="1"/>
    </w:lvl>
  </w:abstractNum>
  <w:abstractNum w:abstractNumId="119">
    <w:nsid w:val="20EE1348"/>
    <w:multiLevelType w:val="hybridMultilevel"/>
    <w:lvl w:ilvl="0">
      <w:lvlJc w:val="left"/>
      <w:lvlText w:val="(%1)"/>
      <w:numFmt w:val="lowerLetter"/>
      <w:start w:val="2"/>
    </w:lvl>
  </w:abstractNum>
  <w:abstractNum w:abstractNumId="120">
    <w:nsid w:val="4427069A"/>
    <w:multiLevelType w:val="hybridMultilevel"/>
    <w:lvl w:ilvl="0">
      <w:lvlJc w:val="left"/>
      <w:lvlText w:val="(%1)"/>
      <w:numFmt w:val="lowerLetter"/>
      <w:start w:val="1"/>
    </w:lvl>
  </w:abstractNum>
  <w:abstractNum w:abstractNumId="121">
    <w:nsid w:val="B37E80A"/>
    <w:multiLevelType w:val="hybridMultilevel"/>
    <w:lvl w:ilvl="0">
      <w:lvlJc w:val="left"/>
      <w:lvlText w:val="(%1)"/>
      <w:numFmt w:val="decimal"/>
      <w:start w:val="1"/>
    </w:lvl>
  </w:abstractNum>
  <w:abstractNum w:abstractNumId="122">
    <w:nsid w:val="2157F6BC"/>
    <w:multiLevelType w:val="hybridMultilevel"/>
    <w:lvl w:ilvl="0">
      <w:lvlJc w:val="left"/>
      <w:lvlText w:val="%1."/>
      <w:numFmt w:val="decimal"/>
      <w:start w:val="1"/>
    </w:lvl>
  </w:abstractNum>
  <w:abstractNum w:abstractNumId="123">
    <w:nsid w:val="704E1DD5"/>
    <w:multiLevelType w:val="hybridMultilevel"/>
    <w:lvl w:ilvl="0">
      <w:lvlJc w:val="left"/>
      <w:lvlText w:val="%1."/>
      <w:numFmt w:val="decimal"/>
      <w:start w:val="2"/>
    </w:lvl>
  </w:abstractNum>
  <w:abstractNum w:abstractNumId="124">
    <w:nsid w:val="57D2F10E"/>
    <w:multiLevelType w:val="hybridMultilevel"/>
    <w:lvl w:ilvl="0">
      <w:lvlJc w:val="left"/>
      <w:lvlText w:val="(%1)"/>
      <w:numFmt w:val="lowerRoman"/>
      <w:start w:val="1"/>
    </w:lvl>
  </w:abstractNum>
  <w:abstractNum w:abstractNumId="125">
    <w:nsid w:val="BFFAE18"/>
    <w:multiLevelType w:val="hybridMultilevel"/>
    <w:lvl w:ilvl="0">
      <w:lvlJc w:val="left"/>
      <w:lvlText w:val="•"/>
      <w:numFmt w:val="bullet"/>
      <w:start w:val="1"/>
    </w:lvl>
  </w:abstractNum>
  <w:abstractNum w:abstractNumId="126">
    <w:nsid w:val="E3E47A8"/>
    <w:multiLevelType w:val="hybridMultilevel"/>
    <w:lvl w:ilvl="0">
      <w:lvlJc w:val="left"/>
      <w:lvlText w:val="%1."/>
      <w:numFmt w:val="decimal"/>
      <w:start w:val="3"/>
    </w:lvl>
  </w:abstractNum>
  <w:abstractNum w:abstractNumId="127">
    <w:nsid w:val="2E48F044"/>
    <w:multiLevelType w:val="hybridMultilevel"/>
    <w:lvl w:ilvl="0">
      <w:lvlJc w:val="left"/>
      <w:lvlText w:val="%1."/>
      <w:numFmt w:val="decimal"/>
      <w:start w:val="4"/>
    </w:lvl>
  </w:abstractNum>
  <w:abstractNum w:abstractNumId="128">
    <w:nsid w:val="49D0FEAC"/>
    <w:multiLevelType w:val="hybridMultilevel"/>
    <w:lvl w:ilvl="0">
      <w:lvlJc w:val="left"/>
      <w:lvlText w:val="%1."/>
      <w:numFmt w:val="decimal"/>
      <w:start w:val="5"/>
    </w:lvl>
  </w:abstractNum>
  <w:abstractNum w:abstractNumId="129">
    <w:nsid w:val="4BEE5A5B"/>
    <w:multiLevelType w:val="hybridMultilevel"/>
    <w:lvl w:ilvl="0">
      <w:lvlJc w:val="left"/>
      <w:lvlText w:val="%1."/>
      <w:numFmt w:val="decimal"/>
      <w:start w:val="6"/>
    </w:lvl>
  </w:abstractNum>
  <w:abstractNum w:abstractNumId="130">
    <w:nsid w:val="5551B9F3"/>
    <w:multiLevelType w:val="hybridMultilevel"/>
    <w:lvl w:ilvl="0">
      <w:lvlJc w:val="left"/>
      <w:lvlText w:val="%1."/>
      <w:numFmt w:val="decimal"/>
      <w:start w:val="7"/>
    </w:lvl>
  </w:abstractNum>
  <w:abstractNum w:abstractNumId="131">
    <w:nsid w:val="24F6AB8E"/>
    <w:multiLevelType w:val="hybridMultilevel"/>
    <w:lvl w:ilvl="0">
      <w:lvlJc w:val="left"/>
      <w:lvlText w:val="%1."/>
      <w:numFmt w:val="decimal"/>
      <w:start w:val="8"/>
    </w:lvl>
  </w:abstractNum>
  <w:abstractNum w:abstractNumId="132">
    <w:nsid w:val="634C574C"/>
    <w:multiLevelType w:val="hybridMultilevel"/>
    <w:lvl w:ilvl="0">
      <w:lvlJc w:val="left"/>
      <w:lvlText w:val="%1."/>
      <w:numFmt w:val="decimal"/>
      <w:start w:val="9"/>
    </w:lvl>
  </w:abstractNum>
  <w:abstractNum w:abstractNumId="133">
    <w:nsid w:val="24E99DD7"/>
    <w:multiLevelType w:val="hybridMultilevel"/>
    <w:lvl w:ilvl="0">
      <w:lvlJc w:val="left"/>
      <w:lvlText w:val="*"/>
      <w:numFmt w:val="bullet"/>
      <w:start w:val="1"/>
    </w:lvl>
  </w:abstractNum>
  <w:abstractNum w:abstractNumId="134">
    <w:nsid w:val="2A31B62D"/>
    <w:multiLevelType w:val="hybridMultilevel"/>
    <w:lvl w:ilvl="0">
      <w:lvlJc w:val="left"/>
      <w:lvlText w:val="*"/>
      <w:numFmt w:val="bullet"/>
      <w:start w:val="1"/>
    </w:lvl>
  </w:abstractNum>
  <w:abstractNum w:abstractNumId="135">
    <w:nsid w:val="1849C29B"/>
    <w:multiLevelType w:val="hybridMultilevel"/>
    <w:lvl w:ilvl="0">
      <w:lvlJc w:val="left"/>
      <w:lvlText w:val="%1."/>
      <w:numFmt w:val="decimal"/>
      <w:start w:val="10"/>
    </w:lvl>
  </w:abstractNum>
  <w:abstractNum w:abstractNumId="136">
    <w:nsid w:val="7DFF9D09"/>
    <w:multiLevelType w:val="hybridMultilevel"/>
    <w:lvl w:ilvl="0">
      <w:lvlJc w:val="left"/>
      <w:lvlText w:val="%1."/>
      <w:numFmt w:val="decimal"/>
      <w:start w:val="11"/>
    </w:lvl>
  </w:abstractNum>
  <w:abstractNum w:abstractNumId="137">
    <w:nsid w:val="754342"/>
    <w:multiLevelType w:val="hybridMultilevel"/>
    <w:lvl w:ilvl="0">
      <w:lvlJc w:val="left"/>
      <w:lvlText w:val="(%1)"/>
      <w:numFmt w:val="lowerRoman"/>
      <w:start w:val="1"/>
    </w:lvl>
  </w:abstractNum>
  <w:abstractNum w:abstractNumId="138">
    <w:nsid w:val="69E7F3E5"/>
    <w:multiLevelType w:val="hybridMultilevel"/>
    <w:lvl w:ilvl="0">
      <w:lvlJc w:val="left"/>
      <w:lvlText w:val="(%1)"/>
      <w:numFmt w:val="lowerRoman"/>
      <w:start w:val="3"/>
    </w:lvl>
  </w:abstractNum>
  <w:abstractNum w:abstractNumId="139">
    <w:nsid w:val="2A6DE806"/>
    <w:multiLevelType w:val="hybridMultilevel"/>
    <w:lvl w:ilvl="0">
      <w:lvlJc w:val="left"/>
      <w:lvlText w:val="%1."/>
      <w:numFmt w:val="decimal"/>
      <w:start w:val="12"/>
    </w:lvl>
  </w:abstractNum>
  <w:abstractNum w:abstractNumId="140">
    <w:nsid w:val="1816F8C4"/>
    <w:multiLevelType w:val="hybridMultilevel"/>
    <w:lvl w:ilvl="0">
      <w:lvlJc w:val="left"/>
      <w:lvlText w:val="%1."/>
      <w:numFmt w:val="decimal"/>
      <w:start w:val="14"/>
    </w:lvl>
  </w:abstractNum>
  <w:abstractNum w:abstractNumId="141">
    <w:nsid w:val="37DF2233"/>
    <w:multiLevelType w:val="hybridMultilevel"/>
    <w:lvl w:ilvl="0">
      <w:lvlJc w:val="left"/>
      <w:lvlText w:val="%1."/>
      <w:numFmt w:val="decimal"/>
      <w:start w:val="15"/>
    </w:lvl>
  </w:abstractNum>
  <w:abstractNum w:abstractNumId="142">
    <w:nsid w:val="7AB49DAF"/>
    <w:multiLevelType w:val="hybridMultilevel"/>
    <w:lvl w:ilvl="0">
      <w:lvlJc w:val="left"/>
      <w:lvlText w:val="%1."/>
      <w:numFmt w:val="decimal"/>
      <w:start w:val="16"/>
    </w:lvl>
  </w:abstractNum>
  <w:abstractNum w:abstractNumId="143">
    <w:nsid w:val="759F82CD"/>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2024-06-17T05:40:57Z</dcterms:created>
  <dcterms:modified xsi:type="dcterms:W3CDTF">2024-06-17T05:40:57Z</dcterms:modified>
</cp:coreProperties>
</file>