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August 25, 2023.</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Labs,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James Rogers</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rPr>
              <w:t>Andrew Polovin</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2023</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TD 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2023.</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128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diseases, including neuropsychology, infectious disease,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647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6475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300 unique data connections, many of which supply us with complex multimodal data in near real time, across over 1,850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have launched a suite of different products derived from our Platform, which have gained significant traction over the past five years. To date, our offerings have been used by approximately 90% of the largest public pharmaceutical companies based on 2022 revenue, and our clinical NGS volume in oncology rose from approximately 31,000 samples in 2018 to approximately 215,000 samples in 2022. Through December 31, 2022, our offerings have been used by more than 5,000 physicians across hundreds of provider networks, including more than half of all academic medical centers in the United States. Our database of multi-modal, de-identified records has grown to be approximately 28 times the size of The Cancer Genome Atlas, the largest public genomic dataset that we know of in oncology, as we now have approximately 70 petabytes of connected clinical and molecular data. Between our sequencing and data collection efforts, we are connected in some way to more than 40% of all oncologists practicing in the United States.</w:t>
      </w:r>
    </w:p>
    <w:p>
      <w:pPr>
        <w:spacing w:after="0" w:line="16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(and which we have de-emphasized as the pandemic has abated). Our next categories were radiology and cardiology.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we also expect to deploy our AI and machine learning capabilities to build algorithmic diagnostics at scale across diseases.</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64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58648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2,000 employees, including hundreds with diverse expertise across genetics, molecular and computational biology, bioinformatics, regulatory affairs, medical, product and engineering, and data science. Roughly one-third of our team is technical, with approximately 200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generated total revenue of $257.9 million and $320.7 million in the years ended December 31, 2021 and 2022, respectively. Revenue generated from COVID-19 testing was $94.7 million, or 36.7% of our total revenue, and $22.2 million, or 6.9% of our total revenue for the years ended December 31, 2021 and 2022, respectively. We anticipate that demand for, and revenue from, our COVID-19 testing products will continue to decrease in future periods due to the lower prevalence of COVID-19 from successful containment efforts and increased vaccination rates of a substantial majority of Americans, reduced testing needs of many of our clients, and the entrance of other testing providers into the market. We incurred net losses of $259.2 million and $289.8 million in the years ended December 31, 2021 and 2022, respectively.</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4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as well as the National Cancer Care Alliance, or NCCA, the Quality Cancer Care Alliance, or QCCA, and others. We also generate data in our three high-throughput diagnostic testing labs in Chicago, Atlanta, and Raleigh.</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56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5656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700 million documents and more than 6.0 million de-identified patient records, including over 1,000,000 with imaging data, more than 660,000 with matched clinical records linked with genomic information, and over 125,000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de-identified data. As our database continues to grow from its current size of approximately 70 petabytes, we believe new AI applications and opportunities will emerge that are only possible with scale that will drive further innovations in patient treatment. The graph below shows our historical database growth and its composition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Algos,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73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61734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business through which we licensed de-identified data, which at scale has allowed us to provide a series of data-related services to our life sciences customers, such as clinical trial matching, or Trials. Over time, we expect these products (Genomics + Data) to facilitate deployment of our AI Applications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9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describe below our three product lines—Genomics, Data, and AI Applications. Genomics revenue was $151.9 million, $195.0 million and $198.0 million for the years ended December 31, 2020, 2021 and 2022, respectively. Data revenue was $36.1 million, $62.8 million and $122.7 million for the years ended December 31, 2020, 2021 and 2022, respectively. For the years ended December 31, 2020, 2021 and 2022, Genomics represented 81%, 76% and 62%, respectively, and Data represented 19%, 24% and 38%, respectively, of our total revenue. Revenue generated from AI Applications is reported within our Data and other product line and was less than $1.0 million for the years ended December 31, 2020 and 2021, respectively, and was $1.4 million for the year ended December 31, 2022.</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 and</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We are also currently validating xM, a high coverage methylation sequencing assay for monitoring for cancer recurrence and minimal residual disease.</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06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6506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and 25% for the years ended December 31, 2020, 2021, and 2022,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neuropsychology,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At present, we work with 18 of the 20 largest public pharmaceutical companies based on 2022 revenue, and as of December 31, 2022, we have signed contracts with a remaining total</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380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3808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contract value of more than $800 million, a majority of which we expect to deliver over the next several years. See “Business” for additional discussion regarding our remaining total contract value.</w:t>
      </w:r>
    </w:p>
    <w:p>
      <w:pPr>
        <w:spacing w:after="0" w:line="17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other in the Consolidated Statement of Operations. Cost of revenues, data and other were $11.9 million and $40.2 million for the years ended December 31, 2021 and 2022, respectively. These costs represent 19.0% and 32.8% of data and other revenue for the years ended December 31, 2021 and 2022, respectively.</w:t>
      </w:r>
    </w:p>
    <w:p>
      <w:pPr>
        <w:spacing w:after="0" w:line="194"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2022, we generated $59.3 million of combined revenue from sequencing, data licensing of de-identified data derived from those records, analytical services, and clinical trials matching, which is approximately 6.6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December 31, 2022, the 2018 “Cohort Lifetime Value” for this cohort was $41.9 million. We maintained similar trends for the 2019, 2020, 2021, and 2022 cohorts. As of December 31, 2022, the 2019 “Cohort Lifetime Value” was $48.2 million, the 2020 “Cohort Lifetime Value” was $44.4 million, the 2021 “Cohort Lifetime Value” was $48.8 million, and the 2022 “Cohort Lifetime Value” was $58.0 million in its first year of existence.</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73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69735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to 2022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4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40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00" w:firstLine="438"/>
        <w:spacing w:after="0" w:line="280" w:lineRule="auto"/>
        <w:rPr>
          <w:sz w:val="20"/>
          <w:szCs w:val="20"/>
          <w:color w:val="auto"/>
        </w:rPr>
      </w:pPr>
      <w:r>
        <w:rPr>
          <w:rFonts w:ascii="Times New Roman" w:cs="Times New Roman" w:eastAsia="Times New Roman" w:hAnsi="Times New Roman"/>
          <w:sz w:val="16"/>
          <w:szCs w:val="16"/>
          <w:color w:val="auto"/>
        </w:rPr>
        <w:t>Our second focus area within our Data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approximately 2,800 oncologists fully enrolled, more than 200 clinical trials signed into the network, and more than 19,000 patients were identified for potential enrollment into clinical trials in our network, as of December 31, 2022.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6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Our newest product line, AI Applications, is focused on developing and providing diagnostics that are algorithmic in nature, implementing new software as a medical device, and building and deploying clinical decision support tools. The primary product of AI Applications is currently “Algos,” which are clinical tests that can be run without chemistry or biology; they are simply 0’s and 1’s running on digitized data derived from a laboratory test, a pathology slide, or a radiomic image. Algos leverage AI-driven insights to produce clinically validated and actionable information for physicians. We offer, or are developing, products in each of these categories.</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currently offer three algorithmic tests in oncology as complements to our NGS assays: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also developing algorithmic tests in other disease areas. In cardiology, for example, we are developing algorithmic models that aid clinicians in identifying patients at increased risk of developing atrial fibrillation, or AFib, along with a variety of other cardiac conditions. These Algos are trained using de-identified data derived from approximately 3.2 million electrocardiograms, or ECGs, across approximately 600,000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AI Applications at scale could be a unique differentiator of our Platform. For each AI Application, we use data the same way legacy diagnostic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radiology and infectious diseases, in which there is over $4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more than 40% of all oncologists practicing in the United States in some way, and a growing number of neuropsychiatric, infectious disease, radiology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65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69653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81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61817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infectious disease,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reduced demand for COVID-19 testing, we stopped offering PCR diagnostic tests and generating COVID-19 testing revenue in the first quarter of 2023.</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9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1898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jc w:val="both"/>
        <w:ind w:left="1160" w:right="2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w:t>
      </w:r>
    </w:p>
    <w:p>
      <w:pPr>
        <w:spacing w:after="0" w:line="2" w:lineRule="exact"/>
        <w:rPr>
          <w:sz w:val="20"/>
          <w:szCs w:val="20"/>
          <w:color w:val="auto"/>
        </w:rPr>
      </w:pPr>
    </w:p>
    <w:p>
      <w:pPr>
        <w:ind w:left="200" w:hanging="8"/>
        <w:spacing w:after="0" w:line="24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6"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313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23133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98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498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3720" w:type="dxa"/>
            <w:vAlign w:val="bottom"/>
          </w:tcPr>
          <w:p>
            <w:pPr>
              <w:spacing w:after="0"/>
              <w:rPr>
                <w:sz w:val="18"/>
                <w:szCs w:val="18"/>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page 24 and the other information included in this prospectus for a</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“TL”</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81" w:lineRule="auto"/>
        <w:tabs>
          <w:tab w:leader="none" w:pos="171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restricted stock units, or RSUs, outstanding as of December 31, 2022 under our Third Amended and Restated 2015 Stock Plan, as amended, or 2015 Plan, for which the performance-based vesting condition will be satisfied in connection with this offering, but for which the service-based vesting condition will not be satisfied on or before</w:t>
      </w:r>
    </w:p>
    <w:p>
      <w:pPr>
        <w:spacing w:after="0" w:line="1" w:lineRule="exact"/>
        <w:rPr>
          <w:rFonts w:ascii="Times New Roman" w:cs="Times New Roman" w:eastAsia="Times New Roman" w:hAnsi="Times New Roman"/>
          <w:sz w:val="16"/>
          <w:szCs w:val="16"/>
          <w:color w:val="auto"/>
        </w:rPr>
      </w:pPr>
    </w:p>
    <w:p>
      <w:pPr>
        <w:ind w:left="1780" w:hanging="92"/>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103"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7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that may become issuable upon the vesting and settlement of Performance-Vesting Restricted Stock Units, or PSUs, outstanding as of December 31, 2022 under our 2015 Plan, for which the performance-based vesting condition may be satisfied in connection with this</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06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6006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180" w:type="dxa"/>
        <w:tblCellMar>
          <w:top w:w="0" w:type="dxa"/>
          <w:left w:w="0" w:type="dxa"/>
          <w:bottom w:w="0" w:type="dxa"/>
          <w:right w:w="0" w:type="dxa"/>
        </w:tblCellMar>
      </w:tblPr>
      <w:tr>
        <w:trPr>
          <w:trHeight w:val="22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offering, but for which the 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100" w:lineRule="exact"/>
        <w:rPr>
          <w:sz w:val="20"/>
          <w:szCs w:val="20"/>
          <w:color w:val="auto"/>
        </w:rPr>
      </w:pPr>
    </w:p>
    <w:p>
      <w:pPr>
        <w:jc w:val="both"/>
        <w:ind w:left="1160" w:right="2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Equity Incentive Plan, or 2022 Plan, as well as any future increases, including annual automatic evergreen increases, in the number of shares of Class A common stock reserved for issuance under the 2022 Plan;</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2022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$221.1 million as of December 31,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 and</w:t>
            </w:r>
          </w:p>
        </w:tc>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w:t>
            </w:r>
          </w:p>
        </w:tc>
      </w:tr>
    </w:tbl>
    <w:p>
      <w:pPr>
        <w:jc w:val="both"/>
        <w:ind w:left="1160"/>
        <w:spacing w:after="0" w:line="308" w:lineRule="auto"/>
        <w:rPr>
          <w:sz w:val="20"/>
          <w:szCs w:val="20"/>
          <w:color w:val="auto"/>
        </w:rPr>
      </w:pPr>
      <w:r>
        <w:rPr>
          <w:rFonts w:ascii="Times New Roman" w:cs="Times New Roman" w:eastAsia="Times New Roman" w:hAnsi="Times New Roman"/>
          <w:sz w:val="16"/>
          <w:szCs w:val="16"/>
          <w:color w:val="auto"/>
        </w:rPr>
        <w:t>the estimated price range set forth on the cover page of this prospectus, issuable to one of our stockholders pursuant to a contingent payment right, which payment may be made in cash or shares of Class A common stock, upon mutual agreement of the Company and such stockholder.</w:t>
      </w:r>
    </w:p>
    <w:p>
      <w:pPr>
        <w:spacing w:after="0" w:line="14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all outstanding shares of redeemable convertible preferred stock, other than our Series B redeemable convertible preferred</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into an aggregate of</w:t>
            </w:r>
          </w:p>
        </w:tc>
        <w:tc>
          <w:tcPr>
            <w:tcW w:w="6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28"/>
        </w:trPr>
        <w:tc>
          <w:tcPr>
            <w:tcW w:w="300" w:type="dxa"/>
            <w:vAlign w:val="bottom"/>
          </w:tcPr>
          <w:p>
            <w:pPr>
              <w:spacing w:after="0"/>
              <w:rPr>
                <w:sz w:val="19"/>
                <w:szCs w:val="19"/>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which will occur upon the closing of this offering;</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8"/>
              </w:rPr>
              <w:t>conversion of all outstanding shares of our redeemable convertible preferred stock upon the closing of this offering, pursuant to provisions of</w:t>
            </w:r>
          </w:p>
        </w:tc>
      </w:tr>
      <w:tr>
        <w:trPr>
          <w:trHeight w:val="210"/>
        </w:trPr>
        <w:tc>
          <w:tcPr>
            <w:tcW w:w="300" w:type="dxa"/>
            <w:vAlign w:val="bottom"/>
          </w:tcPr>
          <w:p>
            <w:pPr>
              <w:spacing w:after="0"/>
              <w:rPr>
                <w:sz w:val="18"/>
                <w:szCs w:val="18"/>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certificate of incorporation as currently in effect, assuming an initial public offering price of $</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300" w:type="dxa"/>
            <w:vAlign w:val="bottom"/>
          </w:tcPr>
          <w:p>
            <w:pPr>
              <w:spacing w:after="0"/>
              <w:rPr>
                <w:sz w:val="19"/>
                <w:szCs w:val="19"/>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the settlement of RSUs outstanding as of December 31, 2022 under our 2015</w:t>
            </w:r>
          </w:p>
        </w:tc>
      </w:tr>
    </w:tbl>
    <w:p>
      <w:pPr>
        <w:ind w:left="1160"/>
        <w:spacing w:after="0"/>
        <w:rPr>
          <w:sz w:val="20"/>
          <w:szCs w:val="20"/>
          <w:color w:val="auto"/>
        </w:rPr>
      </w:pPr>
      <w:r>
        <w:rPr>
          <w:rFonts w:ascii="Times New Roman" w:cs="Times New Roman" w:eastAsia="Times New Roman" w:hAnsi="Times New Roman"/>
          <w:sz w:val="18"/>
          <w:szCs w:val="18"/>
          <w:color w:val="auto"/>
        </w:rPr>
        <w:t>Plan for which the performance-based vesting condition will be</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20" w:top="448"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84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384746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180"/>
        <w:spacing w:after="0" w:line="267" w:lineRule="auto"/>
        <w:rPr>
          <w:sz w:val="20"/>
          <w:szCs w:val="20"/>
          <w:color w:val="auto"/>
        </w:rPr>
      </w:pPr>
      <w:r>
        <w:rPr>
          <w:rFonts w:ascii="Times New Roman" w:cs="Times New Roman" w:eastAsia="Times New Roman" w:hAnsi="Times New Roman"/>
          <w:sz w:val="18"/>
          <w:szCs w:val="18"/>
          <w:color w:val="auto"/>
        </w:rPr>
        <w:t>satisfied in connection with this offering and for which any service-based vesting condition was satisfied on or before settlement will be effected upon the expiration of the lock-up period in connection with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2023, which</w:t>
      </w:r>
    </w:p>
    <w:p>
      <w:pPr>
        <w:spacing w:after="0" w:line="354" w:lineRule="exact"/>
        <w:rPr>
          <w:sz w:val="20"/>
          <w:szCs w:val="20"/>
          <w:color w:val="auto"/>
        </w:rPr>
      </w:pPr>
    </w:p>
    <w:p>
      <w:pPr>
        <w:sectPr>
          <w:pgSz w:w="11900" w:h="16838" w:orient="portrait"/>
          <w:cols w:equalWidth="0" w:num="2">
            <w:col w:w="9520" w:space="660"/>
            <w:col w:w="1160"/>
          </w:cols>
          <w:pgMar w:left="320" w:top="448" w:right="239" w:bottom="1440" w:gutter="0" w:footer="0" w:header="0"/>
          <w:type w:val="continuous"/>
        </w:sectPr>
      </w:pPr>
    </w:p>
    <w:p>
      <w:pPr>
        <w:ind w:left="1160" w:right="20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4,932,415 shares of Class A common stock, which will occur upon the closing of this offering;</w:t>
      </w:r>
    </w:p>
    <w:p>
      <w:pPr>
        <w:sectPr>
          <w:pgSz w:w="11900" w:h="16838" w:orient="portrait"/>
          <w:cols w:equalWidth="0" w:num="1">
            <w:col w:w="11340"/>
          </w:cols>
          <w:pgMar w:left="320" w:top="448" w:right="239" w:bottom="1440" w:gutter="0" w:footer="0" w:header="0"/>
          <w:type w:val="continuous"/>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20</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73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8731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2021 and 2022 have been derived from our audited consolidated financial statements included elsewhere in this prospectus.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right"/>
              <w:ind w:right="41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195,012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197,984</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122,684</w:t>
            </w:r>
          </w:p>
        </w:tc>
        <w:tc>
          <w:tcPr>
            <w:tcW w:w="0" w:type="dxa"/>
            <w:vAlign w:val="bottom"/>
          </w:tcPr>
          <w:p>
            <w:pPr>
              <w:spacing w:after="0"/>
              <w:rPr>
                <w:sz w:val="1"/>
                <w:szCs w:val="1"/>
                <w:color w:val="auto"/>
              </w:rPr>
            </w:pPr>
          </w:p>
        </w:tc>
      </w:tr>
      <w:tr>
        <w:trPr>
          <w:trHeight w:val="221"/>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150,255</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11,933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79,093</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83,158</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233,377</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586,110</w:t>
            </w:r>
          </w:p>
        </w:tc>
        <w:tc>
          <w:tcPr>
            <w:tcW w:w="0" w:type="dxa"/>
            <w:vAlign w:val="bottom"/>
          </w:tcPr>
          <w:p>
            <w:pPr>
              <w:spacing w:after="0"/>
              <w:rPr>
                <w:sz w:val="1"/>
                <w:szCs w:val="1"/>
                <w:color w:val="auto"/>
              </w:rPr>
            </w:pPr>
          </w:p>
        </w:tc>
      </w:tr>
      <w:tr>
        <w:trPr>
          <w:trHeight w:val="223"/>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(289,150)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(259,192)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(289,811)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0" w:type="dxa"/>
            <w:vAlign w:val="bottom"/>
          </w:tcPr>
          <w:p>
            <w:pPr>
              <w:spacing w:after="0"/>
              <w:rPr>
                <w:sz w:val="1"/>
                <w:szCs w:val="1"/>
                <w:color w:val="auto"/>
              </w:rPr>
            </w:pPr>
          </w:p>
        </w:tc>
      </w:tr>
      <w:tr>
        <w:trPr>
          <w:trHeight w:val="210"/>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(297,736)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(333,982)</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63,032</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360"/>
              <w:spacing w:after="0" w:line="24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r>
              <w:rPr>
                <w:rFonts w:ascii="Times New Roman" w:cs="Times New Roman" w:eastAsia="Times New Roman" w:hAnsi="Times New Roman"/>
                <w:sz w:val="26"/>
                <w:szCs w:val="26"/>
                <w:color w:val="auto"/>
                <w:vertAlign w:val="superscript"/>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7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hanging="428"/>
        <w:spacing w:after="0" w:line="267"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23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9232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hanging="428"/>
        <w:spacing w:after="0"/>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net loss per share gives effect to (a) the automatic conversion of all of our outstanding shares of Series B redeemable convertible preferred</w:t>
      </w:r>
    </w:p>
    <w:p>
      <w:pPr>
        <w:spacing w:after="0" w:line="43"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 into 5,374,899 shares of Class B common stock, which will occur upon the closing of this offering, (b) the automatic conversion of all of our</w:t>
      </w:r>
    </w:p>
    <w:p>
      <w:pPr>
        <w:spacing w:after="0" w:line="236" w:lineRule="exact"/>
        <w:rPr>
          <w:sz w:val="20"/>
          <w:szCs w:val="20"/>
          <w:color w:val="auto"/>
        </w:rPr>
      </w:pPr>
    </w:p>
    <w:p>
      <w:pPr>
        <w:ind w:left="620" w:right="180"/>
        <w:spacing w:after="0" w:line="248" w:lineRule="auto"/>
        <w:rPr>
          <w:sz w:val="20"/>
          <w:szCs w:val="20"/>
          <w:color w:val="auto"/>
        </w:rPr>
      </w:pPr>
      <w:r>
        <w:rPr>
          <w:rFonts w:ascii="Times New Roman" w:cs="Times New Roman" w:eastAsia="Times New Roman" w:hAnsi="Times New Roman"/>
          <w:sz w:val="18"/>
          <w:szCs w:val="18"/>
          <w:color w:val="auto"/>
        </w:rPr>
        <w:t>outstanding shares of redeemable convertible preferred stock, other than our Series B preferred stock, into shares of Class A common stock, which will occur upon the closing of this offering, assuming an initial public offering price of $ per share, the midpoint of the estimated price range set forth on the cover page of this prospectus, (c) the issuance of Additional Class A Conversion Shares, assuming an initial public offering price of $ per share, the midpoint of the estimated price range set forth on the cover page of this prospectus, which will occur</w:t>
      </w:r>
    </w:p>
    <w:p>
      <w:pPr>
        <w:spacing w:after="0" w:line="3" w:lineRule="exact"/>
        <w:rPr>
          <w:sz w:val="20"/>
          <w:szCs w:val="20"/>
          <w:color w:val="auto"/>
        </w:rPr>
      </w:pPr>
    </w:p>
    <w:p>
      <w:pPr>
        <w:jc w:val="both"/>
        <w:ind w:left="620" w:right="200"/>
        <w:spacing w:after="0" w:line="274" w:lineRule="auto"/>
        <w:rPr>
          <w:sz w:val="20"/>
          <w:szCs w:val="20"/>
          <w:color w:val="auto"/>
        </w:rPr>
      </w:pPr>
      <w:r>
        <w:rPr>
          <w:rFonts w:ascii="Times New Roman" w:cs="Times New Roman" w:eastAsia="Times New Roman" w:hAnsi="Times New Roman"/>
          <w:sz w:val="16"/>
          <w:szCs w:val="16"/>
          <w:color w:val="auto"/>
        </w:rPr>
        <w:t>upon the conversion of all outstanding shares of our redeemable convertible preferred stock and upon the closing of this offering, (d) the automatic conversion of all of our nonvoting common stock into 4,932,415 shares of Class A common stock, which will occur upon the closing of this offering,</w:t>
      </w:r>
    </w:p>
    <w:tbl>
      <w:tblPr>
        <w:tblLayout w:type="fixed"/>
        <w:tblInd w:w="620" w:type="dxa"/>
        <w:tblCellMar>
          <w:top w:w="0" w:type="dxa"/>
          <w:left w:w="0" w:type="dxa"/>
          <w:bottom w:w="0" w:type="dxa"/>
          <w:right w:w="0" w:type="dxa"/>
        </w:tblCellMar>
      </w:tblPr>
      <w:tr>
        <w:trPr>
          <w:trHeight w:val="192"/>
        </w:trPr>
        <w:tc>
          <w:tcPr>
            <w:tcW w:w="13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(e) the issuance of</w:t>
            </w:r>
          </w:p>
        </w:tc>
        <w:tc>
          <w:tcPr>
            <w:tcW w:w="91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rPr>
              <w:t>shares of Class A common stock upon settlement of RSUs for which the service-based vesting condition was satisfied</w:t>
            </w: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on or before</w:t>
            </w:r>
          </w:p>
        </w:tc>
        <w:tc>
          <w:tcPr>
            <w:tcW w:w="9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2023 and for which the performance-based vesting condition will be satisfied in connection with this offering, which settlement</w:t>
            </w: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will occur upon the expiration of the lock-up period in connection with this offering, (f) the issuance of</w:t>
            </w:r>
          </w:p>
        </w:tc>
        <w:tc>
          <w:tcPr>
            <w:tcW w:w="68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w:t>
            </w: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settlement of PSUs for which any service-based vesting condition was satisfied on or before</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2023 and for which the performance-based</w:t>
            </w:r>
          </w:p>
        </w:tc>
      </w:tr>
      <w:tr>
        <w:trPr>
          <w:trHeight w:val="210"/>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vesting condition will be satisfied in connection with this offering, (g) stock-based compensation expense of approximately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related</w:t>
            </w:r>
          </w:p>
        </w:tc>
      </w:tr>
      <w:tr>
        <w:trPr>
          <w:trHeight w:val="228"/>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the vesting of RSUs and PSUs for which the service-based vesting condition was satisfied on or before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 and for which the</w:t>
            </w:r>
          </w:p>
        </w:tc>
      </w:tr>
    </w:tbl>
    <w:p>
      <w:pPr>
        <w:jc w:val="both"/>
        <w:ind w:left="620" w:right="200"/>
        <w:spacing w:after="0" w:line="285" w:lineRule="auto"/>
        <w:rPr>
          <w:sz w:val="20"/>
          <w:szCs w:val="20"/>
          <w:color w:val="auto"/>
        </w:rPr>
      </w:pPr>
      <w:r>
        <w:rPr>
          <w:rFonts w:ascii="Times New Roman" w:cs="Times New Roman" w:eastAsia="Times New Roman" w:hAnsi="Times New Roman"/>
          <w:sz w:val="16"/>
          <w:szCs w:val="16"/>
          <w:color w:val="auto"/>
        </w:rPr>
        <w:t>performance-based vesting condition will be satisfied in connection with this offering, as further described in Note 10 to our consolidated financial statements included elsewhere in this prospectus, and (h)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Pro</w:t>
            </w:r>
          </w:p>
        </w:tc>
        <w:tc>
          <w:tcPr>
            <w:tcW w:w="9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880" w:type="dxa"/>
            <w:vAlign w:val="bottom"/>
          </w:tcPr>
          <w:p>
            <w:pPr>
              <w:spacing w:after="0"/>
              <w:rPr>
                <w:sz w:val="12"/>
                <w:szCs w:val="12"/>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6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As Adjusted(2)</w:t>
            </w:r>
          </w:p>
        </w:tc>
        <w:tc>
          <w:tcPr>
            <w:tcW w:w="0" w:type="dxa"/>
            <w:vAlign w:val="bottom"/>
          </w:tcPr>
          <w:p>
            <w:pPr>
              <w:spacing w:after="0"/>
              <w:rPr>
                <w:sz w:val="1"/>
                <w:szCs w:val="1"/>
                <w:color w:val="auto"/>
              </w:rPr>
            </w:pPr>
          </w:p>
        </w:tc>
      </w:tr>
      <w:tr>
        <w:trPr>
          <w:trHeight w:val="169"/>
        </w:trPr>
        <w:tc>
          <w:tcPr>
            <w:tcW w:w="68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Forma(1)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(in thousands)</w:t>
            </w:r>
          </w:p>
        </w:tc>
        <w:tc>
          <w:tcPr>
            <w:tcW w:w="7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303,731</w:t>
            </w:r>
          </w:p>
        </w:tc>
        <w:tc>
          <w:tcPr>
            <w:tcW w:w="12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900" w:type="dxa"/>
            <w:vAlign w:val="bottom"/>
          </w:tcPr>
          <w:p>
            <w:pPr>
              <w:jc w:val="right"/>
              <w:ind w:right="727"/>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631,364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capital(4)</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264,390</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1,026,143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(1,129,027)</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20" w:hanging="42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automatic conversion of all of our outstanding shares of Series B redeemable</w:t>
      </w:r>
    </w:p>
    <w:p>
      <w:pPr>
        <w:spacing w:after="0" w:line="2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into 5,374,899 shares of Class B common stock, which will occur upon the closing of this offering, (b) the automatic</w:t>
      </w:r>
    </w:p>
    <w:p>
      <w:pPr>
        <w:spacing w:after="0" w:line="213" w:lineRule="exact"/>
        <w:rPr>
          <w:sz w:val="20"/>
          <w:szCs w:val="20"/>
          <w:color w:val="auto"/>
        </w:rPr>
      </w:pPr>
    </w:p>
    <w:p>
      <w:pPr>
        <w:ind w:left="620" w:right="200"/>
        <w:spacing w:after="0" w:line="253" w:lineRule="auto"/>
        <w:rPr>
          <w:sz w:val="20"/>
          <w:szCs w:val="20"/>
          <w:color w:val="auto"/>
        </w:rPr>
      </w:pPr>
      <w:r>
        <w:rPr>
          <w:rFonts w:ascii="Times New Roman" w:cs="Times New Roman" w:eastAsia="Times New Roman" w:hAnsi="Times New Roman"/>
          <w:sz w:val="18"/>
          <w:szCs w:val="18"/>
          <w:color w:val="auto"/>
        </w:rPr>
        <w:t>conversion of all of our outstanding shares of redeemable convertible preferred stock, other than our Series B preferred stock, into shares of Class A common stock, assuming an initial public offering price of $ per share, the midpoint of the estimated price range set forth on the cover</w:t>
      </w:r>
    </w:p>
    <w:p>
      <w:pPr>
        <w:spacing w:after="0" w:line="2" w:lineRule="exact"/>
        <w:rPr>
          <w:sz w:val="20"/>
          <w:szCs w:val="20"/>
          <w:color w:val="auto"/>
        </w:rPr>
      </w:pPr>
    </w:p>
    <w:p>
      <w:pPr>
        <w:jc w:val="both"/>
        <w:ind w:left="620" w:right="200"/>
        <w:spacing w:after="0" w:line="274" w:lineRule="auto"/>
        <w:rPr>
          <w:sz w:val="20"/>
          <w:szCs w:val="20"/>
          <w:color w:val="auto"/>
        </w:rPr>
      </w:pPr>
      <w:r>
        <w:rPr>
          <w:rFonts w:ascii="Times New Roman" w:cs="Times New Roman" w:eastAsia="Times New Roman" w:hAnsi="Times New Roman"/>
          <w:sz w:val="16"/>
          <w:szCs w:val="16"/>
          <w:color w:val="auto"/>
        </w:rPr>
        <w:t>page of this prospectus, which will occur upon the closing of this offering, (c) the issuance of the Additional Class A Conversion Shares, which will occur upon the conversion of all outstanding shares of our redeemable convertible preferred stock and upon the closing of this offering, assuming an</w:t>
      </w:r>
    </w:p>
    <w:p>
      <w:pPr>
        <w:jc w:val="both"/>
        <w:ind w:left="620" w:right="180"/>
        <w:spacing w:after="0" w:line="243" w:lineRule="auto"/>
        <w:rPr>
          <w:sz w:val="20"/>
          <w:szCs w:val="20"/>
          <w:color w:val="auto"/>
        </w:rPr>
      </w:pPr>
      <w:r>
        <w:rPr>
          <w:rFonts w:ascii="Times New Roman" w:cs="Times New Roman" w:eastAsia="Times New Roman" w:hAnsi="Times New Roman"/>
          <w:sz w:val="18"/>
          <w:szCs w:val="18"/>
          <w:color w:val="auto"/>
        </w:rPr>
        <w:t>initial public offering price of $ per share, the midpoint of the estimated price range set forth on the cover page of this prospectus, (d) the automatic conversion of all of our nonvoting common stock into 4,932,415 shares of Class A common stock, which will occur upon the closing of this offering, (e) the filing and effectiveness of our amended and restated certificate of incorporation, which will occur upon the closing of this</w:t>
      </w:r>
    </w:p>
    <w:tbl>
      <w:tblPr>
        <w:tblLayout w:type="fixed"/>
        <w:tblInd w:w="0" w:type="dxa"/>
        <w:tblCellMar>
          <w:top w:w="0" w:type="dxa"/>
          <w:left w:w="0" w:type="dxa"/>
          <w:bottom w:w="0" w:type="dxa"/>
          <w:right w:w="0" w:type="dxa"/>
        </w:tblCellMar>
      </w:tblPr>
      <w:tr>
        <w:trPr>
          <w:trHeight w:val="194"/>
        </w:trPr>
        <w:tc>
          <w:tcPr>
            <w:tcW w:w="2660" w:type="dxa"/>
            <w:vAlign w:val="bottom"/>
          </w:tcPr>
          <w:p>
            <w:pPr>
              <w:ind w:left="620"/>
              <w:spacing w:after="0" w:line="194" w:lineRule="exact"/>
              <w:rPr>
                <w:sz w:val="20"/>
                <w:szCs w:val="20"/>
                <w:color w:val="auto"/>
              </w:rPr>
            </w:pPr>
            <w:r>
              <w:rPr>
                <w:rFonts w:ascii="Times New Roman" w:cs="Times New Roman" w:eastAsia="Times New Roman" w:hAnsi="Times New Roman"/>
                <w:sz w:val="18"/>
                <w:szCs w:val="18"/>
                <w:color w:val="auto"/>
              </w:rPr>
              <w:t>offering, (f) the issuance of</w:t>
            </w:r>
          </w:p>
        </w:tc>
        <w:tc>
          <w:tcPr>
            <w:tcW w:w="8680" w:type="dxa"/>
            <w:vAlign w:val="bottom"/>
            <w:gridSpan w:val="3"/>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shares of Class A common stock upon settlement of RSUs for which the service-based vesting condition was</w:t>
            </w:r>
          </w:p>
        </w:tc>
      </w:tr>
      <w:tr>
        <w:trPr>
          <w:trHeight w:val="210"/>
        </w:trPr>
        <w:tc>
          <w:tcPr>
            <w:tcW w:w="2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satisfied on or before</w:t>
            </w:r>
          </w:p>
        </w:tc>
        <w:tc>
          <w:tcPr>
            <w:tcW w:w="86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99"/>
              </w:rPr>
              <w:t>, 2023 and for which the performance-based vesting condition will be satisfied in connection with this offering, which</w:t>
            </w:r>
          </w:p>
        </w:tc>
      </w:tr>
      <w:tr>
        <w:trPr>
          <w:trHeight w:val="210"/>
        </w:trPr>
        <w:tc>
          <w:tcPr>
            <w:tcW w:w="95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settlement will occur upon the expiration of the lock-up period in connection with this offering, and (g) the issuance of</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shares of Class A</w:t>
            </w:r>
          </w:p>
        </w:tc>
      </w:tr>
      <w:tr>
        <w:trPr>
          <w:trHeight w:val="228"/>
        </w:trPr>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common stock upon settlement of PSUs for which the service-based vesting condition was satisfied on or before</w:t>
            </w:r>
          </w:p>
        </w:tc>
        <w:tc>
          <w:tcPr>
            <w:tcW w:w="2560" w:type="dxa"/>
            <w:vAlign w:val="bottom"/>
            <w:gridSpan w:val="2"/>
          </w:tcPr>
          <w:p>
            <w:pPr>
              <w:jc w:val="right"/>
              <w:ind w:right="1212"/>
              <w:spacing w:after="0"/>
              <w:rPr>
                <w:sz w:val="20"/>
                <w:szCs w:val="20"/>
                <w:color w:val="auto"/>
              </w:rPr>
            </w:pPr>
            <w:r>
              <w:rPr>
                <w:rFonts w:ascii="Times New Roman" w:cs="Times New Roman" w:eastAsia="Times New Roman" w:hAnsi="Times New Roman"/>
                <w:sz w:val="18"/>
                <w:szCs w:val="18"/>
                <w:color w:val="auto"/>
              </w:rPr>
              <w:t>, 2023 and for</w:t>
            </w:r>
          </w:p>
        </w:tc>
      </w:tr>
      <w:tr>
        <w:trPr>
          <w:trHeight w:val="168"/>
        </w:trPr>
        <w:tc>
          <w:tcPr>
            <w:tcW w:w="2660" w:type="dxa"/>
            <w:vAlign w:val="bottom"/>
            <w:tcBorders>
              <w:bottom w:val="single" w:sz="8" w:color="auto"/>
            </w:tcBorders>
          </w:tcPr>
          <w:p>
            <w:pPr>
              <w:spacing w:after="0"/>
              <w:rPr>
                <w:sz w:val="14"/>
                <w:szCs w:val="14"/>
                <w:color w:val="auto"/>
              </w:rPr>
            </w:pPr>
          </w:p>
        </w:tc>
        <w:tc>
          <w:tcPr>
            <w:tcW w:w="6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351"/>
        </w:trPr>
        <w:tc>
          <w:tcPr>
            <w:tcW w:w="2660" w:type="dxa"/>
            <w:vAlign w:val="bottom"/>
          </w:tcPr>
          <w:p>
            <w:pPr>
              <w:spacing w:after="0"/>
              <w:rPr>
                <w:sz w:val="24"/>
                <w:szCs w:val="24"/>
                <w:color w:val="auto"/>
              </w:rPr>
            </w:pPr>
          </w:p>
        </w:tc>
        <w:tc>
          <w:tcPr>
            <w:tcW w:w="6120" w:type="dxa"/>
            <w:vAlign w:val="bottom"/>
          </w:tcPr>
          <w:p>
            <w:pPr>
              <w:jc w:val="right"/>
              <w:ind w:right="2932"/>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780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27806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which the performance-based vesting condition will be satisfied in connection with this offering, which settlement will occur upon the expiration of</w:t>
      </w:r>
    </w:p>
    <w:p>
      <w:pPr>
        <w:spacing w:after="0" w:line="44" w:lineRule="exact"/>
        <w:rPr>
          <w:sz w:val="20"/>
          <w:szCs w:val="20"/>
          <w:color w:val="auto"/>
        </w:rPr>
      </w:pPr>
    </w:p>
    <w:p>
      <w:pPr>
        <w:ind w:left="620"/>
        <w:spacing w:after="0" w:line="243" w:lineRule="auto"/>
        <w:rPr>
          <w:sz w:val="20"/>
          <w:szCs w:val="20"/>
          <w:color w:val="auto"/>
        </w:rPr>
      </w:pPr>
      <w:r>
        <w:rPr>
          <w:rFonts w:ascii="Times New Roman" w:cs="Times New Roman" w:eastAsia="Times New Roman" w:hAnsi="Times New Roman"/>
          <w:sz w:val="18"/>
          <w:szCs w:val="18"/>
          <w:color w:val="auto"/>
        </w:rPr>
        <w:t>the lock-up period in connection with this offering, and (h) stock-based compensation expense of approximately $ million related to the vesting of RSUs and PSUs for which the service-based vesting condition was satisfied on or before , 2023 and for which the performance-</w:t>
      </w:r>
    </w:p>
    <w:p>
      <w:pPr>
        <w:spacing w:after="0" w:line="1"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6"/>
          <w:szCs w:val="16"/>
          <w:color w:val="auto"/>
        </w:rPr>
        <w:t>based vesting condition will be satisfied in connection with this offering, as further described in Note 10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ind w:left="620" w:hanging="428"/>
        <w:spacing w:after="0"/>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right="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of Class A common stock, the midpoint of the estimated price range set forth on the cover page of this prospectus, would increase (decrease) each of our pro forma as adjusted cash, cash</w:t>
      </w:r>
    </w:p>
    <w:p>
      <w:pPr>
        <w:spacing w:after="0" w:line="1" w:lineRule="exact"/>
        <w:rPr>
          <w:sz w:val="20"/>
          <w:szCs w:val="20"/>
          <w:color w:val="auto"/>
        </w:rPr>
      </w:pPr>
    </w:p>
    <w:p>
      <w:pPr>
        <w:jc w:val="both"/>
        <w:ind w:left="620"/>
        <w:spacing w:after="0" w:line="752" w:lineRule="auto"/>
        <w:rPr>
          <w:sz w:val="20"/>
          <w:szCs w:val="20"/>
          <w:color w:val="auto"/>
        </w:rPr>
      </w:pPr>
      <w:r>
        <w:rPr>
          <w:rFonts w:ascii="Times New Roman" w:cs="Times New Roman" w:eastAsia="Times New Roman" w:hAnsi="Times New Roman"/>
          <w:sz w:val="16"/>
          <w:szCs w:val="16"/>
          <w:color w:val="auto"/>
        </w:rPr>
        <w:t>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total stockholders’ (deficit) equity by $ million, assuming the assumed initial public offering price of $ per share of Class A common stock remains the same, and after deducting the estimated underwriting discounts and commissions.</w:t>
      </w:r>
    </w:p>
    <w:p>
      <w:pPr>
        <w:spacing w:after="0" w:line="2" w:lineRule="exact"/>
        <w:rPr>
          <w:sz w:val="20"/>
          <w:szCs w:val="20"/>
          <w:color w:val="auto"/>
        </w:rPr>
      </w:pPr>
    </w:p>
    <w:p>
      <w:pPr>
        <w:ind w:left="620" w:hanging="42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2021 and 2022, we incurred net losses of $259.2 million and $289.8 million, respectively. As of December 31, 2022, we had an accumulated deficit of $1.1 billion.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Following a reduced demand for COVID-19 testing, we stopped offering PCR diagnostic tests and generating COVID-19 testing revenue in the first quarter of 2023.</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Beginning in 2020, we offered reverse transcription polymerase chain reaction, or PCR, diagnostic tests for the qualitative detection of nucleic acid from the SARS-CoV-2 virus in nasopharyngeal swab specimens from individuals suspected of having COVID-19. Revenue from COVID-19 testing accounted for $94.7 million, or 36.7%, of our revenue in the year ended December 31, 2021 and $22.2 million, or 6.9%, of our revenue in the year ended December 31,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ended completely in the first quarter of 2023, at which time we stopped offering PCR diagnostic tests and shifted resources from COVID-19 testing to other aspects of the business.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neuropsychology, cardiology, radiology, and other indications;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 including reduced demand for our COVID-19 tests, which may result in, among other things, write-downs of inventory;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 between Russia and Ukraine),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 between Russia and Ukraine),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The actual timing of data deliveries can be based on a variety of factors, including, but not limited to, the customer’s requirements and/or our technological, operational, and human capital capacity.</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AI Applications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9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13"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32% and 46% of our revenue in the years ended December 31, 2021 and 2022,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scope and robustness of the Data and AI Applications products that we can offer our customers also depend significantly on the continued success of our Genomics product line, as the data that we collect through genomic testing is an essential component of our Data and AI Applications products. Further, we believe that growth in the use of our Data products will help drive awareness and adoption of our Genomics product line, which in turn will drive further growth within our Data and AI Applications product lines. However, there can be no assurance that we will realize these synergies.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December 31, 2022, we had only three commercialized algorithms within our AI Applications product line. Revenue generated from AI Applications is reported within our Data and other product line and was less than $1.0 million for the year ended December 31, 2021 and $1.4 million for the year ended December 31, 2022, which represents less than 1.0% of our total revenue in each period, respectively.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 only a small proportion of the diagnostics market. While we believe AI Applications represent a significant long-term opportunity for us, there can be no assurances that a robust and sustained market for such diagnostics will develop or that we will successfully compete in any such market.</w:t>
      </w:r>
    </w:p>
    <w:p>
      <w:pPr>
        <w:spacing w:after="0" w:line="263"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2022, we had developed multiple genomics diagnostics tests across oncology, infectious diseases, and neuropsychology,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2021,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w:t>
      </w:r>
    </w:p>
    <w:p>
      <w:pPr>
        <w:spacing w:after="0" w:line="297"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2022. We calculated this metric on a trailing two-quarter basis based on payor adjudication timing. However, we continued to perform our NGS tests through December 31, 2022. For the years ended December 31, 2021 and 2022, our average reimbursement for NGS tests billed to insurance in oncology was approximately $1,100 and $1,500,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29% and 28% of our clinical tests were for Medicare beneficiaries in the years 2021 and 2022,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an extremely small number of commercial payers, other large, national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4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During the fourth quarter of 2021, we began receiving favorable results on outstanding level 2 claims that were adjudicated and have received payment on a subset of these claims as a result of the appeal process. During the year ended December 31, 2022, Medicare claims represented 28% of our clinical testing volume.</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81"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Artificial intelligence is enabled by or integrated into our Platform and, as a result, our diagnostic and data products, and is therefore a significant element of our current business and our future strategy. As with many developing 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such services, or our customers may stop using our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products to pharmaceutical and biotechnology companies through our business development team.</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2022, we derived $47.9 million, or approximately 39% and 15%, of our Data product line revenue and total revenue, respectively, from three customers.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products after the license ends, and many of our contracts may be terminated or reduced in scope either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 significant portion of our current Data products sales are to customers in the life sciences industry, in particular the pharmaceutical and biotechnology industry. Demand for our Data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63"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25% and 35% of total vendor payments for the year ended December 31, 2021 and 2022, respectively. Amounts due to this supplier approximated $0.9 million and $8.2 million at December 31, 2021 and 2022,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379"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 between Russia and Ukraine), civil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88"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new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provide quality technical support and services for our Data products, we could lose customers and our business and prospects will suffer.</w:t>
      </w:r>
    </w:p>
    <w:p>
      <w:pPr>
        <w:spacing w:after="0" w:line="13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Additionally, impacts of the COVID-19 pandemic could cause unpredictable temporary or permanent fluctuations in seasonal or cyclical variations.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7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6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passed the Colorado Privacy Act, both of which differ from the CPRA and became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191"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w:t>
      </w:r>
    </w:p>
    <w:p>
      <w:pPr>
        <w:spacing w:after="0" w:line="200" w:lineRule="exact"/>
        <w:rPr>
          <w:sz w:val="20"/>
          <w:szCs w:val="20"/>
          <w:color w:val="auto"/>
        </w:rPr>
      </w:pPr>
    </w:p>
    <w:p>
      <w:pPr>
        <w:spacing w:after="0" w:line="3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artificial intelligence in analyzing data, including data in healthcare related areas;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297"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88"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85"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and want to offer for clinical testing to New York residents, and there can be no assurance that we will be able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9"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any additional inquiry since that time. 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200" w:lineRule="exact"/>
        <w:rPr>
          <w:sz w:val="20"/>
          <w:szCs w:val="20"/>
          <w:color w:val="auto"/>
        </w:rPr>
      </w:pPr>
    </w:p>
    <w:p>
      <w:pPr>
        <w:spacing w:after="0" w:line="281"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this requires the physician or hospital system ordering the diagnostic</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2"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tests and the reimbursement rates of payers;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2022, approximately 35% of the liquid biopsy tests we provide are ordered in proximity to a solid tissue-based test, and approximately 90%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37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0" w:lineRule="exact"/>
        <w:rPr>
          <w:sz w:val="20"/>
          <w:szCs w:val="20"/>
          <w:color w:val="auto"/>
        </w:rPr>
      </w:pPr>
    </w:p>
    <w:p>
      <w:pPr>
        <w:spacing w:after="0" w:line="279"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 xml:space="preserve">by USPTO administered post-grant proceedings, including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5"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w:t>
      </w:r>
    </w:p>
    <w:p>
      <w:pPr>
        <w:spacing w:after="0" w:line="15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9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and the worldwide attempts to contain it could harm our business and our results of operations have been and could continue to be adversely impacted by such pandemic.</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continues to cause or again causes severe disruption, vendors of equipment and reagents for our operations could also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reduce production or even go out of business, resulting in supply constraints for us. The COVID-19 pandemic has resulted in, and could continue to cause, increased costs or delays to production and development of our products.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 shipping and receiving blood collection kits; and any stoppages, disruptions or increased costs associated with development, production and marketing of our products. We will continue to actively monitor the issues raised by the COVID-19 pandemic and may take new or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is a member of the board of directors of Groupon, Inc., which he co-founded, and is a trustee of the Lefkofsky Family Foundation. Mr. Lefkofsky’s participation in and attention to these other endeavors may impact our business. In October 2022 ,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the public disclosure of such information could have a negative reputational impact on Mr. Lefkofsky and, indirectly as a result, on Tempus.</w:t>
      </w:r>
    </w:p>
    <w:p>
      <w:pPr>
        <w:spacing w:after="0" w:line="16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and currently serves as its interim Chief Executive Officer. Under the terms of his employment agreement with Tempus, Mr. Fukushima devotes no less than 50% of his professional activities to Tempus.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6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5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88"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 between Russia and Ukraine),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damage or disrupt international commerce and the global economy, and could have a material adverse effect on our business and results of operations. While our business and operations are currently not impacted, it is not possible to predict the broader or longer-term consequences of this crisis. Consequences of the crisis could include further sanctions, embargoes, regional instability, geopolitical shifts and adverse effects on macroeconomic conditions, security conditions, currency exchange rates and financial markets. There can be no assurance that the Russia-Ukraine crisis, including any resulting sanctions, export controls or other restrictive actions, will not have a material adverse impact on our future operations and results.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December 31, 2022, we had indebtedness of $396.1 million, comprised of $221.1 million under the convertible promissory note, or, as amended, the Amended Note, that we issued to Google LLC, or Google, and $175.0 million pursuant to a credit agreement with Ares Capital Corporation, or Ares, for a senior secured loan, or the Term Loan Facility, the principal amount of which was increased by an additional $50 million pursuant to an amendment dated April 25, 2023. Our current and future indebtedness, including the Amended Note and the Term Loan Facility may have significant negative effects on our operations, including: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 and</w:t>
      </w:r>
    </w:p>
    <w:p>
      <w:pPr>
        <w:spacing w:after="0" w:line="59"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8"/>
          <w:szCs w:val="18"/>
          <w:color w:val="auto"/>
        </w:rPr>
        <w:t>beneficially own shares representing approximately</w:t>
      </w:r>
      <w:r>
        <w:rPr>
          <w:sz w:val="20"/>
          <w:szCs w:val="20"/>
          <w:color w:val="auto"/>
        </w:rPr>
        <w:tab/>
      </w:r>
      <w:r>
        <w:rPr>
          <w:rFonts w:ascii="Times New Roman" w:cs="Times New Roman" w:eastAsia="Times New Roman" w:hAnsi="Times New Roman"/>
          <w:sz w:val="16"/>
          <w:szCs w:val="16"/>
          <w:color w:val="auto"/>
        </w:rPr>
        <w:t>% of the voting power of our outstanding capital stock following the completion of this offering. As</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35"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w:t>
      </w:r>
      <w:r>
        <w:rPr>
          <w:rFonts w:ascii="Times New Roman" w:cs="Times New Roman" w:eastAsia="Times New Roman" w:hAnsi="Times New Roman"/>
          <w:sz w:val="26"/>
          <w:szCs w:val="26"/>
          <w:color w:val="auto"/>
          <w:vertAlign w:val="superscript"/>
        </w:rPr>
        <w:t>n</w:t>
      </w:r>
      <w:r>
        <w:rPr>
          <w:rFonts w:ascii="Times New Roman" w:cs="Times New Roman" w:eastAsia="Times New Roman" w:hAnsi="Times New Roman"/>
          <w:sz w:val="18"/>
          <w:szCs w:val="18"/>
          <w:color w:val="auto"/>
        </w:rPr>
        <w:t xml:space="preserve">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9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December 31, 2022 and 12,280,543 shares of Class A common stock issuable upon the vesting and settlement of restricted stock units outstanding as of December 31, 2022. The shares of Class A common stock will become eligible for sale in the public market to the extent such options are exercised or restricted stock units vested and settled, subject to the lock-up agreements described above and compliance with applicable securities laws. We intend to register all of the shares of Class A common stock issuable upon the vesting and settlement of outstanding restricted stock units, and other equity incentives we may grant in the future, for public resale under the Securities Act.</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December 31, 2022,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per share, or $</w:t>
            </w:r>
          </w:p>
        </w:tc>
        <w:tc>
          <w:tcPr>
            <w:tcW w:w="88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per share if the underwriters exercise their option to purchase additional shares in full, representing the difference between our</w:t>
            </w:r>
          </w:p>
        </w:tc>
      </w:tr>
      <w:tr>
        <w:trPr>
          <w:trHeight w:val="21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 after giving effect to the sale of Class A common stock in this offering and the</w:t>
            </w:r>
          </w:p>
        </w:tc>
      </w:tr>
      <w:tr>
        <w:trPr>
          <w:trHeight w:val="21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assumed public offering price of $</w:t>
            </w:r>
          </w:p>
        </w:tc>
        <w:tc>
          <w:tcPr>
            <w:tcW w:w="8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 this prospectus. See the section titled</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4"/>
              </w:rPr>
              <w:t>“Dilution.”</w:t>
            </w:r>
          </w:p>
        </w:tc>
        <w:tc>
          <w:tcPr>
            <w:tcW w:w="1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93"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2020, Outlook to 2026, July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September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2020: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2020 database, 2020: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September 2018</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2019-2021, 2019</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4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2022, there was $175.0 million gross principal amount outstanding under the Term Loan Facility. As of December 31, 2022, the interest rate on the Term Loan Facility was 10.5%. The Term Loan Facility was entered into in September 2022 to provide working capital and for general corporate purposes, including to finance growth initiatives and pay for operating expenses. In April 2023, we entered into an amendment pursuant to which the aggregate principal amount of the Term Loan facility was increased by an additional $50 million.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$26.8 million in cash dividends to holders of our preferred stock in satisfaction of dividend obligations accruing pursuant to our certificate of incorporation in effect prior to this offering. As of the date of this prospectus, shares of our convertible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December 31, 2022:</w:t>
      </w:r>
    </w:p>
    <w:p>
      <w:pPr>
        <w:spacing w:after="0" w:line="121" w:lineRule="exact"/>
        <w:rPr>
          <w:sz w:val="20"/>
          <w:szCs w:val="20"/>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85"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automatic conversion of all of our outstanding shares of Series B redeemable convertible preferred stock into 5,374,899 shares of Class B common stock, which will occur upon the closing of this offering; (2) the automatic conversion of all of our</w:t>
      </w:r>
    </w:p>
    <w:tbl>
      <w:tblPr>
        <w:tblLayout w:type="fixed"/>
        <w:tblInd w:w="46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782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color w:val="auto"/>
                <w:w w:val="98"/>
              </w:rPr>
              <w:t>outstanding shares of redeemable convertible preferred stock, other than our Series B preferred stock, into</w:t>
            </w:r>
          </w:p>
        </w:tc>
        <w:tc>
          <w:tcPr>
            <w:tcW w:w="27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shares of Class A common</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assuming an initial public offering price of $</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 this</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prospectus, which will occur upon the closing of this offering, which will occur upon the closing of this offering; (3) the issuance of</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per share, the midpoint of the estimated price range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set forth on the cover page of this prospectus, which will occur upon the conversion of all outstanding shares of our redeemable convertible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8"/>
              </w:rPr>
              <w:t>preferred stock and upon the closing of this offering; (4) the automatic conversion of all of our nonvoting common stock into 4,932,415 shares of</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Class A common stock, which will occur upon the closing of this offering; (5) the issuance of</w:t>
            </w:r>
          </w:p>
        </w:tc>
        <w:tc>
          <w:tcPr>
            <w:tcW w:w="88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shares of Class A common stock upon</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settlement of RSUs for which the service-based vesting condition was satisfied on or before</w:t>
            </w: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vesting condition will be satisfied in connection with this offering, which settlement will occur upon the expiration of the lock-up period in</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 (6), the issuance of</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settlement of PSUs for which the service-based</w:t>
            </w:r>
          </w:p>
        </w:tc>
      </w:tr>
      <w:tr>
        <w:trPr>
          <w:trHeight w:val="210"/>
        </w:trPr>
        <w:tc>
          <w:tcPr>
            <w:tcW w:w="30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condition will be satisfied on or before</w:t>
            </w:r>
          </w:p>
        </w:tc>
        <w:tc>
          <w:tcPr>
            <w:tcW w:w="520" w:type="dxa"/>
            <w:vAlign w:val="bottom"/>
          </w:tcPr>
          <w:p>
            <w:pPr>
              <w:spacing w:after="0"/>
              <w:rPr>
                <w:sz w:val="18"/>
                <w:szCs w:val="18"/>
                <w:color w:val="auto"/>
              </w:rPr>
            </w:pP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2023 and for which the performance-based vesting condition will be satisfied in</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 which settlement will occur upon the expiration of the lock-up period in connection with this offering; (7) stock-</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based compensation expense of approximately $</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million related to the vesting of RSUs and PSUs for which the service-based vesting</w:t>
            </w:r>
          </w:p>
        </w:tc>
      </w:tr>
      <w:tr>
        <w:trPr>
          <w:trHeight w:val="210"/>
        </w:trPr>
        <w:tc>
          <w:tcPr>
            <w:tcW w:w="30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 was satisfied on or before</w:t>
            </w:r>
          </w:p>
        </w:tc>
        <w:tc>
          <w:tcPr>
            <w:tcW w:w="6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 2023 and for which the performance-based vesting condition will be satisfied in connection with</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8"/>
              </w:rPr>
              <w:t>this offering, as further described in Note 10 to our consolidated financial statements included elsewhere in this prospectus; and (8) the filing and</w:t>
            </w:r>
          </w:p>
        </w:tc>
      </w:tr>
      <w:tr>
        <w:trPr>
          <w:trHeight w:val="228"/>
        </w:trPr>
        <w:tc>
          <w:tcPr>
            <w:tcW w:w="300" w:type="dxa"/>
            <w:vAlign w:val="bottom"/>
          </w:tcPr>
          <w:p>
            <w:pPr>
              <w:spacing w:after="0"/>
              <w:rPr>
                <w:sz w:val="19"/>
                <w:szCs w:val="19"/>
                <w:color w:val="auto"/>
              </w:rPr>
            </w:pP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effectiveness of our amended and restated certificate of incorporation, which will occur upon the closing of this offering; and</w:t>
            </w: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As of December 31, 2022</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9"/>
                <w:szCs w:val="9"/>
                <w:color w:val="auto"/>
              </w:rPr>
            </w:pPr>
          </w:p>
        </w:tc>
        <w:tc>
          <w:tcPr>
            <w:tcW w:w="1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40" w:type="dxa"/>
            <w:vAlign w:val="bottom"/>
          </w:tcPr>
          <w:p>
            <w:pPr>
              <w:jc w:val="center"/>
              <w:ind w:right="53"/>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gridSpan w:val="8"/>
          </w:tcPr>
          <w:p>
            <w:pPr>
              <w:jc w:val="center"/>
              <w:ind w:right="1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221,094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168,452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65,441,289 shares authorized, 62,692,927</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shares issued and outstanding, actual; no shares authorized, issued and outstanding, pro forma and pro</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1,026,143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8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 shares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authorized, no shares issued and outstanding, pro forma and pro forma as adjusted</w:t>
            </w:r>
          </w:p>
        </w:tc>
        <w:tc>
          <w:tcPr>
            <w:tcW w:w="1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8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4,932,415 shares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 no shares authorized, issued and outstanding, pro forma and pro</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8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187,075,184 shares authorized; 58,367,961 shares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authorized,</w:t>
            </w:r>
          </w:p>
        </w:tc>
        <w:tc>
          <w:tcPr>
            <w:tcW w:w="2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pro forma and shares issued and outstanding, pro forma as adjusted</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8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4,932,415 shares authorized, no shares issued and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authorized,</w:t>
            </w:r>
          </w:p>
        </w:tc>
        <w:tc>
          <w:tcPr>
            <w:tcW w:w="3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and pro forma as adjusted</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(1,138,302)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Total Stockholders’ (deficit) equity:</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(1,129,027)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286,662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of Class A common stock, the midpoint of the estimated price range set forth on the cover page of this prospectus, would increase (decrease) each of our pro forma as adjusted cash, cash equivalents and restricted cash,</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4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and assuming the conversion of all outstanding shares of redeemable convertible preferred stock, other than our Series B redeemable convertible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18"/>
          <w:szCs w:val="18"/>
          <w:color w:val="auto"/>
        </w:rPr>
        <w:t>preferred stock and non-voting common stock into Class A common stock, assuming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estimated price range set forth on the cover page of this 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71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2022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2022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$221.1 million as of December 31,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 and</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r>
        <w:trPr>
          <w:trHeight w:val="354"/>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0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historical net tangible book value (deficit) as of December 31, 2022 was $(1,224.7) million, or $(19.35)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63,300,376 shares of common stock outstanding as of December 31, 2022. Our pro forma</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tangible book value as of December 31, 2022 was $ million, or $ per share. Our pro forma net tangible book value per share represents the amount of our total tangible assets less our total liabilities, divided by the number of our shares of common stock outstanding as of December 31, 2022, after giving effect to (1) the automatic conversion of all outstanding shares of our Series B redeemable preferred stock into 5,374,899 shares of Class B common stock, which will occur upon the closing of this offering; (2) the automatic conversion of all outstanding shares of our redeemable convertible preferred stock, other</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than our Series B preferred stock, into an aggregate of shares of Class A common stock, assuming an initial public offering price of $ per share, the midpoint of the estimated price range set forth on the cover page of this prospectus, which will occur upon the closing of this offering; (3) the issuance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 Additional Class A Conversion Shares, assuming an initial public offering price of $ per share, the midpoint of the estimated price range set forth on the cover page of this prospectus, which will occur upon the conversion of all outstanding shares of our redeemable convertible preferred stock and upon the closing of this offering; (4) the automatic conversion of all of our nonvoting common stock into 4,932,415 shares of Class A common stock, which</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will occur upon the closing of this offering; (5) the issuance of shares of Class A common stock upon settlement of RSUs for which the service-based vesting condition was satisfied on or before , 2023 and for which the performance-based vesting condition will be satisfied in connection with this offering, which settlement will occur upon the expiration of the lock-up period in connection with this offering; (6), the issuance of shares of Class A common stock upon settlement of PSUs for which the service-based vesting condition will be satisfied on or before , 2023 and for which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performance-based vesting condition will be satisfied in connection with this offering, which settlement will occur upon the expiration of the lock-up period in</w:t>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connection with this offering; (7) stock-based compensation expense of approximately $ million related to the vesting of RSUs and PSUs for which the service-based vesting condition was satisfied on or before , 2023 and for which the performance-based vesting condition will be satisfied in</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connection with this offering, as further described in Note 10 to our consolidated financial statements included elsewhere in this prospectus; and (8)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1"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December 31, 2022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2022</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$(19.35)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2022</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December 31, 2022,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14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8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2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60" w:type="dxa"/>
            <w:vAlign w:val="bottom"/>
          </w:tcPr>
          <w:p>
            <w:pPr>
              <w:spacing w:after="0"/>
              <w:rPr>
                <w:sz w:val="11"/>
                <w:szCs w:val="11"/>
                <w:color w:val="auto"/>
              </w:rPr>
            </w:pPr>
          </w:p>
        </w:tc>
        <w:tc>
          <w:tcPr>
            <w:tcW w:w="680" w:type="dxa"/>
            <w:vAlign w:val="bottom"/>
            <w:tcBorders>
              <w:top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4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CCEEFF"/>
            </w:tcBorders>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(assuming the conversion of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shares of redeemable convertible preferred stock, other than our Series B redeemable convertible preferred stock and non-voting common stock into</w:t>
      </w:r>
    </w:p>
    <w:p>
      <w:pPr>
        <w:spacing w:after="0" w:line="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71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2022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2022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$221.1 million as of December 31,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 and</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r>
        <w:trPr>
          <w:trHeight w:val="354"/>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December 31, 2022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$257.9 million and $320.7 million in the years ended December 31, 2021 and 2022, respectively. In the years ended December 31, 2021 and 2022, revenue from one customer accounted for 7.2% and 8.3% of our total revenues, respectively. We also incurred net losses of $259.2 million and $289.8 million in the years ended December 31, 2021 and 2022, respectively.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data through our Genomics product line and commercializing de-identified copies of such data through partnerships with our pharmaceutical customers to aid their drug discovery and development efforts.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Although we are only seven years old, the network effects described above have already been demonstrated with the cohort of records that were added to our database from 2018 to 2022. 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In 2018, the first full year that we operated a laboratory, we sequenced samples from approximately 7,500 patients. From that 2018 cohort of sequenced patients, through December 31, 2022, we generated $59.3 million of combined revenue from sequencing, data licensing of de-identified data derived from those records, and clinical trials matching, which is approximately 6.6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December 31, 2022, the 2018 “Cohort Lifetime Value” for this cohort was $41.9 million. We maintained similar trends for the 2019, 2020, 2021 and 2022 cohorts. As of December 31, 2022, the 2019 “Cohort Lifetime Value” was $48.2 million, the 2020 “Cohort Lifetime Value” was $44.4 million, the 2021 “Cohort Lifetime Value” was $48.8 million, and the 2022 “Cohort Lifetime Value” was $58.0 million.</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2022,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6019165" cy="636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19165" cy="6369050"/>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139"/>
          </w:cols>
          <w:pgMar w:left="320" w:top="448" w:right="1440"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5043805" cy="43853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43805" cy="438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revenue was $195.0 million and $198.0 million for the years ended December 31, 2021 and 2022, respectively. COVID-19 PCR testing accounted for $94.7 million and $22.2 million of revenue for the years ended December 31, 2021 and 2022, respectively.</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Oncology NGS tests delivered for the years ended December 31, 2019, 2020, 2021 and 2022 were approximately 24,300, 44,700, 69,200 and 100,100,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Trials.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or upon the completion of performance obligations for related services.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revenue was $62.8 million and $122.7 million for the years ended December 31, 2021 and 2022, respectively. Our Data revenue is typically back-weighted towards the second half of the year based on the budgeting cycles of our customers.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newest product line, AI Applications, is focused on developing and providing diagnostics that are algorithmic in nature, implementing new software as a medical device, and building and deploying clinical decision support tools. The primary application of AI Applications currently is Algos, which are clinical tests that can be run without chemistry or biology; they are simply 0’s and 1’s running on digitized data derived from a laboratory test. Algos leverage AI-driven insights to produce clinically validated and actionable information for physicians.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three algorithmic tests in oncology: our Tumor Origin, TO, test, our Homologous Recombination Deficiency, HRD, test, and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Other product line. Beginning January 1, 2023, these three Algos are no longer being billed as individual tests as there is now a dedicated CPT code associated with the underlying laboratory diagnostic. Instead, we submit claims for the diagnostic, and revenues associated with those claims will be reported in our Genomics product line.</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21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August 2022, we entered into an MSA with GlaxoSmithKline, or GSK. Under the MSA,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MSA, of which $70 million was paid upon execution. The term of the MSA will continue through December 31, 2025, unless terminated sooner. An additional commitment of up to $120 million may be triggered at GSK’s election for the years 2026 and 2027.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restricted stock units with an aggregate value of $4.0 million to be allocated among Highline employees retained by us. The retention bonus pool will be recorded as compensation expense over the requisite service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$61.2 million and $83.2 million during the years ended December 31, 2021 and 2022, respectively. Our ability to develop new products, obtain regulatory approvals when required, launch them into the market, and drive adoption of these products by our customers will continue to play a key role in our results.</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5,000 physicians and 40 pharmaceutical and biotechnology customers licensing data through our Insights product, including 18 of the 20 largest public pharmaceutical companies based on 2022 revenue. Our financial performance relies heavily on our ability to add customers to our Platform and expand the relationships with our current customers through adoption of our new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$67.2 million and $79.1 million during the years ended December 31, 2021 and 2022,</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45% of our clinical oncology NGS tests across all payors performed from January 1, 2020 through June 30, 2022. We calculated this metric on a trailing two-quarter basis based on payor adjudication timing. However, we continued to perform our NGS tests through December 31, 2022. For the years ended December 31, 2021 and 2022, our average reimbursement for NGS tests billed to insurance in oncology was approximately $1,100 and $1,500,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$94.7 million and $22.2 million of revenue for the years ended December 31, 2021 and 2022, respectively.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We stopped offering PCR diagnostic tests and generating COVID-19 testing revenue in the first quarter of 2023, at which time we shifted resources from COVID-19 testing to other aspects of the business.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Other.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Other primarily includes revenue from de-identified data generated through our Genomics product line to our pharmaceutical and biotechnology partners for use in their drug development efforts. These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Other is as a percentage of Data and Other revenue. As revenue shifts between these product lines, total cost of revenue as a percentage of revenue will be impacted. Our total cost of revenues will also increase in the quarter in which this offering occurs due to stock-</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capital leases. In 2020, we recorded a loss on extinguishment of debt relating to the conversion of convertible debt into Series G-2 preferred shares. Interest expense related to our convertible debt will continue, but should decrease over time as the principal amount decreases.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and any changes in fair value related to our warrant liability. The Company issued a warrant to its customer AstraZeneca in conjunction with the signing of the November 2021 MSA. The fair value of the warrant liability is measured each reporting period.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jc w:val="right"/>
              <w:ind w:right="45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197,984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122,684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150,255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233,377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2022</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$257.9 million for the year ended December 31, 2021 compared to $320.7 million for the year ended December 31, 2022, an increase of $62.8 million, or 24.4%. Adjusted for the impact of COVID-19 PCR testing, revenue increased $135.4 million, or 83.0%, from $163.1 million for the year ended December 31, 2021, compared to $298.5 million for the year ended December 31, 2022. The increase in revenue is due to increased volume and reimbursement of clinical oncology tests performed in Genomics and increased data deliveries in our Data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Genomics revenue increased $3.0 million, or 1.5%, from $195.0 million for the year ended December 31, 2021, compared to $198.0 million for the year ended December 31, 2022. Revenue from COVID-19 PCR testing decreased $72.6 million. This decrease was offset by a $75.5 million increase in Genomics revenue primarily due to an increase in the number of next generation sequencing tests delivered in oncology, which increased from approximiately 69,200 tests for the year ended December 31, 2021 to approximately 100,100 tests in the year ended December 31, 2022. Additionally, there was an increase in average revenue per next generation sequencing oncology test, which increased from approximately $1,100 per test for the year ended December 31, 2021 to approximately $1,500 per test for the year ended December 31, 2022. The increase in average revenue per test was driven by increased Medicare reimbursement rates. The increase in Genomics revenue was offset by a $5.2 million revenue reserve recorded for risks of future reversal of consideration associated with certain government payors.</w:t>
      </w:r>
    </w:p>
    <w:p>
      <w:pPr>
        <w:spacing w:after="0" w:line="2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Other increased $59.8 million, or 95.2%, from $62.8 million for the year ended December 31, 2021, compared to $122.7 million for the year ended December 31, 2022. This increase is driven primarily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$19.8 million in clinical trial services revenue from the acquisition of Highline, and approximately $34.1 million from increased demand for our Insights products. Across all Data and Other products, the increase in revenue in 2022 is primarily attributable to continued growth from within our existing customer base, as well continued adoption of our services by new customers that did not purchase services in 2021.</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$174.2 million for the year ended December 31, 2021 compared to $190.5 million for the year ended December 31, 2022, an increase of $16.3 million, or 9.3%. Adjusted for the impact of COVID-19 PCR testing, cost of revenue increased $62.9 million, or 58.0%, from $108.5 million for the year ended December 31, 2021, compared to $171.5 million for the year ended December 31, 2022. This increase was primarily due to an increase of $25.0 million in personnel costs, $22.4 million of material and service costs, and $3.4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Genomics was $162.3 million for the year ended December 31, 2021, compared to $150.3 million for the year ended December 31, 2022, a decrease of $12.0 million, or 7.4%. The decrease was primarily due to a $46.7 million decrease in Cost of revenues, Genomics associated with COVID-19 PCR testing, as a result of efficiencies gained from streamlining our testing process since its inception in the third quarter of 2020. This decrease was partially offset by a $19.7 million increase in material and service costs and a $6.2 million increase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Other was $11.9 million for the year ended December 31, 2021 compared to $40.2 million for the year ended December 31, 2022, an increase of $28.3 million, or 237.1%. This increase was primarily due to an increase of $18.8 million in personnel costs and an increase of $3.4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were $61.2 million for the year ended December 31, 2021 compared to $83.2 million for the year ended December 31, 2022, an increase of $22.0 million, or 36.0%. This increase was primarily due to a $12.6 million increase in personnel-related costs for employees in our research and development group and a $4.6 million increase in cloud expenses related to research and development, as we increased our spend and headcount to support continued investment in our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$67.2 million for the year ended December 31, 2021 compared to $79.1 million for the year ended December 31, 2022, an increase of $11.9 million, or 17.7%.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Selling, general and administrative expenses were $199.0 million for the year ended December 31, 2021 compared to $233.4 million for the year ended December 31, 2022, an increase of $34.4 million, or 17.3%. This increase was primarily due to an increase of $30.3 million in personnel-related costs.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$0.6 million for the year ended December 31, 2021 compared to $3.0 million for the year ended December 31, 2022, an increase of $2.4 million, or 386.7%.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$15.2 million for the year ended December 31, 2021 compared to $21.9 million for the year ended December 31, 2022, an increase of $6.7 million, or 44.2%.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other expense was $0.3 million compared to other expense of $4.8 million for the year ended December 31, 2022, an increase of $4.5 million, or 1433.5%. This increase was primarily driven by fair value adjustments related to our warrant liability.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$0.6 million for the years ended December 31, 2021 and 2022. Losses from equity method investments consist of earnings from our joint venture into which we entered during the third quarter of 2020.</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December 31, 2022.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200" w:type="dxa"/>
            <w:vAlign w:val="bottom"/>
          </w:tcPr>
          <w:p>
            <w:pPr>
              <w:spacing w:after="0"/>
              <w:rPr>
                <w:sz w:val="9"/>
                <w:szCs w:val="9"/>
                <w:color w:val="auto"/>
              </w:rPr>
            </w:pPr>
          </w:p>
        </w:tc>
        <w:tc>
          <w:tcPr>
            <w:tcW w:w="840" w:type="dxa"/>
            <w:vAlign w:val="bottom"/>
            <w:gridSpan w:val="3"/>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94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4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70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76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200" w:type="dxa"/>
            <w:vAlign w:val="bottom"/>
          </w:tcPr>
          <w:p>
            <w:pPr>
              <w:spacing w:after="0"/>
              <w:rPr>
                <w:sz w:val="9"/>
                <w:szCs w:val="9"/>
                <w:color w:val="auto"/>
              </w:rPr>
            </w:pPr>
          </w:p>
        </w:tc>
        <w:tc>
          <w:tcPr>
            <w:tcW w:w="7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jc w:val="right"/>
              <w:ind w:right="560"/>
              <w:spacing w:after="0" w:line="125"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Genomics</w:t>
            </w:r>
            <w:r>
              <w:rPr>
                <w:rFonts w:ascii="Times New Roman" w:cs="Times New Roman" w:eastAsia="Times New Roman" w:hAnsi="Times New Roman"/>
                <w:sz w:val="24"/>
                <w:szCs w:val="24"/>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59,830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$ 53,070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41,614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40,498</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$ 37,902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54,732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30,840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42,697</w:t>
            </w:r>
          </w:p>
        </w:tc>
        <w:tc>
          <w:tcPr>
            <w:tcW w:w="0" w:type="dxa"/>
            <w:vAlign w:val="bottom"/>
          </w:tcPr>
          <w:p>
            <w:pPr>
              <w:spacing w:after="0"/>
              <w:rPr>
                <w:sz w:val="1"/>
                <w:szCs w:val="1"/>
                <w:color w:val="auto"/>
              </w:rPr>
            </w:pPr>
          </w:p>
        </w:tc>
      </w:tr>
      <w:tr>
        <w:trPr>
          <w:trHeight w:val="216"/>
        </w:trPr>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$ 61,985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73,310</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$ 60,752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Cost of revenues, genomics</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58,152</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31,780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32,993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39,084</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35,402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3,985</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10,724</w:t>
            </w: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(61,434)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(62,874)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(64,607)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(54,796)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(77,092)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(66,557)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(58,615)</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(65,020)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(66,849)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(68,342)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(58,981)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(81,290)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(73,691)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(66,285)</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242" w:lineRule="exact"/>
              <w:rPr>
                <w:sz w:val="20"/>
                <w:szCs w:val="20"/>
                <w:color w:val="auto"/>
              </w:rPr>
            </w:pP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Revenue and cost of revenue from COVID-19 testing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28"/>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genomics</w:t>
            </w: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36,095</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5,329</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20" w:hanging="215"/>
        <w:spacing w:after="0" w:line="267" w:lineRule="auto"/>
        <w:tabs>
          <w:tab w:leader="none" w:pos="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the Company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other revenue has historically experienced fluctuations due to seasonality driven by the procurement and budgeting cycles of many of our customers. As a result, the majority of data deliveries in 2021 occurred in the fourth quarter. Beginning in 2022, our Data and other revenue has been recognized more evenly throughout the year, largely as the result of signing strategic collaborations which contain more over time revenue recognition.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2022, we had an accumulated deficit of $1.1 billion.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funded our operations to date principally from the sale of stock, convertible debt, term debt, and sales of our products. As of December 31, 2022, we had cash, cash equivalents and restricted cash of $303.7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a multi-year strategic collaboration with GlaxoSmithKline, or GSK, under which GSK has committed to spend a minimum of $180 million, of which $70 million was paid upon execution.</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and anticipated cash flows from operations will be sufficient to meet our anticipated cash requirements for more than twelve months from the date of this prospectus. We plan to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completed after June 30, 2023, 85% of the public offering price in this offering). Based on an assumed initial public offering price of $ per share, which is the midpoint of the estimated price range set forth on the cover page of this prospectus, all of the shares of Series G-3 preferred stock will convert into an</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aggregate of shares of our Class A common stock in connection with this offering. Each $1.00 increase or decrease in the assumed initial public offering price of $ per share, which is the midpoint of the estimated price range set forth on the cover page of this prospectus, would increase or decrease,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the number of shares of Class A common stock into which all shares of Series G-3 preferred stock would convert in connection with this offering by</w:t>
      </w:r>
    </w:p>
    <w:p>
      <w:pPr>
        <w:spacing w:after="0" w:line="37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shares. In addition, in connection with the Series G-3</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468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50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we agreed to issue to a stockholder a contingent payment of up to $</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w:t>
            </w:r>
          </w:p>
        </w:tc>
      </w:tr>
      <w:tr>
        <w:trPr>
          <w:trHeight w:val="22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8"/>
              </w:rPr>
              <w:t>offering price of $</w:t>
            </w:r>
          </w:p>
        </w:tc>
        <w:tc>
          <w:tcPr>
            <w:tcW w:w="10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which is the midpoint of the estimated price range set forth on the cover page of this prospectus, which payment may be made</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cash or shares of Class A common stock, upon mutual agreement of us and the stockholder.</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or Ares, for a senior secured loan, or Term Loan Facility, in the amount of $175 million, less original issue discount of $4.4 million and deferred financing fees of $2.6 million. On April 25, 2023, the Company entered into an amendment to the Credit Agreement, which increased the aggregate principal amount of the Term Loan Facility by an additional $50 million, less debt issuance costs of $1.3 million, and increased the interest rate on the Term Loan Facility by 25 basis points. Following the amendment, interest on the Term Loan Facility is payable as follows: (i) for any interest period for which the Company elects to pay interest in cash, the cash interest rate for Base Rate and Term SOFR borrowings will be the Base Rate plus 6.25% and Term SOFR plus 7.25%, respectively, and (ii) for any interest period for which the Company elects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the Company and secured by substantially all of the assets of the Company. We have the right at any time and from time to time to prepay any Term Loan Facility in whole or in part.</w:t>
      </w:r>
    </w:p>
    <w:p>
      <w:pPr>
        <w:spacing w:after="0" w:line="19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the Company is required to generate consolidated revenues of $342.7 million and $459.1 million, respectively. The Company was in compliance with the covenants of the Credit Agreement as of December 31, 2022.</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3"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Amount, except that we may, at our option, prepay the Outstanding Amount in an amount such that the principal amount remaining outstanding after such repayment is $150.0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5080</wp:posOffset>
            </wp:positionV>
            <wp:extent cx="12172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56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-3810</wp:posOffset>
            </wp:positionV>
            <wp:extent cx="12172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840"/>
        <w:spacing w:after="0" w:line="225"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9"/>
              </w:rPr>
              <w:t>(211,984)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(168,204)</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(21,724)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(57,939)</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251,391</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 depreciation and amortization and a $5.2 million change in fair value of contingent consideration. The net change 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of $5.6 million, payment of contingent consideration of $3.4 million, and payment of deferred offering costs of $1.1 million.</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 1</w:t>
            </w: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54,277</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16,785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13,408</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 obligations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105,749</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30,480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58,960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16,309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Loan Facility</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175,000</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175,000</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260,579</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260,579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595,899</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39,534</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75,745</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465,296</w:t>
            </w:r>
          </w:p>
        </w:tc>
        <w:tc>
          <w:tcPr>
            <w:tcW w:w="3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$39,485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92" w:lineRule="exact"/>
        <w:rPr>
          <w:sz w:val="20"/>
          <w:szCs w:val="20"/>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4"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Beginning in the second quarter of 2022, in response to volatile market conditions and the resulting uncertainty around the timing of a liquidity event, we changed our valuation methodology back to an OPM.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tabs>
          <w:tab w:leader="none" w:pos="6120" w:val="left"/>
        </w:tabs>
        <w:rPr>
          <w:sz w:val="20"/>
          <w:szCs w:val="20"/>
          <w:color w:val="auto"/>
        </w:rPr>
      </w:pPr>
      <w:r>
        <w:rPr>
          <w:rFonts w:ascii="Times New Roman" w:cs="Times New Roman" w:eastAsia="Times New Roman" w:hAnsi="Times New Roman"/>
          <w:sz w:val="18"/>
          <w:szCs w:val="18"/>
          <w:color w:val="auto"/>
        </w:rPr>
        <w:t>In connection with this offering, we expect to incur approximately $</w:t>
      </w:r>
      <w:r>
        <w:rPr>
          <w:sz w:val="20"/>
          <w:szCs w:val="20"/>
          <w:color w:val="auto"/>
        </w:rPr>
        <w:tab/>
      </w:r>
      <w:r>
        <w:rPr>
          <w:rFonts w:ascii="Times New Roman" w:cs="Times New Roman" w:eastAsia="Times New Roman" w:hAnsi="Times New Roman"/>
          <w:sz w:val="16"/>
          <w:szCs w:val="16"/>
          <w:color w:val="auto"/>
        </w:rPr>
        <w:t>million of stock-based compensation expense related to RSUs and PSUs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granted through December 31, 2022, for which the service-based vesting condition was satisfied and for which the performance-based vesting condition will be</w:t>
      </w:r>
    </w:p>
    <w:p>
      <w:pPr>
        <w:spacing w:after="0" w:line="26"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2023, we expect to recognize approximately</w:t>
      </w:r>
    </w:p>
    <w:p>
      <w:pPr>
        <w:spacing w:after="0" w:line="3" w:lineRule="exact"/>
        <w:rPr>
          <w:sz w:val="20"/>
          <w:szCs w:val="20"/>
          <w:color w:val="auto"/>
        </w:rPr>
      </w:pPr>
    </w:p>
    <w:p>
      <w:pPr>
        <w:ind w:left="660" w:hanging="655"/>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2022, we had cash, cash equivalents and restricted cash of $303.7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2022,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2022,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diseases, including neuropsychology, infectious disease,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300 unique data connections, many of which supply us with complex multimodal data in near real time, across over 1,850 healthcare institutions that order our products and services. Healthcare institutions supply us with this data in our capacity as a covered entity (for example, when we provide Next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w:t>
      </w:r>
      <w:r>
        <w:rPr>
          <w:rFonts w:ascii="Times New Roman" w:cs="Times New Roman" w:eastAsia="Times New Roman" w:hAnsi="Times New Roman"/>
          <w:sz w:val="16"/>
          <w:szCs w:val="16"/>
          <w:color w:val="auto"/>
        </w:rPr>
        <w:t>.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130810</wp:posOffset>
            </wp:positionV>
            <wp:extent cx="7002780" cy="28676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cs="Times New Roman" w:eastAsia="Times New Roman" w:hAnsi="Times New Roman"/>
          <w:sz w:val="16"/>
          <w:szCs w:val="16"/>
          <w:i w:val="1"/>
          <w:iCs w:val="1"/>
          <w:color w:val="auto"/>
        </w:rPr>
        <w:t>Trials</w:t>
      </w:r>
      <w:r>
        <w:rPr>
          <w:rFonts w:ascii="Times New Roman" w:cs="Times New Roman" w:eastAsia="Times New Roman" w:hAnsi="Times New Roman"/>
          <w:sz w:val="16"/>
          <w:szCs w:val="16"/>
          <w:color w:val="auto"/>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cs="Times New Roman" w:eastAsia="Times New Roman" w:hAnsi="Times New Roman"/>
          <w:sz w:val="16"/>
          <w:szCs w:val="16"/>
          <w:i w:val="1"/>
          <w:iCs w:val="1"/>
          <w:color w:val="auto"/>
        </w:rPr>
        <w:t xml:space="preserve">AI Applications, </w:t>
      </w:r>
      <w:r>
        <w:rPr>
          <w:rFonts w:ascii="Times New Roman" w:cs="Times New Roman" w:eastAsia="Times New Roman" w:hAnsi="Times New Roman"/>
          <w:sz w:val="16"/>
          <w:szCs w:val="16"/>
          <w:color w:val="auto"/>
        </w:rPr>
        <w:t>is currently focused on developing and providing diagnostics that are algorithmic in nature, which we refer to as “Algos,” and digital pathology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radiomic imaging analyses. We currently offer three Algos in oncology and are also developing Algos in other disease areas.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5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4951730" cy="31261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1730"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5001895" cy="3168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01895"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4951730" cy="2834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1730" cy="283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40%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Ingesting data through our relationships and partnerships with healthcare providers. </w:t>
      </w:r>
      <w:r>
        <w:rPr>
          <w:rFonts w:ascii="Times New Roman" w:cs="Times New Roman" w:eastAsia="Times New Roman" w:hAnsi="Times New Roman"/>
          <w:sz w:val="16"/>
          <w:szCs w:val="16"/>
          <w:color w:val="auto"/>
        </w:rPr>
        <w:t>We have developed proprietary tools to establish more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300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74" w:lineRule="exact"/>
        <w:rPr>
          <w:sz w:val="20"/>
          <w:szCs w:val="20"/>
          <w:color w:val="auto"/>
        </w:rPr>
      </w:pPr>
    </w:p>
    <w:p>
      <w:pPr>
        <w:jc w:val="both"/>
        <w:ind w:left="460" w:firstLine="435"/>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47" w:lineRule="auto"/>
        <w:rPr>
          <w:sz w:val="20"/>
          <w:szCs w:val="20"/>
          <w:color w:val="auto"/>
        </w:rPr>
      </w:pPr>
      <w:r>
        <w:rPr>
          <w:rFonts w:ascii="Times New Roman" w:cs="Times New Roman" w:eastAsia="Times New Roman" w:hAnsi="Times New Roman"/>
          <w:sz w:val="18"/>
          <w:szCs w:val="18"/>
          <w:color w:val="auto"/>
        </w:rPr>
        <w:t>and distribute the oncology data ASCO collects as part of CancerLinq, which is their oncology data effort. 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are working with a large hospital network to train algorithmic models based on a de-identified subset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87"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Once data is ingested, we apply AI and other technologies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of multi-modal de-identified records that is approximately 28 times the size of The Cancer Genome Atlas, which we believe to be the largest public genomic dataset in oncology, based on the number of data points collected. This represents what we consider to be one of the largest matched molecular libraries of cancer patients in the world. Our Platform, across all diseases, has ingested over 700 million documents and contains more than 6.0 million de-identified patient records, including over 1,000,000 with imaging data, more than 660,000 with matched clinical records linked with genomic information, and over 125,000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70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152400</wp:posOffset>
            </wp:positionV>
            <wp:extent cx="7002780" cy="3759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2022,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100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applications (like Hub) and certain features of other applications (like Lens). However, in some cases we may charge for access to Lens when a customer is interested in some form of customization or access to Lens’ full suite of capabilities.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6193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139"/>
          </w:cols>
          <w:pgMar w:left="320" w:top="448"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139"/>
          </w:cols>
          <w:pgMar w:left="320" w:top="44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w:t>
      </w:r>
    </w:p>
    <w:p>
      <w:pPr>
        <w:sectPr>
          <w:pgSz w:w="11900" w:h="16838" w:orient="portrait"/>
          <w:cols w:equalWidth="0" w:num="1">
            <w:col w:w="11340"/>
          </w:cols>
          <w:pgMar w:left="320" w:top="448" w:right="239" w:bottom="897"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1340"/>
          </w:cols>
          <w:pgMar w:left="320" w:top="448" w:right="239" w:bottom="897"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37350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139"/>
          </w:cols>
          <w:pgMar w:left="320" w:top="448"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350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Google Cloud Agreement</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help advance elements of our product roadmap.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product line monetizes de-identified data that we collect and facilitates enrollment in clinical trials. Our AI Applications product line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001895" cy="26009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01895" cy="260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other types of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135890</wp:posOffset>
            </wp:positionV>
            <wp:extent cx="5043805" cy="3543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43805" cy="354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 Offered with full transcriptomic profiling assay at 50 million paired end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reads, which as of January 2023 is offered as a separate test</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 Submitted pre-market approval, or PMA, to the FDA in March 2021 for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variation (xT-Onco) based in substantial part on a recent version of the xT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assay</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currently validating xM, a high coverage methylation sequencing assay for monitoring for cancer recurrence and minimal residual disease. We also currently offer the following three algorithmic tests in oncology as compliments to our NGS assays. As of January 1, 2023, these algorithms are run based on transcriptomic results from our assays when separately ordered by a physician.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 For the year ended December 31, 2021 ordered on approximately 7%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6"/>
              </w:rPr>
              <w:t>Launch Year</w:t>
            </w:r>
          </w:p>
        </w:tc>
        <w:tc>
          <w:tcPr>
            <w:tcW w:w="6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 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320" w:top="448"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215,000 samples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145415</wp:posOffset>
            </wp:positionV>
            <wp:extent cx="5068570" cy="30092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68570"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9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97"/>
              </w:rPr>
              <w:t>   Covers 13 validated genes and approximately 90 variants (e.g., CYP2D6)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 Run off whole exome platform at 50x depth of coverage, with an average depth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coverage of approximately 1050x for clinically reported variants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approximately 90 pharmacogenetic variants and cover the exonic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regions of approximately 20,000 genes at an average coverage of 50X, with an 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depth of coverage of approximately 1050x for clinically reported variants</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December 31, 2022. We entered into clinical testing agreements with various clients, including pharmacies, urgent care centers, state departments of health, primary care providers, universities and schools, and corporate clients.</w:t>
      </w:r>
    </w:p>
    <w:p>
      <w:pPr>
        <w:spacing w:after="0" w:line="184"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As COVID-19 testing has materially decreased in the United States in light of the broadly distributed vaccines and changes in CDC guidance as to whom should be tested, we have shifted resources away from COVID-19 testing and stopped offering PCR diagnostic tests and generating COVID-19 testing revenue in the first quarter of 2023. As such, we are focusing our efforts on other infectious diseases areas and on broader respiratory pathogen testing.</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pharmaceutical and biotechnology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December 31, 2022, we have signed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3"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contracts with a Remaining TCV of greater than $800.0 million. We expect to deliver a majority of this contract value over the next several years.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GlaxoSmithKline, which, although listed under the Data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18 of the 20 largest public pharmaceutical companies based on 2022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2022, Net Revenue Retention was approximately 130% compared to the same cohort of customers for the period ended December 31, 2021.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2429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$11.9 million and $40.2 million for the years ended December 31, 2021 and 2022, respectively. These costs represent 19.2% and 32.8% of data and other revenue for the years ended December 31, 2021 and 2022, respectively.</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2022, we generated $59.3 million of combined revenue from sequencing, data licensing of de-identified data derived from those records, analytical services, and clinical trials matching, which is approximately 6.6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December 31, 2022, the 2018 “Cohort Lifetime Value” for this cohort was $41.9 million. We maintained similar trends for the 2019, 2020, 2021, and 2022 cohorts. As of December 31, 2022, the 2019 “Cohort Lifetime Value” was $48.2 million, the 2020 “Cohort Lifetime Value” was $44.4 million, the 2021 “Cohort Lifetime Value” was $48.8 million, and the 2022 “Cohort Lifetime Value” was $58.0 million in its first year of existence.</w:t>
      </w: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2019, 2020, 2021, and 2022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6019165" cy="41852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1916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205105</wp:posOffset>
            </wp:positionV>
            <wp:extent cx="5043805" cy="65690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43805" cy="656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139"/>
          </w:cols>
          <w:pgMar w:left="320" w:top="44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Trials is our second offering within our Data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December 31, 2022, more than 200 provider networks and research institutions have signed up to join the program. As of December 31, 2022, approximately 2,800 oncologists were fully enrolled, more than 200 clinical trials were signed into the network, and more than 19,000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152400</wp:posOffset>
            </wp:positionV>
            <wp:extent cx="5001895" cy="3059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0189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10 days on average in 2022.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125095</wp:posOffset>
            </wp:positionV>
            <wp:extent cx="4951730" cy="264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730"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over 2,500 tumor samples to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vastness of our dataset creates an opportunity to use data to algorithmically diagnose and treat patients. Our newest product line, AI Applications, is focused developing and providing diagnostics that are algorithmic in nature, implementing new software as a medical device, and building and deploying clinical decision support tools. We use data the same way legacy diagnostic companies use chemistry in the battle against disease, seeking to improve patient care by learning from all the patients who have come before, and tailoring test results based on each patient’s unique profile. The primary product of AI Applications is currently “Algos,” which are clinical tests that can be run without chemistry or biology; they are simply 0’s and 1’s running on digitized data derived from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Currently, we have three commercialized Algos in oncology, and more in various stages of development.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 Through December 31, 2022, our three oncology Algos were ordered and separately billed approximately 20,000 times and generated approximately $100 per test on average.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7" w:lineRule="exact"/>
        <w:rPr>
          <w:sz w:val="20"/>
          <w:szCs w:val="20"/>
          <w:color w:val="auto"/>
        </w:rPr>
      </w:pPr>
    </w:p>
    <w:p>
      <w:pPr>
        <w:jc w:val="both"/>
        <w:ind w:firstLine="454"/>
        <w:spacing w:after="0" w:line="230" w:lineRule="auto"/>
        <w:rPr>
          <w:sz w:val="20"/>
          <w:szCs w:val="20"/>
          <w:color w:val="auto"/>
        </w:rPr>
      </w:pPr>
      <w:r>
        <w:rPr>
          <w:rFonts w:ascii="Times New Roman" w:cs="Times New Roman" w:eastAsia="Times New Roman" w:hAnsi="Times New Roman"/>
          <w:sz w:val="18"/>
          <w:szCs w:val="18"/>
          <w:color w:val="auto"/>
        </w:rPr>
        <w:t>Our first cardiology products in development are a suite of algorithms that assess an individual’s risk of undiagnosed disease from an ECG, which are trained using a de-identified subset from approximately 3.2 million ECGs, across approximately 600,000 patients, with decades of longitudinal clinical data, including outcome and response data. The FDA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5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82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Cardiology</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 We have developed an algorithm designed to predict AFib from a normal ECG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expected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populations.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launch</w:t>
            </w:r>
          </w:p>
        </w:tc>
        <w:tc>
          <w:tcPr>
            <w:tcW w:w="340" w:type="dxa"/>
            <w:vAlign w:val="bottom"/>
          </w:tcPr>
          <w:p>
            <w:pPr>
              <w:spacing w:after="0"/>
              <w:rPr>
                <w:sz w:val="19"/>
                <w:szCs w:val="1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 About 3.5% of patients who receive ECGs appear not to have AFib but will develop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AFib, acute coronary syndrome, or similar condition within one year. This Algo 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designed to predict major cardiac trauma and stroke risk from these normal ECG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 The Tempus AFib test received FDA breakthrough designation in March 2021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40 years of age and older, without pre-existing or concurrent AFib or atrial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flutter, and who are at elevated risk of stroke based on a commonly used clinical</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 We are also advancing Algos that are designed to predict aortic stenosis, and we 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working on other disease areas within cardiology, such as low ejection fraction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familial hypercholesterolemia.</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work in cardiology has been accelerated by a strategic collaboration with a multidisciplinary cardiovascular research team at Geisinger that leverages 25 years of valuable EHR data. We hold a perpetual, royalty-bearing license from Geisinger on the previously mentioned longitudinal data.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radiology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multi-year subscription; (iii) performing sequencing services for clinical trials on a bespoke basis or as part of a companion diagnostic, or CDx, claim;</w:t>
      </w:r>
    </w:p>
    <w:p>
      <w:pPr>
        <w:spacing w:after="0" w:line="21" w:lineRule="exact"/>
        <w:rPr>
          <w:sz w:val="20"/>
          <w:szCs w:val="20"/>
          <w:color w:val="auto"/>
        </w:rPr>
      </w:pPr>
    </w:p>
    <w:p>
      <w:pPr>
        <w:ind w:firstLine="5"/>
        <w:spacing w:after="0" w:line="247" w:lineRule="auto"/>
        <w:tabs>
          <w:tab w:leader="none" w:pos="3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6"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10 days on average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3805" cy="900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849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At present, we offer three main assays in cancer, including solid tumor profiling, liquid biopsy, and inherited cancer risk screening, and expect to commercialize our fourth assay for cancer recurrence monitoring and measuring minimal residual disease in 2023.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a high coverage methylation sequencing for minimal residual disease in cancer, an approach that other companies have used in early detection and disease monitoring.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129540</wp:posOffset>
            </wp:positionV>
            <wp:extent cx="7002780" cy="3701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0278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2023.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w:t>
      </w:r>
    </w:p>
    <w:p>
      <w:pPr>
        <w:spacing w:after="0" w:line="92" w:lineRule="exact"/>
        <w:rPr>
          <w:sz w:val="20"/>
          <w:szCs w:val="20"/>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$38 billion spend in 2020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$46 billion spend in 2021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2,000 employees, including hundreds with diverse expertise in genetics, molecular and computational biology, bioinformatics, regulatory affairs, medical, product and engineering, and data science. Roughly one-third of our team is technical, with approximately 200 PhDs and MDs on staff. In addition, as a testament to our balanced workforce, we have roughly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300 direct data connections, many of which supply us with data in near real time, across over 1,850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of multi-modal, de-identified records that is approximately 70 Petabytes in size and is approximately 28 times the size of The Cancer Genome Atlas, the largest public genomic dataset that we know of in oncology. We have also extended our Platform into neuropsychology, infectious disease, and cardiology. We believe each of the elements of our Platform is difficult for others to replicate.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currently offer three algorithmic tests in oncology, our TO test, our HRD test, and our DPYD test, and have ongoing development efforts in other disease areas, such as cardiology with our recent Afib algorithm that was awarded breakthrough designation by the FDA.</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300 direct unique data connections, many of which supply us with complex multimodal data in near real time, across over 1,850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physicians in some way. Between our sequencing and data collection efforts, we are connected in some way to more than 40% of all oncologists practicing in the United States. The value of our products is further evidenced by our volume of repeat ordering from oncologists. Through December 2022, the 12-month retention rate for physicians ordering more than 5 oncology NGS tests was 85% and for physicians ordering more than 25 oncology NGS tests, it was 93%. We define an active physician as those that have placed an oncology NGS test in the last 365 days. The 2022 retention rates are calculated by dividing the number of active physicians in 2021 who have placed more than 5 or 25 oncology NGS tests and also placed an order in 2022 by the total number of active physicians in 2021 who placed more than 5 or 25 oncology NGS tests. As of December 31, 2021, the number of active physicians that had ordered more than 5 oncology NGS tests in the last 365 days was 2,547, and the number of physicians that had previously ordered more than 5 oncology NGS tests but did not order one in 2022 was 374. As of December 31, 2021, the number of active ordering physicians that had ordered more than 25 oncology NGS tests in the prior 365 days was 1,338, and the number of physicians that had previously ordered more than 25 oncology NGS tests but did not order one in 2022 was 98.</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more than 180 sales representatives focused on our Genomics offering, and intend to significantly add resources to the team over time.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December 31, 2022, we had 40 pharmaceutical and biotechnology customers licensing data through our Insights product, including 18 of the 20 largest public pharmaceutical companies based on 2022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Trials product, we aim to grow the number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62"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infectious disease,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December 31, 2022, our clinical sales organization in the United States included more than 170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85%.</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2022,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we had approximately 45 sales executives in our Data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newest product line, AI Applications, is focused on developing and providing diagnostics that are algorithmic in nature, implementing new software as a medical device, and building and deploying clinical decision support tools. The primary product of AI Applications is currently “Algos,” which are clinical tests that can be run without chemistry or biology; they are simply 0’s and 1’s running on digitized data derived from a laboratory test, a pathology slide, or a radiomic image. Algos leverage AI-driven insights to produce clinically validated and actionable information for physicians.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will no longer be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2022. We calculated this metric on a trailing two-quarter basis based on payor adjudication timing. However, we continued to perform our NGS tests through December 31, 2022. For the years ended December 31, 2021 and 2022, our average reimbursement for NGS tests billed to insurance in oncology was approximately $1,100 and $1,500, respectively.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improve coverage, and the amount they currently pay, for tests, through a reconsideration request for our main assays (xT, xF) and through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new MAC, Palmetto, who will cover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 FDA approval of our main solid tumor assay, xT, for which we filed a PMA in early 2021, and once approved, work with CMS to apply a national coverage determination that covers our assay.</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commercial payers to both get in network and get our assay approved and reimbursement at a higher rate than it currently is.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and Atlanta laboratories are CAP-accredited and CLIA-certified, and licensed in other states including New York, California, Maryland, Pennsylvania, and Rhode Island.</w:t>
      </w:r>
    </w:p>
    <w:p>
      <w:pPr>
        <w:spacing w:after="0" w:line="42"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7"/>
          <w:szCs w:val="17"/>
          <w:color w:val="auto"/>
        </w:rPr>
        <w:t xml:space="preserve">The scale our laboratories have been able to achieve in the approximately 4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7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2022, our average turnaround time for our xT assays was less than 12 days, and our average turnaround time for xF was eight days.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initial public offering price in this offering ( shares of Class A common stock, assuming an initial public offering price of $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19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October 2022, we entered into a Master Services Agreement, or the MSA, with GlaxoSmithKline, or GSK. Under the MSA,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MSA, of which $70 million was paid upon execution. The term of the MSA will continue through December 31, 2025, unless terminated sooner. An additional commitment of up to $120 million may be triggered at GSK’s election for the years 2026 and 2027.</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approximately 2.8 million tests in the last twelve months ended December 31, 2022.</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5151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2023, our patent portfolio and patent applications included 71 issued U.S. patents or pending applications, 97 pending U.S. non-provisional patent applications, 6 pending U.S. provisional patent applications, 23 pending Patent Cooperation Treaty (international) patent applications, 33 issued foreign patents, and 130 pending foreign patent applications. Our issued patents are expected to begin expiring in December 2029, assuming payment of all appropriate maintenance, renewal, annuity or other governmental fees. These patents and applications generally fall into four broad categories:</w:t>
      </w:r>
    </w:p>
    <w:p>
      <w:pPr>
        <w:spacing w:after="0" w:line="92" w:lineRule="exact"/>
        <w:rPr>
          <w:sz w:val="20"/>
          <w:szCs w:val="20"/>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right="20"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oversight and reporting obligations, limitations to the sale of certain products or services, diminished profits and future earnings, and the curtailment or restructuring of our operations.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9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During the fourth quarter of 2021, we began receiving favorable results on outstanding level 2 claims that were adjudicated and have received payment on a subset of these claims as a result of the appeal process. As a result, 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During the year ended December 31, 2022, Medicare claims represented 28% of our clinical testing volume.</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also have a new genomics lab in Raleigh, North Carolina, which became operational in 2022 and from which we began offering commercial laboratory tests in the second half of 2022.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2022, we had a total of 1,952 employees, of which 678 were technical and were engaged in product and engineering, and research and development. As of December 31, 2022, 839 employees were based at our headquarters in Chicago, Illinois, 76 employees were based in Atlanta, Georgia, and 71 employees were based in Raleigh, North Carolina.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December 31, 2022,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Echo Global Logistics, Inc., and Pathos AI,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3"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77"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2022:</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880" w:type="dxa"/>
            <w:vAlign w:val="bottom"/>
            <w:gridSpan w:val="3"/>
          </w:tcPr>
          <w:p>
            <w:pPr>
              <w:jc w:val="right"/>
              <w:ind w:right="1040"/>
              <w:spacing w:after="0" w:line="13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Jennifer A. Doudna, Ph.D.</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1820" w:type="dxa"/>
            <w:vAlign w:val="bottom"/>
            <w:gridSpan w:val="2"/>
          </w:tcPr>
          <w:p>
            <w:pPr>
              <w:jc w:val="right"/>
              <w:ind w:right="880"/>
              <w:spacing w:after="0" w:line="210" w:lineRule="exact"/>
              <w:rPr>
                <w:sz w:val="20"/>
                <w:szCs w:val="20"/>
                <w:color w:val="auto"/>
              </w:rPr>
            </w:pPr>
            <w:r>
              <w:rPr>
                <w:rFonts w:ascii="Times New Roman" w:cs="Times New Roman" w:eastAsia="Times New Roman" w:hAnsi="Times New Roman"/>
                <w:sz w:val="16"/>
                <w:szCs w:val="16"/>
                <w:color w:val="auto"/>
              </w:rPr>
              <w:t>2,376,500</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2,501,500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79" w:lineRule="auto"/>
        <w:tabs>
          <w:tab w:leader="none" w:pos="4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Dr. Jennifer A. Doudna</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26"/>
                <w:szCs w:val="26"/>
                <w:color w:val="auto"/>
                <w:vertAlign w:val="superscript"/>
              </w:rPr>
              <w:t>(5)</w:t>
            </w:r>
          </w:p>
        </w:tc>
        <w:tc>
          <w:tcPr>
            <w:tcW w:w="2440" w:type="dxa"/>
            <w:vAlign w:val="bottom"/>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(b)</w:t>
            </w:r>
          </w:p>
        </w:tc>
      </w:tr>
    </w:tbl>
    <w:p>
      <w:pPr>
        <w:jc w:val="both"/>
        <w:ind w:left="460" w:hanging="455"/>
        <w:spacing w:after="0" w:line="272" w:lineRule="auto"/>
        <w:tabs>
          <w:tab w:leader="none" w:pos="4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sz w:val="20"/>
          <w:szCs w:val="20"/>
          <w:color w:val="auto"/>
        </w:rPr>
      </w:pPr>
    </w:p>
    <w:p>
      <w:pPr>
        <w:ind w:left="460" w:hanging="455"/>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w:t>
      </w:r>
    </w:p>
    <w:p>
      <w:pPr>
        <w:spacing w:after="0" w:line="103" w:lineRule="exact"/>
        <w:rPr>
          <w:sz w:val="20"/>
          <w:szCs w:val="20"/>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980" w:type="dxa"/>
            <w:vAlign w:val="bottom"/>
            <w:vMerge w:val="restart"/>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1500" w:type="dxa"/>
            <w:vAlign w:val="bottom"/>
            <w:gridSpan w:val="2"/>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6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740" w:type="dxa"/>
            <w:vAlign w:val="bottom"/>
            <w:tcBorders>
              <w:top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w w:val="78"/>
              </w:rPr>
              <w:t>(2)</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207,486,240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207,488,340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450,000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2,975,250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88"/>
              </w:rPr>
              <w:t>335,188</w:t>
            </w:r>
            <w:r>
              <w:rPr>
                <w:rFonts w:ascii="Times New Roman" w:cs="Times New Roman" w:eastAsia="Times New Roman" w:hAnsi="Times New Roman"/>
                <w:sz w:val="26"/>
                <w:szCs w:val="26"/>
                <w:color w:val="auto"/>
                <w:w w:val="88"/>
                <w:vertAlign w:val="superscript"/>
              </w:rPr>
              <w:t>(3)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3,871,600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499,858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5,550,870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92"/>
              </w:rPr>
              <w:t>422,396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5,134,070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75,296</w:t>
            </w:r>
            <w:r>
              <w:rPr>
                <w:rFonts w:ascii="Times New Roman" w:cs="Times New Roman" w:eastAsia="Times New Roman" w:hAnsi="Times New Roman"/>
                <w:sz w:val="26"/>
                <w:szCs w:val="26"/>
                <w:color w:val="auto"/>
                <w:vertAlign w:val="superscript"/>
              </w:rPr>
              <w:t>(4)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5,631,762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48"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pro-rated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ind w:left="460" w:hanging="455"/>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includes a housing stipend earned during 2022 and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23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9"/>
                <w:szCs w:val="9"/>
                <w:color w:val="auto"/>
              </w:rPr>
            </w:pPr>
          </w:p>
        </w:tc>
        <w:tc>
          <w:tcPr>
            <w:tcW w:w="12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gridSpan w:val="2"/>
          </w:tcPr>
          <w:p>
            <w:pPr>
              <w:jc w:val="center"/>
              <w:ind w:right="23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320" w:type="dxa"/>
            <w:vAlign w:val="bottom"/>
            <w:tcBorders>
              <w:top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143,984,940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11, 2017</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6"/>
                <w:szCs w:val="26"/>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October 16, 2019</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January 3,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$29.59 as of December 31, 2022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2022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Plans—2022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2022, we entered into revised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2022. Mr. Rogers’ employment agreement provides for an annual base salary of $450,000,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2022. Mr. Fukushima’s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has adopted the 2022 Equity Incentive Plan, or the 2022 Plan, that will become effective on the date of the underwriting agreement related to this offering. Our 2022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2022 Plan prior to its effectiveness. Once our 2022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2022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2022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2022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2022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2022 Plan will be authorized but unissued or reacquired shares of Class A common stock. Shares subject to awards granted under our 2022 Plan that expire or terminate without being exercised in full, or that are paid out in cash rather than in shares, will not reduce the number of shares available for issuance under our 2022 Plan. Additionally, shares issued pursuant to awards under our 2022 Plan that we repurchase or that are forfeited, as well as shares used to pay the exercise price of an award or to satisfy the tax withholding obligations to an award, will become available for future grant under our 2022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2022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2022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2022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2022 Plan, the administrator also has the power to modify outstanding awards under our 2022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2022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2022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2022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2022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2022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2022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2022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2022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2022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2022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2022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2022 Plan. No awards may be granted under our 2022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February 2022.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December 31, 2022,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we increased the share reserve under the 2015 plan by 3,000,000 shares.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25,115,750 shares. The maximum number of shares of Class A common stock that may be issued pursuant to the exercise of ISOs under our 2015 Plan is 25,115,750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2020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26"/>
                <w:szCs w:val="26"/>
                <w:color w:val="auto"/>
                <w:vertAlign w:val="superscript"/>
              </w:rPr>
              <w:t>(2)</w:t>
            </w:r>
          </w:p>
        </w:tc>
        <w:tc>
          <w:tcPr>
            <w:tcW w:w="1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26"/>
                <w:szCs w:val="26"/>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April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See the section titled “Description of Capital Stock—Registration Rights” for additional information regarding these registration rights.</w:t>
      </w:r>
    </w:p>
    <w:p>
      <w:pPr>
        <w:spacing w:after="0" w:line="237"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$0.9 million remains to be amortized. We currently sublease a portion of this office space to Lightbank LLC, Lefkofsky Family Foundation and 346 Investment Partners, each an entity affiliated with and controlled by Mr. Lefkofsky, on a month-to-month basis. As of December 31, 2022, we have received an aggregate of $0.6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December 31, 2022,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In March 2022, Pathos paid us its first annual subscription fee of $0.4 million. As of the date of this prospectus, we have not exercised the warrant to purchase shares of Pathos common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2020 to February 2021, we repurchased an aggregate of 2,007,569 shares of various series of convertible preferred stock from entities affiliated with and controlled by Eric Lefkofsky at the original issue price for a total purchase price of approximately $26.9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December 31, 2022 by:</w:t>
      </w:r>
    </w:p>
    <w:p>
      <w:pPr>
        <w:spacing w:after="0" w:line="121" w:lineRule="exact"/>
        <w:rPr>
          <w:sz w:val="20"/>
          <w:szCs w:val="20"/>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December 31, 2022, after giving effect to the Series G-3 Financing and assuming the automatic conversion of all outstanding shares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4,932,415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spacing w:after="0"/>
        <w:tabs>
          <w:tab w:leader="none" w:pos="8640" w:val="left"/>
        </w:tabs>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w:t>
      </w:r>
      <w:r>
        <w:rPr>
          <w:sz w:val="20"/>
          <w:szCs w:val="20"/>
          <w:color w:val="auto"/>
        </w:rPr>
        <w:tab/>
      </w:r>
      <w:r>
        <w:rPr>
          <w:rFonts w:ascii="Times New Roman" w:cs="Times New Roman" w:eastAsia="Times New Roman" w:hAnsi="Times New Roman"/>
          <w:sz w:val="18"/>
          <w:szCs w:val="18"/>
          <w:color w:val="auto"/>
        </w:rPr>
        <w:t>shares of Class A common stock and</w:t>
      </w:r>
    </w:p>
    <w:p>
      <w:pPr>
        <w:spacing w:after="0" w:line="3" w:lineRule="exact"/>
        <w:rPr>
          <w:sz w:val="20"/>
          <w:szCs w:val="20"/>
          <w:color w:val="auto"/>
        </w:rPr>
      </w:pPr>
    </w:p>
    <w:p>
      <w:pPr>
        <w:jc w:val="both"/>
        <w:ind w:firstLine="5"/>
        <w:spacing w:after="0" w:line="244" w:lineRule="auto"/>
        <w:tabs>
          <w:tab w:leader="none" w:pos="2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December 31, 2022. However, except as described above, we did not deem such shares outstanding for the purpose of computing the percentage ownership of any other person.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Name of Beneficial</w:t>
      </w:r>
    </w:p>
    <w:p>
      <w:pPr>
        <w:spacing w:after="0" w:line="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6"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ind w:left="140" w:right="540" w:hanging="139"/>
        <w:spacing w:after="0" w:line="215" w:lineRule="auto"/>
        <w:rPr>
          <w:sz w:val="20"/>
          <w:szCs w:val="20"/>
          <w:color w:val="auto"/>
        </w:rPr>
      </w:pPr>
      <w:r>
        <w:rPr>
          <w:rFonts w:ascii="Times New Roman" w:cs="Times New Roman" w:eastAsia="Times New Roman" w:hAnsi="Times New Roman"/>
          <w:sz w:val="14"/>
          <w:szCs w:val="14"/>
          <w:b w:val="1"/>
          <w:bCs w:val="1"/>
          <w:color w:val="auto"/>
        </w:rPr>
        <w:t>Other Directors and Named 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(3)</w:t>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0"/>
          <w:szCs w:val="10"/>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(5)</w:t>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6"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(6)</w:t>
      </w:r>
    </w:p>
    <w:p>
      <w:pPr>
        <w:spacing w:after="0" w:line="215"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(9)</w:t>
      </w:r>
    </w:p>
    <w:p>
      <w:pPr>
        <w:spacing w:after="0" w:line="72" w:lineRule="exact"/>
        <w:rPr>
          <w:sz w:val="20"/>
          <w:szCs w:val="20"/>
          <w:color w:val="auto"/>
        </w:rPr>
      </w:pPr>
    </w:p>
    <w:p>
      <w:pPr>
        <w:ind w:left="140" w:hanging="139"/>
        <w:spacing w:after="0" w:line="227" w:lineRule="auto"/>
        <w:rPr>
          <w:sz w:val="20"/>
          <w:szCs w:val="20"/>
          <w:color w:val="auto"/>
        </w:rPr>
      </w:pPr>
      <w:r>
        <w:rPr>
          <w:rFonts w:ascii="Times New Roman" w:cs="Times New Roman" w:eastAsia="Times New Roman" w:hAnsi="Times New Roman"/>
          <w:sz w:val="14"/>
          <w:szCs w:val="14"/>
          <w:color w:val="auto"/>
        </w:rPr>
        <w:t>All directors and executive officers as a group (12 persons)</w:t>
      </w:r>
      <w:r>
        <w:rPr>
          <w:rFonts w:ascii="Times New Roman" w:cs="Times New Roman" w:eastAsia="Times New Roman" w:hAnsi="Times New Roman"/>
          <w:sz w:val="10"/>
          <w:szCs w:val="10"/>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 Full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0"/>
                <w:szCs w:val="10"/>
                <w:color w:val="auto"/>
              </w:rPr>
            </w:pP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Stock Being</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183515</wp:posOffset>
            </wp:positionV>
            <wp:extent cx="7197725" cy="914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458470</wp:posOffset>
            </wp:positionV>
            <wp:extent cx="7197725" cy="914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641985</wp:posOffset>
            </wp:positionV>
            <wp:extent cx="7197725" cy="914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825500</wp:posOffset>
            </wp:positionV>
            <wp:extent cx="7197725" cy="914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1009015</wp:posOffset>
            </wp:positionV>
            <wp:extent cx="7197725" cy="914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1191895</wp:posOffset>
            </wp:positionV>
            <wp:extent cx="7197725" cy="914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1442085</wp:posOffset>
            </wp:positionV>
            <wp:extent cx="7197725" cy="1835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-7620</wp:posOffset>
            </wp:positionV>
            <wp:extent cx="7197725" cy="1003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878" w:lineRule="exact"/>
        <w:rPr>
          <w:sz w:val="20"/>
          <w:szCs w:val="20"/>
          <w:color w:val="auto"/>
        </w:rPr>
      </w:pPr>
    </w:p>
    <w:p>
      <w:pPr>
        <w:sectPr>
          <w:pgSz w:w="11900" w:h="16838" w:orient="portrait"/>
          <w:cols w:equalWidth="0" w:num="2">
            <w:col w:w="2220" w:space="220"/>
            <w:col w:w="8900"/>
          </w:cols>
          <w:pgMar w:left="320" w:top="448" w:right="239" w:bottom="1440" w:gutter="0" w:footer="0" w:header="0"/>
          <w:type w:val="continuous"/>
        </w:sectPr>
      </w:pPr>
    </w:p>
    <w:p>
      <w:pPr>
        <w:ind w:left="460" w:hanging="455"/>
        <w:spacing w:after="0"/>
        <w:tabs>
          <w:tab w:leader="none" w:pos="4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ind w:left="460" w:hanging="455"/>
        <w:spacing w:after="0" w:line="215" w:lineRule="auto"/>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360" w:type="dxa"/>
            <w:vAlign w:val="bottom"/>
            <w:gridSpan w:val="6"/>
          </w:tcPr>
          <w:p>
            <w:pPr>
              <w:jc w:val="center"/>
              <w:ind w:right="17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Series 3, (d)</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18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380" w:type="dxa"/>
            <w:vAlign w:val="bottom"/>
          </w:tcPr>
          <w:p>
            <w:pPr>
              <w:spacing w:after="0"/>
              <w:rPr>
                <w:sz w:val="12"/>
                <w:szCs w:val="12"/>
                <w:color w:val="auto"/>
              </w:rPr>
            </w:pP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18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380" w:type="dxa"/>
            <w:vAlign w:val="bottom"/>
          </w:tcPr>
          <w:p>
            <w:pPr>
              <w:spacing w:after="0"/>
              <w:rPr>
                <w:sz w:val="12"/>
                <w:szCs w:val="12"/>
                <w:color w:val="auto"/>
              </w:rPr>
            </w:pP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18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6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Innovation Group Investors, L.P. - Series 1B, (iv)</w:t>
            </w:r>
          </w:p>
        </w:tc>
        <w:tc>
          <w:tcPr>
            <w:tcW w:w="320" w:type="dxa"/>
            <w:vAlign w:val="bottom"/>
          </w:tcPr>
          <w:p>
            <w:pPr>
              <w:spacing w:after="0"/>
              <w:rPr>
                <w:sz w:val="12"/>
                <w:szCs w:val="12"/>
                <w:color w:val="auto"/>
              </w:rPr>
            </w:pPr>
          </w:p>
        </w:tc>
        <w:tc>
          <w:tcPr>
            <w:tcW w:w="546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- 2011 Series, (v)</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of Class A common stock held by Lightbank Global LLC, (vi)</w:t>
            </w:r>
          </w:p>
        </w:tc>
        <w:tc>
          <w:tcPr>
            <w:tcW w:w="522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8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004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4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Class B common stock held by, Tempus Series B Investments,</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LLC. Mr. Lefkofsky also holds</w:t>
            </w:r>
          </w:p>
        </w:tc>
        <w:tc>
          <w:tcPr>
            <w:tcW w:w="55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 of</w:t>
            </w:r>
          </w:p>
        </w:tc>
        <w:tc>
          <w:tcPr>
            <w:tcW w:w="3300" w:type="dxa"/>
            <w:vAlign w:val="bottom"/>
          </w:tcPr>
          <w:p>
            <w:pPr>
              <w:jc w:val="right"/>
              <w:ind w:right="2570"/>
              <w:spacing w:after="0"/>
              <w:rPr>
                <w:sz w:val="20"/>
                <w:szCs w:val="20"/>
                <w:color w:val="auto"/>
              </w:rPr>
            </w:pPr>
            <w:r>
              <w:rPr>
                <w:rFonts w:ascii="Times New Roman" w:cs="Times New Roman" w:eastAsia="Times New Roman" w:hAnsi="Times New Roman"/>
                <w:sz w:val="14"/>
                <w:szCs w:val="14"/>
                <w:color w:val="auto"/>
              </w:rPr>
              <w:t>, 2023.</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w:t>
            </w:r>
          </w:p>
        </w:tc>
        <w:tc>
          <w:tcPr>
            <w:tcW w:w="6740" w:type="dxa"/>
            <w:vAlign w:val="bottom"/>
            <w:gridSpan w:val="6"/>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w:t>
            </w:r>
          </w:p>
        </w:tc>
        <w:tc>
          <w:tcPr>
            <w:tcW w:w="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7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gridSpan w:val="2"/>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4"/>
                <w:szCs w:val="14"/>
                <w:color w:val="auto"/>
              </w:rPr>
              <w:t>, 2023.</w:t>
            </w:r>
          </w:p>
        </w:tc>
        <w:tc>
          <w:tcPr>
            <w:tcW w:w="9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932"/>
        <w:spacing w:after="0" w:line="247"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G-3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 price range set forth on the cover page of this prospectus), (3) the conversion of all outstanding shares of nonvoting common stock into 4,932,415 shares of Class A common stock, and (4) the issuance of approximately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expiration of the lock-up period in connection with this offering;</w:t>
      </w:r>
    </w:p>
    <w:p>
      <w:pPr>
        <w:spacing w:after="0" w:line="94"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64 stockholders of record as of December 31, 2021.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December 31, 2022,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$221.1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December 31, 2022, there were 62,692,927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 12,134,788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 5,905,471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December 31, 2022,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4,932,415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2022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231</w:t>
      </w:r>
    </w:p>
    <w:p>
      <w:pPr>
        <w:sectPr>
          <w:pgSz w:w="11900" w:h="16838" w:orient="portrait"/>
          <w:cols w:equalWidth="0" w:num="1">
            <w:col w:w="11340"/>
          </w:cols>
          <w:pgMar w:left="320" w:top="448" w:right="2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“TL.”</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each of the two years in the period ended December 31, 2022,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95"/>
        </w:trPr>
        <w:tc>
          <w:tcPr>
            <w:tcW w:w="926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2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2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20" w:type="dxa"/>
            <w:vAlign w:val="bottom"/>
          </w:tcPr>
          <w:p>
            <w:pPr>
              <w:spacing w:after="0"/>
              <w:rPr>
                <w:sz w:val="19"/>
                <w:szCs w:val="19"/>
                <w:color w:val="auto"/>
              </w:rPr>
            </w:pPr>
          </w:p>
        </w:tc>
      </w:tr>
      <w:tr>
        <w:trPr>
          <w:trHeight w:val="407"/>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6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220" w:type="dxa"/>
            <w:vAlign w:val="bottom"/>
            <w:gridSpan w:val="6"/>
          </w:tcPr>
          <w:p>
            <w:pPr>
              <w:spacing w:after="0"/>
              <w:rPr>
                <w:sz w:val="16"/>
                <w:szCs w:val="16"/>
                <w:color w:val="auto"/>
              </w:rPr>
            </w:pP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700" w:type="dxa"/>
            <w:vAlign w:val="bottom"/>
            <w:gridSpan w:val="2"/>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60" w:type="dxa"/>
            <w:vAlign w:val="bottom"/>
            <w:gridSpan w:val="5"/>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6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00" w:type="dxa"/>
            <w:vAlign w:val="bottom"/>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F-9-F-43</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5"/>
              </w:rPr>
              <w:t>F-1</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320" w:top="443" w:right="2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2022 and 2021,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277,686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$284 and $2,942 at December 31, 2021 and 2022,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82,244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17,291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35,395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37,286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31,067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531,354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631,364</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2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33,753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40,694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114,806</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238,236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37,800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23,090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440,554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734,248</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2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$0.0001 par value, 64,760,746 and 65,441,289 shares authorized at</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2021 and 2022, respectively; 61,078,813 and 62,692,927 shares issued and outstanding at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2021 and 2022, respectively; aggregate liquidation preference of $913,138 and $1,043,757 at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2021 and 2022, respectively</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898,291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1,026,143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w w:val="99"/>
              </w:rPr>
              <w:t>Voting Common Stock, $0.0001 par value, 187,075,184 shares authorized at December 31, 2021 and 2022, respectively,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58,367,961 shares issued and outstanding at December 31, 2021 and 2022, respectively</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w w:val="99"/>
              </w:rPr>
              <w:t>Non-voting Common Stock, $0.0001 par value, 63,946,627 and 66,946,627 shares authorized at December 31, 2021 and</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2022, respectively; 4,612,450 and 4,932,415 shares issued and outstanding at December 31, 2021 and 2022,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(807,486)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(1,138,302)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(807,491)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(1,129,027)</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197,984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122,684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150,255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233,377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(297,736)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63,032</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(259,202)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52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9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9"/>
              </w:rPr>
              <w:t>(259,192)</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(289,811)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39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4,700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5,234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4,720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23,881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30,029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3,867</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1,938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595</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6,427</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455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4,747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14,649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(30,474)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9,489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67,626</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(7,801)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(6,746)</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11,362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22,803</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payable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16,395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9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(11,767)</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(18,377)</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(5.957)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escrow related to AKESOgen purchase (Note 3)</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(39,562)</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8,894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92,199</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(1,132)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170,625</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251,391</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r>
      <w:tr>
        <w:trPr>
          <w:trHeight w:val="36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F-6</w:t>
            </w: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(235,750)</w:t>
            </w:r>
          </w:p>
        </w:tc>
        <w:tc>
          <w:tcPr>
            <w:tcW w:w="5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278,466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277,686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278,466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 from adoption of Topic 842</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 from adoption of Topic 842</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COMMON STOCK AND STOCKHOLDERS’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6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80" w:type="dxa"/>
            <w:vAlign w:val="bottom"/>
            <w:gridSpan w:val="5"/>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680" w:type="dxa"/>
            <w:vAlign w:val="bottom"/>
            <w:gridSpan w:val="5"/>
            <w:vMerge w:val="restart"/>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restart"/>
          </w:tcPr>
          <w:p>
            <w:pPr>
              <w:jc w:val="right"/>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restart"/>
          </w:tcPr>
          <w:p>
            <w:pPr>
              <w:jc w:val="right"/>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vMerge w:val="restart"/>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440" w:type="dxa"/>
            <w:vAlign w:val="bottom"/>
            <w:tcBorders>
              <w:bottom w:val="single" w:sz="8" w:color="auto"/>
            </w:tcBorders>
            <w:gridSpan w:val="4"/>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7"/>
                <w:szCs w:val="7"/>
                <w:color w:val="auto"/>
              </w:rPr>
            </w:pPr>
          </w:p>
        </w:tc>
        <w:tc>
          <w:tcPr>
            <w:tcW w:w="104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60,921,767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859,156</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5"/>
              </w:rPr>
              <w:t>58,367,961</w:t>
            </w: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(512,989)</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(512,984)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157,046</w:t>
            </w:r>
          </w:p>
        </w:tc>
        <w:tc>
          <w:tcPr>
            <w:tcW w:w="8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issuance costs of $106</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559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w w:val="85"/>
              </w:rPr>
              <w:t>106</w:t>
            </w:r>
          </w:p>
        </w:tc>
        <w:tc>
          <w:tcPr>
            <w:tcW w:w="2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0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61,078,813</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898,291</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95"/>
              </w:rPr>
              <w:t>58,367,961</w:t>
            </w:r>
          </w:p>
        </w:tc>
        <w:tc>
          <w:tcPr>
            <w:tcW w:w="5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(807,486)</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(807,491)</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Issuance of Series G-3 Preferred Stock, net of</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920" w:type="dxa"/>
            <w:vAlign w:val="bottom"/>
            <w:gridSpan w:val="2"/>
            <w:vMerge w:val="continue"/>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92,199</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issuance costs of $301</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301</w:t>
            </w:r>
          </w:p>
        </w:tc>
        <w:tc>
          <w:tcPr>
            <w:tcW w:w="2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 connection</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145,466</w:t>
            </w:r>
          </w:p>
        </w:tc>
        <w:tc>
          <w:tcPr>
            <w:tcW w:w="46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4,304</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contingent consideration</w:t>
            </w: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 connection</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174,499</w:t>
            </w:r>
          </w:p>
        </w:tc>
        <w:tc>
          <w:tcPr>
            <w:tcW w:w="46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4,947</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business combination</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Impact of adoption of Topic 842</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62,692,927</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96"/>
              </w:rPr>
              <w:t>1,026,143</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95"/>
              </w:rPr>
              <w:t>58,367,961</w:t>
            </w:r>
          </w:p>
        </w:tc>
        <w:tc>
          <w:tcPr>
            <w:tcW w:w="5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4,932,415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9,251</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(1,138,302)</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327" w:lineRule="exact"/>
        <w:rPr>
          <w:sz w:val="20"/>
          <w:szCs w:val="20"/>
          <w:color w:val="auto"/>
        </w:rPr>
      </w:pPr>
    </w:p>
    <w:p>
      <w:pPr>
        <w:ind w:left="460" w:right="6320" w:hanging="455"/>
        <w:spacing w:after="0" w:line="412" w:lineRule="auto"/>
        <w:tabs>
          <w:tab w:leader="none" w:pos="453"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December 31, 2022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Revenue from COVID-19 testing accounted for $94.7 million, or 36.7%, of our revenue in the year ended December 31, 2021 and $22.2 million, or 6.9%, of our revenue in the year ended December 31,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ended completely in the first quarter of 2023, at which time we shifted resources from COVID-19 testing to other aspects of the business.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 with an equipment lease. The Company had $0.8 million of restricted cash as of December 31, 2021 and 2022,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historical loss experience and any specific risks identified in collection matters. The Company had an allowance for doubtful accounts of $0.3 million and $2.9 million as of December 31, 2021 and 2022,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Revenue from one customer accounted for 7.2% and 8.3% of the Company’s revenues for the years ended December 31, 2021 and 2022, respectively. The amount due from this customer was approximately $9.7 million or 11.8%, and $6.9 million or 7.8%, of accounts receivable as of December 31, 2021 and 2022, respectively.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Three additional customers did not represent a significant portion of total revenues for the years ended December 31, 2021 and 2022 but accounted for $10.1 million or 11.4%, $6.3 million or 7.1%, and $6.1 million or 6.8%, respectively, of accounts receivable as of December 31, 2022. These three customers did not represent a significant portion of accounts receivable as of December 31, 2021.</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$94.7 million and $22.2 million or 36.7% and 6.9% of the Company’s total revenues for the years ended December 31, 2021 and 2022,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For the year ended December 31, 2021, the Company recorded $5.1 million of inventory write-downs to Cost of revenues, genomics, primarily related to the expiration of COVID-19 testing kits and oncology lab supplies. For the year ended December 31, 2022, the Company increased its inventory reserve by $1.9 million related to the expiration of COVID-19 testing kits. As of December 31, 2021, the Company had approximately $22.2 million of inventory and $0.7 million of inventory in process in the labs. As of December 31, 2022, the Company had approximately $21.1 million of inventory and $1.2 million of inventory in process in the labs.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25% and 35% of total vendor payments for the year ended December 31, 2021 and 2022, respectively. Amounts due to this vendor approximated $0.9 million and $8.2 million at December 31, 2021 and 2022,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$17.3 million and $19.5 million at December 31, 2021 and 2022,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2021 and 2022.</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2021 and 2022.</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2022,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customers in an amount that reflects the consideration the Company expects to be entitled to in exchange for such products. This principle is achieved by applying the five-step approach:</w:t>
      </w:r>
    </w:p>
    <w:p>
      <w:pPr>
        <w:spacing w:after="0" w:line="170" w:lineRule="exact"/>
        <w:rPr>
          <w:sz w:val="20"/>
          <w:szCs w:val="20"/>
          <w:color w:val="auto"/>
        </w:rPr>
      </w:pPr>
    </w:p>
    <w:p>
      <w:pPr>
        <w:jc w:val="both"/>
        <w:ind w:firstLine="459"/>
        <w:spacing w:after="0" w:line="255" w:lineRule="auto"/>
        <w:tabs>
          <w:tab w:leader="none" w:pos="6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other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$195.0 million and $198.0 million for the years ended December 31, 2021 and 2022, respectively.</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$151.1 million and $157.2 million for the years ended December 31, 2021 and 2022, respectively.</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$43.9 million and $40.8 million for the years ended December 31, 2021 and 2022,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other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Data and other product offering when it has met its performance obligation under the terms of the agreement with the customer. A description of the Company’s two product offerings are as follows: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 </w:t>
      </w:r>
      <w:r>
        <w:rPr>
          <w:rFonts w:ascii="Times New Roman" w:cs="Times New Roman" w:eastAsia="Times New Roman" w:hAnsi="Times New Roman"/>
          <w:sz w:val="18"/>
          <w:szCs w:val="18"/>
          <w:color w:val="auto"/>
        </w:rPr>
        <w:t>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 </w:t>
      </w:r>
      <w:r>
        <w:rPr>
          <w:rFonts w:ascii="Times New Roman" w:cs="Times New Roman" w:eastAsia="Times New Roman" w:hAnsi="Times New Roman"/>
          <w:sz w:val="18"/>
          <w:szCs w:val="18"/>
          <w:color w:val="auto"/>
        </w:rPr>
        <w:t>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 </w:t>
      </w:r>
      <w:r>
        <w:rPr>
          <w:rFonts w:ascii="Times New Roman" w:cs="Times New Roman" w:eastAsia="Times New Roman" w:hAnsi="Times New Roman"/>
          <w:sz w:val="18"/>
          <w:szCs w:val="18"/>
          <w:color w:val="auto"/>
        </w:rPr>
        <w:t>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 </w:t>
      </w:r>
      <w:r>
        <w:rPr>
          <w:rFonts w:ascii="Times New Roman" w:cs="Times New Roman" w:eastAsia="Times New Roman" w:hAnsi="Times New Roman"/>
          <w:sz w:val="18"/>
          <w:szCs w:val="18"/>
          <w:color w:val="auto"/>
        </w:rPr>
        <w:t>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recognized revenue from Insights products of $56.0 million and $90.1 million for the years ended December 31, 2021 and 2022,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$6.0 million and $31.2 million for the years ended December 31, 2021 and 2022, respectively.</w:t>
      </w:r>
    </w:p>
    <w:p>
      <w:pPr>
        <w:spacing w:after="0" w:line="23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other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$62.8 million and $122.7 million for the years ended December 31, 2021 and 2022, respectively.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the fourth quarter of 2021, the Company entered into certain new multi-year contracts that did not contain early termination or customer opt-in clauses. These contracts contained defined, noncancelable performance obligations that will be fulfilled in future years. In August 2022, the Company entered into a multi-year strategic collaboration agreement with GlaxoSmithKline (“GSK”), under which GSK has committed to spend a minimum of $180 million, of which $70 million was paid upon execution. The Company’s remaining performance obligations related to multi-year contracts was $129.1 million as of December 31, 2022, respectively, of which the Company expects to recognize approximately 42% of its remaining performance obligations as revenue next year, and the remaining 39%, and 19%, of its remaining performance obligations as revenue in years two and three, and respectively.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January 2023, the Company entered its second amendment with AstraZenca to increase certain data licensing services by $1.25 million per quarter through December 31, 2024. Thereafter, AstraZeneca will have the option to continue these services for the duration of the remaining financial commitment period.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2021 and December 31, 2022 included contract assets of $18.5 million and $7.6 million,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Prepaids expenses and other current assets.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and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9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4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40" w:type="dxa"/>
            <w:vAlign w:val="bottom"/>
          </w:tcPr>
          <w:p>
            <w:pPr>
              <w:spacing w:after="0"/>
              <w:rPr>
                <w:sz w:val="18"/>
                <w:szCs w:val="18"/>
                <w:color w:val="auto"/>
              </w:rPr>
            </w:pPr>
          </w:p>
        </w:tc>
      </w:tr>
      <w:tr>
        <w:trPr>
          <w:trHeight w:val="21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326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31,563</w:t>
            </w:r>
          </w:p>
        </w:tc>
      </w:tr>
      <w:tr>
        <w:trPr>
          <w:trHeight w:val="20"/>
        </w:trPr>
        <w:tc>
          <w:tcPr>
            <w:tcW w:w="5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$7.0 million and $13.8 million during the years ended December 31, 2021 and 2022, respectively, that was included in deferred revenue at the beginning of the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Cost of revenues for Genomics consists of personnel lab expenses, including salaries, bonuses, employee benefits, amortization of intangible assets, cost of laboratory supplies and consumables,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other includes data acquisition and royalty fees, and personnel costs related to our delivery of our data services and platform,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2021 and 2022, the Company did not match any employee contributions.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Company had tax effected federal and state net operating loss (“NOL”) carry forwards of approximately $164.0 million and $32.8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2021 and 2022, there are no uncertain positions taken or expected to be taken that would require recognition of a liability in the financial statements.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2022, the Company was not under audit in any jurisdiction.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$3.9 million and $5.3 million of deferred offering costs as of December 31, 2021 and 2022,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1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and G-3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(ASU 2016-02), in February 2016. ASU 2016-02 requires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clarifies that an acquirer of a business should recognize and measure contract assets and contract liabilities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as indicated below.</w:t>
      </w:r>
    </w:p>
    <w:p>
      <w:pPr>
        <w:spacing w:after="0" w:line="21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ASU No. 2016-13 requires the measurement and recognition of expected credit losses for financial assets that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w:t>
      </w:r>
    </w:p>
    <w:p>
      <w:pPr>
        <w:spacing w:after="0" w:line="331" w:lineRule="exact"/>
        <w:rPr>
          <w:sz w:val="20"/>
          <w:szCs w:val="20"/>
          <w:color w:val="auto"/>
        </w:rPr>
      </w:pPr>
    </w:p>
    <w:p>
      <w:pPr>
        <w:ind w:left="460" w:hanging="455"/>
        <w:spacing w:after="0"/>
        <w:tabs>
          <w:tab w:leader="none" w:pos="4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due back to Tempus as of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other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estimated net working capital deficiency of $0.5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195"/>
        </w:trPr>
        <w:tc>
          <w:tcPr>
            <w:tcW w:w="10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93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deemed to be a purchase of assets for tax purposes, the tax basis in goodwill is equal to the book basis in goodwill, and it will be amortized over a 15 year period for tax purposes. The trade names and customer relationships intangible assets were established with seven year and three year remaining useful lives, respectively.</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44"/>
        </w:trPr>
        <w:tc>
          <w:tcPr>
            <w:tcW w:w="6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60" w:type="dxa"/>
            <w:vAlign w:val="bottom"/>
          </w:tcPr>
          <w:p>
            <w:pPr>
              <w:spacing w:after="0"/>
              <w:rPr>
                <w:sz w:val="14"/>
                <w:szCs w:val="14"/>
                <w:color w:val="auto"/>
              </w:rPr>
            </w:pPr>
          </w:p>
        </w:tc>
        <w:tc>
          <w:tcPr>
            <w:tcW w:w="4580" w:type="dxa"/>
            <w:vAlign w:val="bottom"/>
            <w:gridSpan w:val="2"/>
          </w:tcPr>
          <w:p>
            <w:pPr>
              <w:jc w:val="center"/>
              <w:ind w:left="37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3"/>
        </w:trPr>
        <w:tc>
          <w:tcPr>
            <w:tcW w:w="6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269,211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4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(263,134)</w:t>
            </w:r>
          </w:p>
        </w:tc>
      </w:tr>
    </w:tbl>
    <w:p>
      <w:pPr>
        <w:spacing w:after="0" w:line="17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had the acquisition taken place as of the beginning of the period presented, or the results that may occur in the future. The results were prepared utilizing the actual results of the business, adjusted to include $2.1 million of amortization expense and $2.5 million of selling, general and administrative expense related to the contingent payments.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2022, Highline contributed $19.8 million in net revenue within the Data and other revenue line and $5.0 million of net loss to the consolidated Tempus results.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 shares of non-voting common stock to the former owners with an acquisition date fair value of $3.4 million, which the company recognized under long-term liabilities. The consideration was to be paid out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3"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w:t>
      </w:r>
    </w:p>
    <w:p>
      <w:pPr>
        <w:spacing w:after="0" w:line="327" w:lineRule="exact"/>
        <w:rPr>
          <w:sz w:val="20"/>
          <w:szCs w:val="20"/>
          <w:color w:val="auto"/>
        </w:rPr>
      </w:pPr>
    </w:p>
    <w:p>
      <w:pPr>
        <w:ind w:right="8100" w:firstLine="5"/>
        <w:spacing w:after="0" w:line="412" w:lineRule="auto"/>
        <w:tabs>
          <w:tab w:leader="none" w:pos="446"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2021 and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90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203"/>
        </w:trPr>
        <w:tc>
          <w:tcPr>
            <w:tcW w:w="9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47,750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100" w:type="dxa"/>
            <w:vAlign w:val="bottom"/>
            <w:shd w:val="clear" w:color="auto" w:fill="CCEEFF"/>
          </w:tcPr>
          <w:p>
            <w:pPr>
              <w:spacing w:after="0"/>
              <w:rPr>
                <w:sz w:val="17"/>
                <w:szCs w:val="17"/>
                <w:color w:val="auto"/>
              </w:rPr>
            </w:pPr>
          </w:p>
        </w:tc>
      </w:t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30,390</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100" w:type="dxa"/>
            <w:vAlign w:val="bottom"/>
          </w:tcPr>
          <w:p>
            <w:pPr>
              <w:spacing w:after="0"/>
              <w:rPr>
                <w:sz w:val="18"/>
                <w:szCs w:val="18"/>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(42,644)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(58,245)</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$35,395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10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2022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9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9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9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32,439</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40,694</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 The commercial partnership agreement includes committed payments for access to the data and additional payments contingent on the commercialization of such data. The annual license fee commitment is not materially significant.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2021 and 2022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53,100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2021 and 2022.</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During the years ended December 31, 2021, the gross amount of intangible assets increased $3.0 million, resulting from the extension of a research collaboration agreement. 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9"/>
                <w:szCs w:val="9"/>
                <w:color w:val="auto"/>
              </w:rPr>
            </w:pPr>
          </w:p>
        </w:tc>
        <w:tc>
          <w:tcPr>
            <w:tcW w:w="118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9"/>
                <w:szCs w:val="9"/>
                <w:color w:val="auto"/>
              </w:rPr>
            </w:pPr>
          </w:p>
        </w:tc>
        <w:tc>
          <w:tcPr>
            <w:tcW w:w="1120" w:type="dxa"/>
            <w:vAlign w:val="bottom"/>
            <w:gridSpan w:val="3"/>
          </w:tcPr>
          <w:p>
            <w:pPr>
              <w:jc w:val="right"/>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1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$ 17,300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20,550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53,535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28,625</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18,433</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2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9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$ 70,854</w:t>
            </w:r>
          </w:p>
        </w:tc>
        <w:tc>
          <w:tcPr>
            <w:tcW w:w="4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84,181</w:t>
            </w:r>
          </w:p>
        </w:tc>
        <w:tc>
          <w:tcPr>
            <w:tcW w:w="4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37,278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Amortization of intangible assets is recognized using the straight-line method over their estimated useful lives, which range from three to seven years. Amortization expense was $10.1 million and $13.3 million for the years ended December 31, 2021 and December 31, 2022, respectively, and is recorded in cost of revenues, technology research and development or research and development, depending on use of the asset. The weighted average life of our intangibles is approximately seven years. As of December 31, 2022, the estimated future amortization expense related to intangible assets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$ 13,724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7540" w:hanging="455"/>
        <w:spacing w:after="0" w:line="366" w:lineRule="auto"/>
        <w:tabs>
          <w:tab w:leader="none" w:pos="453"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2021 and 2022, the Company recognized data licensing and cloud computing expenses of $39.3 million and $31.1 million, respectively, related to non-cancelable arrangements.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2022, future payments under these contractual obligations were as follows (in thousands):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with one of the third parties, which will reduce future purchase obligations by a total of $8 million.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total lease costs for the year ended December 31, 2022 are as follows: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Lease term and discount rate as of December 31, 2022 are as follows: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tcPr>
          <w:p>
            <w:pPr>
              <w:spacing w:after="0"/>
              <w:rPr>
                <w:sz w:val="19"/>
                <w:szCs w:val="19"/>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future payments under operating and finance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4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294</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74"/>
              </w:rPr>
              <w:t>6</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40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F-27</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elected the modified retrospective approach and is required to present previously disclosed information under the prior accounting standards for leases. Rent expense recorded under ASC 840 for the year ended December 31, 2021 was $9.3 million. As of December 31, 2021, the future payments under operating and capital leases for each of the next five years and thereafter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2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w w:val="77"/>
              </w:rPr>
              <w:t>55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liabilities</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liabilities</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8640" w:hanging="455"/>
        <w:spacing w:after="0" w:line="366" w:lineRule="auto"/>
        <w:tabs>
          <w:tab w:leader="none" w:pos="45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329" w:lineRule="exact"/>
        <w:rPr>
          <w:sz w:val="20"/>
          <w:szCs w:val="20"/>
          <w:color w:val="auto"/>
        </w:rPr>
      </w:pPr>
    </w:p>
    <w:p>
      <w:pPr>
        <w:ind w:left="460" w:hanging="455"/>
        <w:spacing w:after="0"/>
        <w:tabs>
          <w:tab w:leader="none" w:pos="4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2021 and December 31, 2022,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80" w:type="dxa"/>
            <w:vAlign w:val="bottom"/>
            <w:gridSpan w:val="3"/>
          </w:tcPr>
          <w:p>
            <w:pPr>
              <w:ind w:left="88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00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80" w:type="dxa"/>
            <w:vAlign w:val="bottom"/>
            <w:gridSpan w:val="3"/>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95,855</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134,939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232,934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2020/2021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60" w:hanging="455"/>
        <w:spacing w:after="0"/>
        <w:tabs>
          <w:tab w:leader="none" w:pos="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20" w:type="dxa"/>
            <w:vAlign w:val="bottom"/>
            <w:gridSpan w:val="4"/>
          </w:tcPr>
          <w:p>
            <w:pPr>
              <w:ind w:left="9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60" w:type="dxa"/>
            <w:vAlign w:val="bottom"/>
          </w:tcPr>
          <w:p>
            <w:pPr>
              <w:spacing w:after="0"/>
              <w:rPr>
                <w:sz w:val="9"/>
                <w:szCs w:val="9"/>
                <w:color w:val="auto"/>
              </w:rPr>
            </w:pPr>
          </w:p>
        </w:tc>
        <w:tc>
          <w:tcPr>
            <w:tcW w:w="880" w:type="dxa"/>
            <w:vAlign w:val="bottom"/>
          </w:tcPr>
          <w:p>
            <w:pPr>
              <w:jc w:val="right"/>
              <w:ind w:right="15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2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1,614,114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2021 and 2022,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and Series G-3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Except for the holders of Series G-2 and Series G-3 Preferred, the holders of Series Preferred are entitled to dividends at a rate of 5% or 6% of the original issue price (subject to adjustment in the event of any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G-3, Series G-2, Series G, Series F, Series E, Series D, Series C, Series B-2, Series B-1, Series B, Series A.</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G-3 Preferred, Series G-2 Preferred, Series G Preferred ,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G-3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2021 and December 31, 2022. In the event of an initial public offering (“IPO”),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Series G-3 Preferred conversion price is subject to a 10% discount off the lesser of price per share of Class A Common Stock, and Series G-3 original issue price, or, if this offering is completed after June 30, 2023, a 15% discount off of the public offering price (“Special IPO Adjustment”).</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the lesser of a 10% discount off the lesser of price per share of Class A Common Stock or the Series G-3 original issue price, or, if the offering is completed after June 30, 2023, a 15% discount off of the public offering price, less (b) the product of 287,923 and the price per share of Class A Common Stock sold in the IPO. The agreement was signed with only one investor as an incentive to invest in Series G-3 Preferred.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(the Plan), which has been amended and restated numerous times to increase the aggregate shares authorized to be issued to employees, consultants, and directors of the Company. As of December 31, 2021, there were 22,115,750 shares authorized under the Plan. In February 2022, the Plan was amended to increase the aggregate shares authorized to be issued, and as of December 31, 2022, there were 25,115,750 authorized under the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2021 and 2022, 971,331 shares and 2,476,611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$0.6 million in the year ended December 31, 2021 within Selling, general, and administrative expense. No stock-based compensation expense was recorded in the year ended December 31, 2022. The Company accounts for forfeitures as they occur.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10,344,419</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2,808,742</w:t>
            </w:r>
          </w:p>
        </w:tc>
        <w:tc>
          <w:tcPr>
            <w:tcW w:w="360" w:type="dxa"/>
            <w:vAlign w:val="bottom"/>
          </w:tcPr>
          <w:p>
            <w:pPr>
              <w:spacing w:after="0"/>
              <w:rPr>
                <w:sz w:val="18"/>
                <w:szCs w:val="18"/>
                <w:color w:val="auto"/>
              </w:rPr>
            </w:pP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(741,740)</w:t>
            </w: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12,411,421</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and 2022, the Company granted 2,255,425 and 2,808,742 Restricted Stock Units (“RSUs”), respectively. There were no restricted stock units that vested during the years ended December 31, 2020 and 2021. As of December 31, 2021 and December 31, 2022, there was $115.6 million and $200.4 million of unrecognized stock compensation expense relating to RSUs, respectively. Because of the liquidity event requirement, the Company cannot estimate the weighted-average period over which this expense will be recognized.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1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36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86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8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5,995,000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(96,404)</w:t>
            </w:r>
          </w:p>
        </w:tc>
        <w:tc>
          <w:tcPr>
            <w:tcW w:w="5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the Company granted 6,000,000 PSUs. During the year ended December 31, 2022, the Company granted no PSUs. As of December 31, 2021 and December 31, 2022, there was $244.0 and $242.4 million of unrecognized compensation expense related to Performance Stock Units, respectively. Because of the liquidity event requirement, the Company cannot estimate the weighted-average period over which this expense will be recognized should the performance condition be met.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center"/>
              <w:ind w:left="59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center"/>
              <w:ind w:left="59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2021 and 2022,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4,250,000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2021 and 2022, respectively, and as of December 31, 2021 and 2022, there was no unrecognized compensation cost related to non-vested restricted stock awards, respectively.</w:t>
      </w:r>
    </w:p>
    <w:p>
      <w:pPr>
        <w:spacing w:after="0" w:line="312" w:lineRule="exact"/>
        <w:rPr>
          <w:sz w:val="20"/>
          <w:szCs w:val="20"/>
          <w:color w:val="auto"/>
        </w:rPr>
      </w:pPr>
    </w:p>
    <w:p>
      <w:pPr>
        <w:ind w:left="460" w:hanging="455"/>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After the first three months from the effective date, each quarter, the Company has the option to convert the borrowing type to either a Base Rate Borrowing, which bears interest based on a</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92" w:lineRule="exact"/>
        <w:rPr>
          <w:sz w:val="20"/>
          <w:szCs w:val="20"/>
          <w:color w:val="auto"/>
        </w:rPr>
      </w:pPr>
    </w:p>
    <w:p>
      <w:pPr>
        <w:ind w:left="1020" w:hanging="392"/>
        <w:spacing w:after="0" w:line="267" w:lineRule="auto"/>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41"/>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 per annum</w:t>
      </w:r>
    </w:p>
    <w:p>
      <w:pPr>
        <w:spacing w:after="0" w:line="121" w:lineRule="exact"/>
        <w:rPr>
          <w:rFonts w:ascii="Times New Roman" w:cs="Times New Roman" w:eastAsia="Times New Roman" w:hAnsi="Times New Roman"/>
          <w:sz w:val="18"/>
          <w:szCs w:val="18"/>
          <w:color w:val="auto"/>
        </w:rPr>
      </w:pPr>
    </w:p>
    <w:p>
      <w:pPr>
        <w:ind w:left="1020" w:hanging="490"/>
        <w:spacing w:after="0" w:line="267" w:lineRule="auto"/>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80"/>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the Company is required to generate consolidated revenues of $342.7 million and $459.1 million, respectively. The Company was in compliance with all covenants of the Credit Agreement as of December 31, 2022.</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original issue discount of $4.4 million and deferred financing fees of $2.6 million are amortized over the term of the underlying debt and unamortized amounts have been offset against long-term debt in the consolidated balance sheets. As of December 31, 2022, the unamortized original issue discount was $4.2 million and the unamortized deferred financing fees were $2.4 million.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Through December 31, 2022, the Company has not made any principal repayments on the Term Loan Facility. Through December 31, 2022, the Company made a $4.6 million interest payment. As of December 31, 2022, the interest rate on the Term Loan Facility is 10.5%. The Company recognized interest expense of $5.1 million related to the Term Loan Facility during the year ended December 31,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$15.2 million and $16.4 million during the year ended December 31, 2021 and 2022, respectively.</w:t>
      </w:r>
    </w:p>
    <w:p>
      <w:pPr>
        <w:spacing w:after="0" w:line="327" w:lineRule="exact"/>
        <w:rPr>
          <w:sz w:val="20"/>
          <w:szCs w:val="20"/>
          <w:color w:val="auto"/>
        </w:rPr>
      </w:pPr>
    </w:p>
    <w:p>
      <w:pPr>
        <w:ind w:left="460" w:hanging="455"/>
        <w:spacing w:after="0"/>
        <w:tabs>
          <w:tab w:leader="none" w:pos="4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 ended December 31, 2021 and 2022, respectively, all potentially dilutive common stock equivalents have been excluded from the calculation of diluted net loss per share attributable to common stockholders as their effect is anti-dilutive.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33"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b w:val="1"/>
          <w:bCs w:val="1"/>
          <w:color w:val="auto"/>
        </w:rPr>
        <w:t>Year-Ended</w:t>
      </w:r>
    </w:p>
    <w:p>
      <w:pPr>
        <w:ind w:left="9840"/>
        <w:spacing w:after="0" w:line="227"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9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(259,192)</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(289,811)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(35,758)</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(297,736</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(333,928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shared outstanding, basic and diluted</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62,975</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63,032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12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   (4.73)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92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8"/>
        </w:trPr>
        <w:tc>
          <w:tcPr>
            <w:tcW w:w="20" w:type="dxa"/>
            <w:vAlign w:val="bottom"/>
          </w:tcPr>
          <w:p>
            <w:pPr>
              <w:spacing w:after="0"/>
              <w:rPr>
                <w:sz w:val="11"/>
                <w:szCs w:val="11"/>
                <w:color w:val="auto"/>
              </w:rPr>
            </w:pPr>
          </w:p>
        </w:tc>
        <w:tc>
          <w:tcPr>
            <w:tcW w:w="892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61,078,813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62,692,927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63,179,270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64,647,918</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84"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As disclosed in Note 9, the Company’s Series G-3 Preferred contains two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$ 163,656</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$ 196,643</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37,590</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$ 174,769</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$ 260,487</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3"/>
              </w:rPr>
              <w:t>(161,749)</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(244,064)</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(16,423)</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2021 and 2022 (in thousands):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(44,698)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(59,141)</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(66,827)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58,769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F-38</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9300" w:type="dxa"/>
            <w:vAlign w:val="bottom"/>
          </w:tcPr>
          <w:p>
            <w:pPr>
              <w:spacing w:after="0"/>
              <w:rPr>
                <w:sz w:val="11"/>
                <w:szCs w:val="11"/>
                <w:color w:val="auto"/>
              </w:rPr>
            </w:pPr>
          </w:p>
        </w:tc>
        <w:tc>
          <w:tcPr>
            <w:tcW w:w="780" w:type="dxa"/>
            <w:vAlign w:val="bottom"/>
            <w:tcBorders>
              <w:top w:val="single" w:sz="8" w:color="auto"/>
            </w:tcBorders>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72"/>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(258,770)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(289,556)</w:t>
            </w:r>
          </w:p>
        </w:tc>
        <w:tc>
          <w:tcPr>
            <w:tcW w:w="120" w:type="dxa"/>
            <w:vAlign w:val="bottom"/>
            <w:tcBorders>
              <w:top w:val="single" w:sz="8" w:color="CCEEFF"/>
            </w:tcBorders>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2021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860" w:type="dxa"/>
            <w:vAlign w:val="bottom"/>
            <w:gridSpan w:val="4"/>
            <w:shd w:val="clear" w:color="auto" w:fill="CCEEFF"/>
          </w:tcPr>
          <w:p>
            <w:pPr>
              <w:jc w:val="right"/>
              <w:ind w:right="121"/>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0"/>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(23.11)%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0"/>
              </w:rPr>
              <w:t>0.00%</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4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58,768</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2021 or 2022.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(“NOL”) carry forwards of $163.8 million (tax effected) and state NOL carry forwards of approximately $32.8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2022,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2021.</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2021,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2021 and 2022.</w:t>
      </w:r>
    </w:p>
    <w:p>
      <w:pPr>
        <w:spacing w:after="0" w:line="312" w:lineRule="exact"/>
        <w:rPr>
          <w:sz w:val="20"/>
          <w:szCs w:val="20"/>
          <w:color w:val="auto"/>
        </w:rPr>
      </w:pPr>
    </w:p>
    <w:p>
      <w:pPr>
        <w:ind w:left="460" w:hanging="455"/>
        <w:spacing w:after="0"/>
        <w:tabs>
          <w:tab w:leader="none" w:pos="4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subject to a contingent consideration arrangement to transfer non-voting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owners of a business acquired in December 2019. See Note 3, Business Combinations, for further discussion of that acquisition.</w:t>
      </w:r>
    </w:p>
    <w:p>
      <w:pPr>
        <w:spacing w:after="0" w:line="6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8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7"/>
              </w:rPr>
              <w:t>Initial Public</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Stay</w:t>
            </w:r>
          </w:p>
        </w:tc>
      </w:tr>
      <w:tr>
        <w:trPr>
          <w:trHeight w:val="169"/>
        </w:trPr>
        <w:tc>
          <w:tcPr>
            <w:tcW w:w="36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Private</w:t>
            </w:r>
          </w:p>
        </w:tc>
      </w:tr>
      <w:tr>
        <w:trPr>
          <w:trHeight w:val="203"/>
        </w:trPr>
        <w:tc>
          <w:tcPr>
            <w:tcW w:w="3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5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7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7"/>
                <w:szCs w:val="17"/>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4.02%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70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354"/>
        </w:trPr>
        <w:tc>
          <w:tcPr>
            <w:tcW w:w="3620" w:type="dxa"/>
            <w:vAlign w:val="bottom"/>
          </w:tcPr>
          <w:p>
            <w:pPr>
              <w:spacing w:after="0"/>
              <w:rPr>
                <w:sz w:val="24"/>
                <w:szCs w:val="24"/>
                <w:color w:val="auto"/>
              </w:rPr>
            </w:pPr>
          </w:p>
        </w:tc>
        <w:tc>
          <w:tcPr>
            <w:tcW w:w="7080" w:type="dxa"/>
            <w:vAlign w:val="bottom"/>
            <w:gridSpan w:val="3"/>
          </w:tcPr>
          <w:p>
            <w:pPr>
              <w:jc w:val="right"/>
              <w:ind w:right="4860"/>
              <w:spacing w:after="0"/>
              <w:rPr>
                <w:sz w:val="20"/>
                <w:szCs w:val="20"/>
                <w:color w:val="auto"/>
              </w:rPr>
            </w:pPr>
            <w:r>
              <w:rPr>
                <w:rFonts w:ascii="Times New Roman" w:cs="Times New Roman" w:eastAsia="Times New Roman" w:hAnsi="Times New Roman"/>
                <w:sz w:val="18"/>
                <w:szCs w:val="18"/>
                <w:color w:val="auto"/>
              </w:rPr>
              <w:t>F-40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Convertible promissory note</w:t>
      </w:r>
      <w:r>
        <w:rPr>
          <w:rFonts w:ascii="Times New Roman" w:cs="Times New Roman" w:eastAsia="Times New Roman" w:hAnsi="Times New Roman"/>
          <w:sz w:val="18"/>
          <w:szCs w:val="18"/>
          <w:color w:val="auto"/>
        </w:rPr>
        <w:t>—The Company has a convertible promissory note with Google, which is reduced each year based on a formula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aggregate value of the Google Cloud Platform services used by us. The carrying value of the note is equivalent to the fair value. See Note 11 for further discussion of the note. The Company classifies the convertible promissory note as Level 3 due to the lack of relevant observable market data over fair value inputs.</w:t>
      </w:r>
    </w:p>
    <w:p>
      <w:pPr>
        <w:spacing w:after="0" w:line="76"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—In September 2022, the Company entered into a Credit Agreement with Ares for a term loan facility. The principal balance is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the unamortized portion of the original issue discount and deferred financing fees. The carrying value of the note is equivalent to the fair value. See Note 11 for further discussion of the term loan facility. The Company classifies the term loan facility as Level 3 due to the lack of relevant observable market data over fair value inputs.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0"/>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2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82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568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8,005</w:t>
            </w:r>
          </w:p>
        </w:tc>
        <w:tc>
          <w:tcPr>
            <w:tcW w:w="24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37,800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28"/>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238,236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r>
        <w:trPr>
          <w:trHeight w:val="363"/>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5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top w:val="single" w:sz="8" w:color="auto"/>
            </w:tcBorders>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 for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640" w:type="dxa"/>
            <w:vAlign w:val="bottom"/>
          </w:tcPr>
          <w:p>
            <w:pPr>
              <w:spacing w:after="0"/>
              <w:rPr>
                <w:sz w:val="12"/>
                <w:szCs w:val="12"/>
                <w:color w:val="auto"/>
              </w:rPr>
            </w:pPr>
          </w:p>
        </w:tc>
        <w:tc>
          <w:tcPr>
            <w:tcW w:w="86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568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42,500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221,094</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221,094</w:t>
            </w:r>
          </w:p>
        </w:tc>
        <w:tc>
          <w:tcPr>
            <w:tcW w:w="0" w:type="dxa"/>
            <w:vAlign w:val="bottom"/>
          </w:tcPr>
          <w:p>
            <w:pPr>
              <w:spacing w:after="0"/>
              <w:rPr>
                <w:sz w:val="1"/>
                <w:szCs w:val="1"/>
                <w:color w:val="auto"/>
              </w:rPr>
            </w:pPr>
          </w:p>
        </w:tc>
      </w:tr>
      <w:tr>
        <w:trPr>
          <w:trHeight w:val="228"/>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168,452</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168,452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69"/>
        </w:trPr>
        <w:tc>
          <w:tcPr>
            <w:tcW w:w="3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r>
      <w:tr>
        <w:trPr>
          <w:trHeight w:val="203"/>
        </w:trPr>
        <w:tc>
          <w:tcPr>
            <w:tcW w:w="3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3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paid in cash</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warrant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37,800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reduction</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(11,764)</w:t>
            </w: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37,800</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10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3840" w:type="dxa"/>
            <w:vAlign w:val="bottom"/>
          </w:tcPr>
          <w:p>
            <w:pPr>
              <w:spacing w:after="0"/>
              <w:rPr>
                <w:sz w:val="24"/>
                <w:szCs w:val="24"/>
                <w:color w:val="auto"/>
              </w:rPr>
            </w:pPr>
          </w:p>
        </w:tc>
        <w:tc>
          <w:tcPr>
            <w:tcW w:w="38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F-41</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169"/>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r>
      <w:tr>
        <w:trPr>
          <w:trHeight w:val="203"/>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$37,800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238,236</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term loan facility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168,075</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5"/>
              </w:rPr>
              <w:t>(3,701)</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reduction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(4,304)</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8"/>
              </w:rPr>
              <w:t>139</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42,500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221,094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168,452</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$1.0 million and $0.9 million for the years ended December 31, 2021 and 2022, respectively. Upon the adoption of ASC 842, the liability is amortized through the right-of-use asset as a reduction of rent expense over the lease term.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2021 and 2022.</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and 2022, there was no amount due to related parties. As of December 31, 2021 and 2022, respectively, the amount due from related parties was $0.4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Company recognized $0.4 million in revenue for this access fee in the year ended December 31, 2022, respectively.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$0.2 million in revenue for both arrangements for the year ended December 31, 2022.</w:t>
      </w:r>
    </w:p>
    <w:p>
      <w:pPr>
        <w:spacing w:after="0" w:line="312" w:lineRule="exact"/>
        <w:rPr>
          <w:sz w:val="20"/>
          <w:szCs w:val="20"/>
          <w:color w:val="auto"/>
        </w:rPr>
      </w:pPr>
    </w:p>
    <w:p>
      <w:pPr>
        <w:ind w:left="460" w:hanging="455"/>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2022, the Company evaluated subsequent events through April 28, 2023, the date on which those financial statements were available to be issued.</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On April 25, 2023, the Company signed an amendment to its Credit Agreement with Ares which provided an additional $50 million in term debt. The Company received $48.7 million in cash, which is the aggregate principal amount of $50 million less debt issuance costs of $1.3 million. The amendment increased the interest rate on both the original $175 million borrowing as well as the additional $50 million. After giving effect to the amendment, (x) for any interest period for which the Company elects to pay interest in cash, the cash interest rate for Base Rate and Term SOFR borrowings will be the Base Rate plus 6.25% and Term SOFR plus 7.25%, respectively, and (y) for any interest period for which the Company elects to pay interest in kind, the cash interest rate for Base Rate and Term SOFR borrowings will be the Base Rate plus 4% and Term SOFR plus 5%, respectively, and the paid-in-kind interest rate will be 3.25%.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1340"/>
          </w:cols>
          <w:pgMar w:left="320" w:top="448" w:right="239"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2020:</w:t>
      </w:r>
    </w:p>
    <w:p>
      <w:pPr>
        <w:spacing w:after="0" w:line="121" w:lineRule="exact"/>
        <w:rPr>
          <w:sz w:val="20"/>
          <w:szCs w:val="20"/>
          <w:color w:val="auto"/>
        </w:rPr>
      </w:pPr>
    </w:p>
    <w:p>
      <w:pPr>
        <w:ind w:left="1460" w:hanging="444"/>
        <w:spacing w:after="0" w:line="267"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8,893,083 shares of our Class A common stock to our employees, consultants, and directors, having a fair market value ranging from $8.26 to $54.97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88" w:lineRule="exact"/>
        <w:rPr>
          <w:rFonts w:ascii="Times New Roman" w:cs="Times New Roman" w:eastAsia="Times New Roman" w:hAnsi="Times New Roman"/>
          <w:sz w:val="18"/>
          <w:szCs w:val="18"/>
          <w:color w:val="auto"/>
        </w:rPr>
      </w:pPr>
    </w:p>
    <w:p>
      <w:pPr>
        <w:jc w:val="both"/>
        <w:ind w:left="1460" w:hanging="444"/>
        <w:spacing w:after="0" w:line="288" w:lineRule="auto"/>
        <w:tabs>
          <w:tab w:leader="none" w:pos="14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in connection with our acquisition of Arterys, Inc., we issued 174,499 shares of Class A common stock to former stockholders of Arterys, Inc.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in connection with an agreement and plan of merger to acquire Mpirik, Inc., we issued 130,874 shares of Class A common stock to former stockholders of Mpirik, Inc.</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Investor Rights Agreement, dated April 18,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10.5+**</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10.6+**</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10.7+**</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10.8+**</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 January 1,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10.9+**</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Ryan Fukushima,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Employee Stock Purchase Plan.</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8" w:right="7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18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Tempus Labs, Inc. and Glaxosmithkline LLC, dated August 1,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Credit Agreement, by and among Tempus Labs, Inc., the lenders party thereto, Ares Capital Corporation and Ares Capital Management LLC,</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dated September 22,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Limited Waiver and First Amendment to Credit Agreement, by and among Tempus Labs, Inc., the loan party signatories and lenders party</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thereto, and Ares Capital Corporation as administrative agent, dated April 25, 2023.</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II-7</w:t>
      </w:r>
    </w:p>
    <w:sectPr>
      <w:pgSz w:w="11900" w:h="16838" w:orient="portrait"/>
      <w:cols w:equalWidth="0" w:num="1">
        <w:col w:w="11040"/>
      </w:cols>
      <w:pgMar w:left="320" w:top="44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decimal"/>
      <w:start w:val="800"/>
    </w:lvl>
  </w:abstractNum>
  <w:abstractNum w:abstractNumId="7">
    <w:nsid w:val="BF72B14"/>
    <w:multiLevelType w:val="hybridMultilevel"/>
    <w:lvl w:ilvl="0">
      <w:lvlJc w:val="left"/>
      <w:lvlText w:val="•"/>
      <w:numFmt w:val="bullet"/>
      <w:start w:val="1"/>
    </w:lvl>
    <w:lvl w:ilvl="1">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1)"/>
      <w:numFmt w:val="decimal"/>
      <w:start w:val="1"/>
    </w:lvl>
  </w:abstractNum>
  <w:abstractNum w:abstractNumId="13">
    <w:nsid w:val="3B0FD379"/>
    <w:multiLevelType w:val="hybridMultilevel"/>
    <w:lvl w:ilvl="0">
      <w:lvlJc w:val="left"/>
      <w:lvlText w:val="(%1)"/>
      <w:numFmt w:val="decimal"/>
      <w:start w:val="2"/>
    </w:lvl>
  </w:abstractNum>
  <w:abstractNum w:abstractNumId="14">
    <w:nsid w:val="68EB2F63"/>
    <w:multiLevelType w:val="hybridMultilevel"/>
    <w:lvl w:ilvl="0">
      <w:lvlJc w:val="left"/>
      <w:lvlText w:val="(%1)"/>
      <w:numFmt w:val="decimal"/>
      <w:start w:val="1"/>
    </w:lvl>
  </w:abstractNum>
  <w:abstractNum w:abstractNumId="15">
    <w:nsid w:val="4962813B"/>
    <w:multiLevelType w:val="hybridMultilevel"/>
    <w:lvl w:ilvl="0">
      <w:lvlJc w:val="left"/>
      <w:lvlText w:val="(%1)"/>
      <w:numFmt w:val="decimal"/>
      <w:start w:val="2"/>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1)"/>
      <w:numFmt w:val="decimal"/>
      <w:start w:val="4"/>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1)"/>
      <w:numFmt w:val="lowerRoman"/>
      <w:start w:val="2"/>
    </w:lvl>
  </w:abstractNum>
  <w:abstractNum w:abstractNumId="72">
    <w:nsid w:val="1D9F6E5F"/>
    <w:multiLevelType w:val="hybridMultilevel"/>
    <w:lvl w:ilvl="0">
      <w:lvlJc w:val="left"/>
      <w:lvlText w:val="(%1)"/>
      <w:numFmt w:val="lowerRoman"/>
      <w:start w:val="5"/>
    </w:lvl>
  </w:abstractNum>
  <w:abstractNum w:abstractNumId="73">
    <w:nsid w:val="97E1B4E"/>
    <w:multiLevelType w:val="hybridMultilevel"/>
    <w:lvl w:ilvl="0">
      <w:lvlJc w:val="left"/>
      <w:lvlText w:val="(%1)"/>
      <w:numFmt w:val="lowerRoman"/>
      <w:start w:val="1"/>
    </w:lvl>
  </w:abstractNum>
  <w:abstractNum w:abstractNumId="74">
    <w:nsid w:val="51088277"/>
    <w:multiLevelType w:val="hybridMultilevel"/>
    <w:lvl w:ilvl="0">
      <w:lvlJc w:val="left"/>
      <w:lvlText w:val="(%1)"/>
      <w:numFmt w:val="lowerRoman"/>
      <w:start w:val="4"/>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lowerLetter"/>
      <w:start w:val="1"/>
    </w:lvl>
  </w:abstractNum>
  <w:abstractNum w:abstractNumId="88">
    <w:nsid w:val="6C80EC70"/>
    <w:multiLevelType w:val="hybridMultilevel"/>
    <w:lvl w:ilvl="0">
      <w:lvlJc w:val="left"/>
      <w:lvlText w:val="(%1)"/>
      <w:numFmt w:val="decimal"/>
      <w:start w:val="3"/>
    </w:lvl>
  </w:abstractNum>
  <w:abstractNum w:abstractNumId="89">
    <w:nsid w:val="379E21B5"/>
    <w:multiLevelType w:val="hybridMultilevel"/>
    <w:lvl w:ilvl="0">
      <w:lvlJc w:val="left"/>
      <w:lvlText w:val="(%1)"/>
      <w:numFmt w:val="decimal"/>
      <w:start w:val="4"/>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1)"/>
      <w:numFmt w:val="decimal"/>
      <w:start w:val="1"/>
    </w:lvl>
  </w:abstractNum>
  <w:abstractNum w:abstractNumId="92">
    <w:nsid w:val="4C9B0904"/>
    <w:multiLevelType w:val="hybridMultilevel"/>
    <w:lvl w:ilvl="0">
      <w:lvlJc w:val="left"/>
      <w:lvlText w:val="(%1)"/>
      <w:numFmt w:val="decimal"/>
      <w:start w:val="1"/>
    </w:lvl>
  </w:abstractNum>
  <w:abstractNum w:abstractNumId="93">
    <w:nsid w:val="6AA7B75C"/>
    <w:multiLevelType w:val="hybridMultilevel"/>
    <w:lvl w:ilvl="0">
      <w:lvlJc w:val="left"/>
      <w:lvlText w:val="(%1)"/>
      <w:numFmt w:val="decimal"/>
      <w:start w:val="2"/>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1)"/>
      <w:numFmt w:val="decimal"/>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1)"/>
      <w:numFmt w:val="decimal"/>
      <w:start w:val="2"/>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amp;"/>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1)"/>
      <w:numFmt w:val="lowerLetter"/>
      <w:start w:val="1"/>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lowerRoman"/>
      <w:start w:val="3"/>
    </w:lvl>
  </w:abstractNum>
  <w:abstractNum w:abstractNumId="117">
    <w:nsid w:val="5399C654"/>
    <w:multiLevelType w:val="hybridMultilevel"/>
    <w:lvl w:ilvl="0">
      <w:lvlJc w:val="left"/>
      <w:lvlText w:val="%1."/>
      <w:numFmt w:val="decimal"/>
      <w:start w:val="1"/>
    </w:lvl>
  </w:abstractNum>
  <w:abstractNum w:abstractNumId="118">
    <w:nsid w:val="20EE1348"/>
    <w:multiLevelType w:val="hybridMultilevel"/>
    <w:lvl w:ilvl="0">
      <w:lvlJc w:val="left"/>
      <w:lvlText w:val="%1."/>
      <w:numFmt w:val="decimal"/>
      <w:start w:val="2"/>
    </w:lvl>
  </w:abstractNum>
  <w:abstractNum w:abstractNumId="119">
    <w:nsid w:val="4427069A"/>
    <w:multiLevelType w:val="hybridMultilevel"/>
    <w:lvl w:ilvl="0">
      <w:lvlJc w:val="left"/>
      <w:lvlText w:val="(%1)"/>
      <w:numFmt w:val="lowerRoman"/>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1."/>
      <w:numFmt w:val="decimal"/>
      <w:start w:val="3"/>
    </w:lvl>
  </w:abstractNum>
  <w:abstractNum w:abstractNumId="122">
    <w:nsid w:val="704E1DD5"/>
    <w:multiLevelType w:val="hybridMultilevel"/>
    <w:lvl w:ilvl="0">
      <w:lvlJc w:val="left"/>
      <w:lvlText w:val="%1."/>
      <w:numFmt w:val="decimal"/>
      <w:start w:val="4"/>
    </w:lvl>
  </w:abstractNum>
  <w:abstractNum w:abstractNumId="123">
    <w:nsid w:val="57D2F10E"/>
    <w:multiLevelType w:val="hybridMultilevel"/>
    <w:lvl w:ilvl="0">
      <w:lvlJc w:val="left"/>
      <w:lvlText w:val="%1."/>
      <w:numFmt w:val="decimal"/>
      <w:start w:val="5"/>
    </w:lvl>
  </w:abstractNum>
  <w:abstractNum w:abstractNumId="124">
    <w:nsid w:val="BFFAE18"/>
    <w:multiLevelType w:val="hybridMultilevel"/>
    <w:lvl w:ilvl="0">
      <w:lvlJc w:val="left"/>
      <w:lvlText w:val="%1."/>
      <w:numFmt w:val="decimal"/>
      <w:start w:val="6"/>
    </w:lvl>
  </w:abstractNum>
  <w:abstractNum w:abstractNumId="125">
    <w:nsid w:val="E3E47A8"/>
    <w:multiLevelType w:val="hybridMultilevel"/>
    <w:lvl w:ilvl="0">
      <w:lvlJc w:val="left"/>
      <w:lvlText w:val="%1."/>
      <w:numFmt w:val="decimal"/>
      <w:start w:val="7"/>
    </w:lvl>
  </w:abstractNum>
  <w:abstractNum w:abstractNumId="126">
    <w:nsid w:val="2E48F044"/>
    <w:multiLevelType w:val="hybridMultilevel"/>
    <w:lvl w:ilvl="0">
      <w:lvlJc w:val="left"/>
      <w:lvlText w:val="%1."/>
      <w:numFmt w:val="decimal"/>
      <w:start w:val="8"/>
    </w:lvl>
  </w:abstractNum>
  <w:abstractNum w:abstractNumId="127">
    <w:nsid w:val="49D0FEAC"/>
    <w:multiLevelType w:val="hybridMultilevel"/>
    <w:lvl w:ilvl="0">
      <w:lvlJc w:val="left"/>
      <w:lvlText w:val="%1."/>
      <w:numFmt w:val="decimal"/>
      <w:start w:val="9"/>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1."/>
      <w:numFmt w:val="decimal"/>
      <w:start w:val="10"/>
    </w:lvl>
  </w:abstractNum>
  <w:abstractNum w:abstractNumId="131">
    <w:nsid w:val="634C574C"/>
    <w:multiLevelType w:val="hybridMultilevel"/>
    <w:lvl w:ilvl="0">
      <w:lvlJc w:val="left"/>
      <w:lvlText w:val="%1."/>
      <w:numFmt w:val="decimal"/>
      <w:start w:val="11"/>
    </w:lvl>
  </w:abstractNum>
  <w:abstractNum w:abstractNumId="132">
    <w:nsid w:val="24E99DD7"/>
    <w:multiLevelType w:val="hybridMultilevel"/>
    <w:lvl w:ilvl="0">
      <w:lvlJc w:val="left"/>
      <w:lvlText w:val="(%1)"/>
      <w:numFmt w:val="lowerRoman"/>
      <w:start w:val="1"/>
    </w:lvl>
  </w:abstractNum>
  <w:abstractNum w:abstractNumId="133">
    <w:nsid w:val="2A31B62D"/>
    <w:multiLevelType w:val="hybridMultilevel"/>
    <w:lvl w:ilvl="0">
      <w:lvlJc w:val="left"/>
      <w:lvlText w:val="%1."/>
      <w:numFmt w:val="decimal"/>
      <w:start w:val="12"/>
    </w:lvl>
  </w:abstractNum>
  <w:abstractNum w:abstractNumId="134">
    <w:nsid w:val="1849C29B"/>
    <w:multiLevelType w:val="hybridMultilevel"/>
    <w:lvl w:ilvl="0">
      <w:lvlJc w:val="left"/>
      <w:lvlText w:val="%1."/>
      <w:numFmt w:val="decimal"/>
      <w:start w:val="14"/>
    </w:lvl>
  </w:abstractNum>
  <w:abstractNum w:abstractNumId="135">
    <w:nsid w:val="7DFF9D09"/>
    <w:multiLevelType w:val="hybridMultilevel"/>
    <w:lvl w:ilvl="0">
      <w:lvlJc w:val="left"/>
      <w:lvlText w:val="%1."/>
      <w:numFmt w:val="decimal"/>
      <w:start w:val="15"/>
    </w:lvl>
  </w:abstractNum>
  <w:abstractNum w:abstractNumId="136">
    <w:nsid w:val="754342"/>
    <w:multiLevelType w:val="hybridMultilevel"/>
    <w:lvl w:ilvl="0">
      <w:lvlJc w:val="left"/>
      <w:lvlText w:val="%1."/>
      <w:numFmt w:val="decimal"/>
      <w:start w:val="16"/>
    </w:lvl>
  </w:abstractNum>
  <w:abstractNum w:abstractNumId="137">
    <w:nsid w:val="69E7F3E5"/>
    <w:multiLevelType w:val="hybridMultilevel"/>
    <w:lvl w:ilvl="0">
      <w:lvlJc w:val="left"/>
      <w:lvlText w:val="$"/>
      <w:numFmt w:val="bullet"/>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1)"/>
      <w:numFmt w:val="decimal"/>
      <w:start w:val="11"/>
    </w:lvl>
  </w:abstractNum>
  <w:abstractNum w:abstractNumId="141">
    <w:nsid w:val="7AB49DAF"/>
    <w:multiLevelType w:val="hybridMultilevel"/>
    <w:lvl w:ilvl="0">
      <w:lvlJc w:val="left"/>
      <w:lvlText w:val="(%1)"/>
      <w:numFmt w:val="lowerLetter"/>
      <w:start w:val="1"/>
    </w:lvl>
  </w:abstractNum>
  <w:abstractNum w:abstractNumId="142">
    <w:nsid w:val="759F82CD"/>
    <w:multiLevelType w:val="hybridMultilevel"/>
    <w:lvl w:ilvl="0">
      <w:lvlJc w:val="left"/>
      <w:lvlText w:val="(%1)"/>
      <w:numFmt w:val="lowerLetter"/>
      <w:start w:val="2"/>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2024-05-25T05:26:34Z</dcterms:created>
  <dcterms:modified xsi:type="dcterms:W3CDTF">2024-05-25T05:26:34Z</dcterms:modified>
</cp:coreProperties>
</file>