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52026_040801.xml.htm"/>
      <w:bookmarkStart w:id="1" w:name="ksform408052026_0408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Fukushima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Data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43.25</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166,763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44.33</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165,463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45.33</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162,363</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15,856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46.57</w:t>
            </w:r>
            <w:r>
              <w:rPr>
                <w:rFonts w:ascii="Times;serif" w:hAnsi="Times;serif"/>
                <w:color w:val="008000"/>
                <w:position w:val="7"/>
                <w:sz w:val="16"/>
                <w:sz w:val="20"/>
                <w:shd w:fill="FFFFFF" w:val="clear"/>
              </w:rPr>
              <w:t>(5)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146,507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46.94</w:t>
            </w:r>
            <w:r>
              <w:rPr>
                <w:rFonts w:ascii="Times;serif" w:hAnsi="Times;serif"/>
                <w:color w:val="008000"/>
                <w:position w:val="7"/>
                <w:sz w:val="16"/>
                <w:sz w:val="20"/>
                <w:shd w:fill="FFFFFF" w:val="clear"/>
              </w:rPr>
              <w:t>(6)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143,945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603,558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Person's spouse on March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$42.84 to $43.68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(5) and (6).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at prices ranging from $43.86 to $44.77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$44.88 to $45.87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These shares were sold in multiple transactions at prices ranging from $45.88 to $46.87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a weighted average price. These shares were sold in multiple transactions at prices ranging from $46.88 to $47.12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4250"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822</Words>
  <Characters>4365</Characters>
  <CharactersWithSpaces>5074</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