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vMerge w:val="restart"/>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02/27/2025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72" w:lineRule="exact"/>
        <w:rPr>
          <w:sz w:val="20"/>
          <w:szCs w:val="20"/>
          <w:color w:val="auto"/>
        </w:rPr>
      </w:pPr>
    </w:p>
    <w:p>
      <w:pPr>
        <w:sectPr>
          <w:pgSz w:w="11900" w:h="16838" w:orient="portrait"/>
          <w:cols w:equalWidth="0" w:num="2">
            <w:col w:w="7660" w:space="75"/>
            <w:col w:w="3225"/>
          </w:cols>
          <w:pgMar w:left="460" w:top="219" w:right="479" w:bottom="0" w:gutter="0" w:footer="0" w:header="0"/>
          <w:type w:val="continuous"/>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0"/>
          <w:szCs w:val="20"/>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jc w:val="center"/>
              <w:ind w:left="4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vMerge w:val="restart"/>
          </w:tcPr>
          <w:p>
            <w:pPr>
              <w:jc w:val="center"/>
              <w:ind w:right="318"/>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3,372,045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1,580,928</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38"/>
        </w:trPr>
        <w:tc>
          <w:tcPr>
            <w:tcW w:w="23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1,580,928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vMerge w:val="restart"/>
          </w:tcPr>
          <w:p>
            <w:pPr>
              <w:jc w:val="center"/>
              <w:ind w:right="318"/>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132,880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115,751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38"/>
        </w:trPr>
        <w:tc>
          <w:tcPr>
            <w:tcW w:w="23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115,751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145,966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Series</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vMerge w:val="restart"/>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1,397,589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4"/>
        </w:trPr>
        <w:tc>
          <w:tcPr>
            <w:tcW w:w="23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0000FF"/>
              </w:rPr>
              <w:t>02/27/2025</w:t>
            </w:r>
          </w:p>
        </w:tc>
        <w:tc>
          <w:tcPr>
            <w:tcW w:w="1140" w:type="dxa"/>
            <w:vAlign w:val="bottom"/>
          </w:tcPr>
          <w:p>
            <w:pPr>
              <w:spacing w:after="0"/>
              <w:rPr>
                <w:sz w:val="18"/>
                <w:szCs w:val="18"/>
                <w:color w:val="auto"/>
              </w:rPr>
            </w:pPr>
          </w:p>
        </w:tc>
        <w:tc>
          <w:tcPr>
            <w:tcW w:w="80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26,489,477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65"/>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4,895,589</w:t>
            </w:r>
          </w:p>
        </w:tc>
        <w:tc>
          <w:tcPr>
            <w:tcW w:w="96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187</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161"/>
        </w:trPr>
        <w:tc>
          <w:tcPr>
            <w:tcW w:w="234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798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798385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w w:val="99"/>
              </w:rPr>
              <w:t>9,557,283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0000FF"/>
              </w:rPr>
              <w:t>206</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color w:val="0000FF"/>
              </w:rPr>
              <w:t>332,131</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(2)</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Blue Media,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without additional consideration, and not a purchase or sale of securities, by Innovation Group Investors, L.P. - 2011 Series.</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Gray Media, LLC, Lightbank Investments 1B, LLC, Lightbank Global LLC, (iii) the manager of the general partner of Innovation Group Investors, L.P. - 2011 Series and Innovation Group Investors, L.P. - Series 1B and (iv) a trustee of Lefkofsky Family Foundation.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without additional consideration, and not a purchase or sale of securities, by Lightbank Investments 1B, LLC.</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Blue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73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738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line="185"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2"/>
          <w:szCs w:val="32"/>
          <w:color w:val="0000FF"/>
          <w:vertAlign w:val="subscript"/>
        </w:rPr>
        <w:t>02/27/2025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Eric P.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61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617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3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 Id="rId17" Type="http://schemas.openxmlformats.org/officeDocument/2006/relationships/hyperlink" Target="http://www.sec.gov/cgi-bin/browse-edgar?action=getcompany&amp;CIK=0002026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2025-02-27T18:48:09Z</dcterms:created>
  <dcterms:modified xsi:type="dcterms:W3CDTF">2025-02-27T18:48:09Z</dcterms:modified>
</cp:coreProperties>
</file>