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116586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Christina T. Roupas</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+1 312 881 6670</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croupas@cooley.com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Via EDGAR</w:t>
      </w:r>
    </w:p>
    <w:p>
      <w:pPr>
        <w:spacing w:after="0" w:line="650" w:lineRule="exact"/>
        <w:rPr>
          <w:sz w:val="24"/>
          <w:szCs w:val="24"/>
          <w:color w:val="auto"/>
        </w:rPr>
      </w:pPr>
    </w:p>
    <w:p>
      <w:pPr>
        <w:sectPr>
          <w:pgSz w:w="11900" w:h="16838" w:orient="portrait"/>
          <w:cols w:equalWidth="0" w:num="2">
            <w:col w:w="9384" w:space="720"/>
            <w:col w:w="920"/>
          </w:cols>
          <w:pgMar w:left="436" w:top="1066" w:right="439" w:bottom="1440" w:gutter="0" w:footer="0" w:header="0"/>
        </w:sectPr>
      </w:pPr>
    </w:p>
    <w:p>
      <w:pPr>
        <w:spacing w:after="0" w:line="68" w:lineRule="exact"/>
        <w:rPr>
          <w:sz w:val="24"/>
          <w:szCs w:val="24"/>
          <w:color w:val="auto"/>
        </w:rPr>
      </w:pPr>
    </w:p>
    <w:p>
      <w:pPr>
        <w:ind w:left="164" w:right="260"/>
        <w:spacing w:after="0" w:line="291" w:lineRule="auto"/>
        <w:rPr>
          <w:sz w:val="20"/>
          <w:szCs w:val="20"/>
          <w:color w:val="auto"/>
        </w:rPr>
      </w:pPr>
      <w:r>
        <w:rPr>
          <w:rFonts w:ascii="Times New Roman" w:cs="Times New Roman" w:eastAsia="Times New Roman" w:hAnsi="Times New Roman"/>
          <w:sz w:val="17"/>
          <w:szCs w:val="17"/>
          <w:b w:val="1"/>
          <w:bCs w:val="1"/>
          <w:color w:val="auto"/>
        </w:rPr>
        <w:t>CERTAIN PORTIONS OF THIS LETTER HAVE BEEN OMITTED FROM THE VERSION FILED VIA EDGAR. CONFIDENTIAL TREATMENT HAS BEEN REQUESTED WITH RESPECT TO THE OMITTED PORTIONS. INFORMATION THAT WAS OMITTED IN THE EDGAR VERSION HAS BEEN NOTED IN THIS LETTER WITH A PLACEHOLDER IDENTIFIED BY THE MARK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-445135</wp:posOffset>
            </wp:positionV>
            <wp:extent cx="7003415" cy="428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428625"/>
                    </a:xfrm>
                    <a:prstGeom prst="rect">
                      <a:avLst/>
                    </a:prstGeom>
                    <a:noFill/>
                  </pic:spPr>
                </pic:pic>
              </a:graphicData>
            </a:graphic>
          </wp:anchor>
        </w:drawing>
      </w:r>
    </w:p>
    <w:p>
      <w:pPr>
        <w:spacing w:after="0" w:line="15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13, 2023</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4"/>
          <w:szCs w:val="24"/>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Jan Woo, Legal Branch Chief</w:t>
      </w:r>
    </w:p>
    <w:p>
      <w:pPr>
        <w:spacing w:after="0" w:line="27" w:lineRule="exact"/>
        <w:rPr>
          <w:sz w:val="24"/>
          <w:szCs w:val="24"/>
          <w:color w:val="auto"/>
        </w:rPr>
      </w:pPr>
    </w:p>
    <w:p>
      <w:pPr>
        <w:ind w:left="884"/>
        <w:spacing w:after="0"/>
        <w:rPr>
          <w:sz w:val="20"/>
          <w:szCs w:val="20"/>
          <w:color w:val="auto"/>
        </w:rPr>
      </w:pPr>
      <w:r>
        <w:rPr>
          <w:rFonts w:ascii="Times New Roman" w:cs="Times New Roman" w:eastAsia="Times New Roman" w:hAnsi="Times New Roman"/>
          <w:sz w:val="18"/>
          <w:szCs w:val="18"/>
          <w:color w:val="auto"/>
        </w:rPr>
        <w:t>Kyle Wiley, Staff Attorney</w:t>
      </w:r>
    </w:p>
    <w:p>
      <w:pPr>
        <w:spacing w:after="0" w:line="9" w:lineRule="exact"/>
        <w:rPr>
          <w:sz w:val="24"/>
          <w:szCs w:val="24"/>
          <w:color w:val="auto"/>
        </w:rPr>
      </w:pPr>
    </w:p>
    <w:p>
      <w:pPr>
        <w:ind w:left="884"/>
        <w:spacing w:after="0"/>
        <w:rPr>
          <w:sz w:val="20"/>
          <w:szCs w:val="20"/>
          <w:color w:val="auto"/>
        </w:rPr>
      </w:pPr>
      <w:r>
        <w:rPr>
          <w:rFonts w:ascii="Times New Roman" w:cs="Times New Roman" w:eastAsia="Times New Roman" w:hAnsi="Times New Roman"/>
          <w:sz w:val="18"/>
          <w:szCs w:val="18"/>
          <w:color w:val="auto"/>
        </w:rPr>
        <w:t>Robert Littlepage, Accounting Branch Chief</w:t>
      </w:r>
    </w:p>
    <w:p>
      <w:pPr>
        <w:spacing w:after="0" w:line="9" w:lineRule="exact"/>
        <w:rPr>
          <w:sz w:val="24"/>
          <w:szCs w:val="24"/>
          <w:color w:val="auto"/>
        </w:rPr>
      </w:pPr>
    </w:p>
    <w:p>
      <w:pPr>
        <w:ind w:left="884"/>
        <w:spacing w:after="0"/>
        <w:rPr>
          <w:sz w:val="20"/>
          <w:szCs w:val="20"/>
          <w:color w:val="auto"/>
        </w:rPr>
      </w:pPr>
      <w:r>
        <w:rPr>
          <w:rFonts w:ascii="Times New Roman" w:cs="Times New Roman" w:eastAsia="Times New Roman" w:hAnsi="Times New Roman"/>
          <w:sz w:val="18"/>
          <w:szCs w:val="18"/>
          <w:color w:val="auto"/>
        </w:rPr>
        <w:t>Lisa Etheredge, Senior Staff Accountant</w:t>
      </w:r>
    </w:p>
    <w:p>
      <w:pPr>
        <w:spacing w:after="0" w:line="230"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Tempus Labs, Inc.</w:t>
      </w:r>
    </w:p>
    <w:p>
      <w:pPr>
        <w:spacing w:after="0" w:line="31" w:lineRule="exact"/>
        <w:rPr>
          <w:sz w:val="24"/>
          <w:szCs w:val="24"/>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Draft Registration Statement on Form S-1</w:t>
      </w:r>
    </w:p>
    <w:p>
      <w:pPr>
        <w:spacing w:after="0" w:line="9" w:lineRule="exact"/>
        <w:rPr>
          <w:sz w:val="24"/>
          <w:szCs w:val="24"/>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Submitted October 19, 2022</w:t>
      </w:r>
    </w:p>
    <w:p>
      <w:pPr>
        <w:spacing w:after="0" w:line="9" w:lineRule="exact"/>
        <w:rPr>
          <w:sz w:val="24"/>
          <w:szCs w:val="24"/>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CIK: 0001717115</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4"/>
          <w:szCs w:val="24"/>
          <w:color w:val="auto"/>
        </w:rPr>
      </w:pPr>
    </w:p>
    <w:p>
      <w:pPr>
        <w:ind w:left="4" w:right="80"/>
        <w:spacing w:after="0" w:line="262" w:lineRule="auto"/>
        <w:rPr>
          <w:sz w:val="20"/>
          <w:szCs w:val="20"/>
          <w:color w:val="auto"/>
        </w:rPr>
      </w:pPr>
      <w:r>
        <w:rPr>
          <w:rFonts w:ascii="Times New Roman" w:cs="Times New Roman" w:eastAsia="Times New Roman" w:hAnsi="Times New Roman"/>
          <w:sz w:val="18"/>
          <w:szCs w:val="18"/>
          <w:color w:val="auto"/>
        </w:rPr>
        <w:t>On behalf of Tempus Labs,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we are providing this letter in response to a comment (the “</w:t>
      </w:r>
      <w:r>
        <w:rPr>
          <w:rFonts w:ascii="Times New Roman" w:cs="Times New Roman" w:eastAsia="Times New Roman" w:hAnsi="Times New Roman"/>
          <w:sz w:val="18"/>
          <w:szCs w:val="18"/>
          <w:b w:val="1"/>
          <w:bCs w:val="1"/>
          <w:i w:val="1"/>
          <w:iCs w:val="1"/>
          <w:color w:val="auto"/>
        </w:rPr>
        <w:t>Comment</w:t>
      </w:r>
      <w:r>
        <w:rPr>
          <w:rFonts w:ascii="Times New Roman" w:cs="Times New Roman" w:eastAsia="Times New Roman" w:hAnsi="Times New Roman"/>
          <w:sz w:val="18"/>
          <w:szCs w:val="18"/>
          <w:color w:val="auto"/>
        </w:rPr>
        <w:t>”) received from the staff of the U.S. Securities and Exchange Commission’s Division of Corporation Finance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by letter dated October 27, 2022 with respect to the Company’s Amendment No. 4 to the Draft Registration Statement on Form S-1, as confidentially submitted to the Staff on October 19, 2022 (as amended from time to time, the “</w:t>
      </w:r>
      <w:r>
        <w:rPr>
          <w:rFonts w:ascii="Times New Roman" w:cs="Times New Roman" w:eastAsia="Times New Roman" w:hAnsi="Times New Roman"/>
          <w:sz w:val="18"/>
          <w:szCs w:val="18"/>
          <w:b w:val="1"/>
          <w:bCs w:val="1"/>
          <w:i w:val="1"/>
          <w:iCs w:val="1"/>
          <w:color w:val="auto"/>
        </w:rPr>
        <w:t>Draft Registration Statement</w:t>
      </w:r>
      <w:r>
        <w:rPr>
          <w:rFonts w:ascii="Times New Roman" w:cs="Times New Roman" w:eastAsia="Times New Roman" w:hAnsi="Times New Roman"/>
          <w:sz w:val="18"/>
          <w:szCs w:val="18"/>
          <w:color w:val="auto"/>
        </w:rPr>
        <w:t>”).</w:t>
      </w:r>
    </w:p>
    <w:p>
      <w:pPr>
        <w:spacing w:after="0" w:line="180" w:lineRule="exact"/>
        <w:rPr>
          <w:sz w:val="24"/>
          <w:szCs w:val="24"/>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Set forth below are the Company’s responses to the Comment. The numbering of the paragraphs below corresponds to the numbering of the Comment, which for your convenience we have incorporated into this response letter in italics.</w:t>
      </w:r>
    </w:p>
    <w:p>
      <w:pPr>
        <w:spacing w:after="0" w:line="27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Consolidated Financial Statements</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9. Stock-Based Compensation, page F-29</w:t>
      </w:r>
    </w:p>
    <w:p>
      <w:pPr>
        <w:spacing w:after="0" w:line="110" w:lineRule="exact"/>
        <w:rPr>
          <w:sz w:val="24"/>
          <w:szCs w:val="24"/>
          <w:color w:val="auto"/>
        </w:rPr>
      </w:pPr>
    </w:p>
    <w:p>
      <w:pPr>
        <w:ind w:left="424" w:right="160" w:hanging="424"/>
        <w:spacing w:after="0" w:line="261" w:lineRule="auto"/>
        <w:tabs>
          <w:tab w:leader="none" w:pos="424"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response to prior comment 5. Please provide us with a breakdown of the details of all stock-based compensation awards granted since August 1, 2021, including the fair value of the underlying stock used to value such awards. To the extent there were any significant fluctuations in the fair values, please describe for us the factors that contributed to such fluctuations, including any intervening events within the company or changes in your valuation assumptions or methodology.</w:t>
      </w:r>
    </w:p>
    <w:p>
      <w:pPr>
        <w:spacing w:after="0" w:line="110" w:lineRule="exact"/>
        <w:rPr>
          <w:sz w:val="24"/>
          <w:szCs w:val="24"/>
          <w:color w:val="auto"/>
        </w:rPr>
      </w:pPr>
    </w:p>
    <w:p>
      <w:pPr>
        <w:jc w:val="center"/>
        <w:ind w:right="-3"/>
        <w:spacing w:after="0"/>
        <w:tabs>
          <w:tab w:leader="none" w:pos="120" w:val="left"/>
          <w:tab w:leader="none" w:pos="120" w:val="left"/>
          <w:tab w:leader="none" w:pos="120" w:val="left"/>
        </w:tabs>
        <w:rPr>
          <w:sz w:val="20"/>
          <w:szCs w:val="20"/>
          <w:color w:val="auto"/>
        </w:rPr>
      </w:pPr>
      <w:r>
        <w:rPr>
          <w:rFonts w:ascii="Times New Roman" w:cs="Times New Roman" w:eastAsia="Times New Roman" w:hAnsi="Times New Roman"/>
          <w:sz w:val="14"/>
          <w:szCs w:val="14"/>
          <w:color w:val="auto"/>
        </w:rPr>
        <w:t>Cooley LLP</w:t>
        <w:tab/>
        <w:t>110 N. Wacker Drive Suite 4200</w:t>
        <w:tab/>
        <w:t>Chicago, IL</w:t>
        <w:tab/>
        <w:t>60606-1511</w:t>
      </w:r>
    </w:p>
    <w:p>
      <w:pPr>
        <w:spacing w:after="0" w:line="4" w:lineRule="exact"/>
        <w:rPr>
          <w:sz w:val="24"/>
          <w:szCs w:val="24"/>
          <w:color w:val="auto"/>
        </w:rPr>
      </w:pPr>
    </w:p>
    <w:p>
      <w:pPr>
        <w:jc w:val="center"/>
        <w:ind w:right="16"/>
        <w:spacing w:after="0"/>
        <w:tabs>
          <w:tab w:leader="none" w:pos="120" w:val="left"/>
          <w:tab w:leader="none" w:pos="120" w:val="left"/>
        </w:tabs>
        <w:rPr>
          <w:sz w:val="20"/>
          <w:szCs w:val="20"/>
          <w:color w:val="auto"/>
        </w:rPr>
      </w:pPr>
      <w:r>
        <w:rPr>
          <w:rFonts w:ascii="Times New Roman" w:cs="Times New Roman" w:eastAsia="Times New Roman" w:hAnsi="Times New Roman"/>
          <w:sz w:val="14"/>
          <w:szCs w:val="14"/>
          <w:color w:val="auto"/>
        </w:rPr>
        <w:t>t: (312) 881-6500-</w:t>
        <w:tab/>
        <w:t>f: (312) 881-6598</w:t>
        <w:tab/>
        <w:t>cooley.com</w:t>
      </w:r>
    </w:p>
    <w:p>
      <w:pPr>
        <w:sectPr>
          <w:pgSz w:w="11900" w:h="16838" w:orient="portrait"/>
          <w:cols w:equalWidth="0" w:num="1">
            <w:col w:w="11024"/>
          </w:cols>
          <w:pgMar w:left="436" w:top="1066"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13,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Two</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response to the Staff’s Comment, the Company has provided a summary of stock award grant activity since August 1, 2021 below:</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52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Type of Award</w:t>
            </w: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500" w:type="dxa"/>
            <w:vAlign w:val="bottom"/>
            <w:gridSpan w:val="2"/>
          </w:tcPr>
          <w:p>
            <w:pPr>
              <w:jc w:val="center"/>
              <w:ind w:left="233"/>
              <w:spacing w:after="0"/>
              <w:rPr>
                <w:sz w:val="20"/>
                <w:szCs w:val="20"/>
                <w:color w:val="auto"/>
              </w:rPr>
            </w:pPr>
            <w:r>
              <w:rPr>
                <w:rFonts w:ascii="Times New Roman" w:cs="Times New Roman" w:eastAsia="Times New Roman" w:hAnsi="Times New Roman"/>
                <w:sz w:val="14"/>
                <w:szCs w:val="14"/>
                <w:b w:val="1"/>
                <w:bCs w:val="1"/>
                <w:color w:val="auto"/>
              </w:rPr>
              <w:t>Number of Awards</w:t>
            </w:r>
          </w:p>
        </w:tc>
        <w:tc>
          <w:tcPr>
            <w:tcW w:w="1120" w:type="dxa"/>
            <w:vAlign w:val="bottom"/>
            <w:gridSpan w:val="2"/>
          </w:tcPr>
          <w:p>
            <w:pPr>
              <w:jc w:val="center"/>
              <w:ind w:left="353"/>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4780" w:type="dxa"/>
            <w:vAlign w:val="bottom"/>
            <w:gridSpan w:val="3"/>
          </w:tcPr>
          <w:p>
            <w:pPr>
              <w:ind w:left="1800"/>
              <w:spacing w:after="0"/>
              <w:rPr>
                <w:sz w:val="20"/>
                <w:szCs w:val="20"/>
                <w:color w:val="auto"/>
              </w:rPr>
            </w:pPr>
            <w:r>
              <w:rPr>
                <w:rFonts w:ascii="Times New Roman" w:cs="Times New Roman" w:eastAsia="Times New Roman" w:hAnsi="Times New Roman"/>
                <w:sz w:val="14"/>
                <w:szCs w:val="14"/>
                <w:b w:val="1"/>
                <w:bCs w:val="1"/>
                <w:color w:val="auto"/>
              </w:rPr>
              <w:t>Valuation Methodology</w:t>
            </w:r>
          </w:p>
        </w:tc>
      </w:tr>
      <w:tr>
        <w:trPr>
          <w:trHeight w:val="20"/>
        </w:trPr>
        <w:tc>
          <w:tcPr>
            <w:tcW w:w="5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0"/>
        </w:trPr>
        <w:tc>
          <w:tcPr>
            <w:tcW w:w="2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w:t>
            </w:r>
          </w:p>
        </w:tc>
        <w:tc>
          <w:tcPr>
            <w:tcW w:w="1600" w:type="dxa"/>
            <w:vAlign w:val="bottom"/>
            <w:gridSpan w:val="3"/>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10/13/2021</w:t>
            </w:r>
          </w:p>
        </w:tc>
        <w:tc>
          <w:tcPr>
            <w:tcW w:w="1500" w:type="dxa"/>
            <w:vAlign w:val="bottom"/>
            <w:gridSpan w:val="2"/>
            <w:shd w:val="clear" w:color="auto" w:fill="CCEEFF"/>
          </w:tcPr>
          <w:p>
            <w:pPr>
              <w:jc w:val="center"/>
              <w:ind w:left="233"/>
              <w:spacing w:after="0"/>
              <w:rPr>
                <w:sz w:val="20"/>
                <w:szCs w:val="20"/>
                <w:color w:val="auto"/>
              </w:rPr>
            </w:pPr>
            <w:r>
              <w:rPr>
                <w:rFonts w:ascii="Times New Roman" w:cs="Times New Roman" w:eastAsia="Times New Roman" w:hAnsi="Times New Roman"/>
                <w:sz w:val="18"/>
                <w:szCs w:val="18"/>
                <w:color w:val="auto"/>
                <w:w w:val="97"/>
              </w:rPr>
              <w:t>[***]</w:t>
            </w:r>
          </w:p>
        </w:tc>
        <w:tc>
          <w:tcPr>
            <w:tcW w:w="1120" w:type="dxa"/>
            <w:vAlign w:val="bottom"/>
            <w:gridSpan w:val="2"/>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rPr>
              <w:t>[***]</w:t>
            </w:r>
          </w:p>
        </w:tc>
        <w:tc>
          <w:tcPr>
            <w:tcW w:w="47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Market Approach – PWERM</w:t>
            </w:r>
          </w:p>
        </w:tc>
      </w:tr>
      <w:tr>
        <w:trPr>
          <w:trHeight w:val="216"/>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Restricted Stock Unit</w:t>
            </w:r>
          </w:p>
        </w:tc>
        <w:tc>
          <w:tcPr>
            <w:tcW w:w="122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1/3/2022</w:t>
            </w:r>
          </w:p>
        </w:tc>
        <w:tc>
          <w:tcPr>
            <w:tcW w:w="380" w:type="dxa"/>
            <w:vAlign w:val="bottom"/>
          </w:tcPr>
          <w:p>
            <w:pPr>
              <w:spacing w:after="0"/>
              <w:rPr>
                <w:sz w:val="18"/>
                <w:szCs w:val="18"/>
                <w:color w:val="auto"/>
              </w:rPr>
            </w:pPr>
          </w:p>
        </w:tc>
        <w:tc>
          <w:tcPr>
            <w:tcW w:w="1500" w:type="dxa"/>
            <w:vAlign w:val="bottom"/>
            <w:gridSpan w:val="2"/>
          </w:tcPr>
          <w:p>
            <w:pPr>
              <w:jc w:val="center"/>
              <w:ind w:left="233"/>
              <w:spacing w:after="0"/>
              <w:rPr>
                <w:sz w:val="20"/>
                <w:szCs w:val="20"/>
                <w:color w:val="auto"/>
              </w:rPr>
            </w:pPr>
            <w:r>
              <w:rPr>
                <w:rFonts w:ascii="Times New Roman" w:cs="Times New Roman" w:eastAsia="Times New Roman" w:hAnsi="Times New Roman"/>
                <w:sz w:val="18"/>
                <w:szCs w:val="18"/>
                <w:color w:val="auto"/>
                <w:w w:val="97"/>
              </w:rPr>
              <w:t>[***]</w:t>
            </w:r>
          </w:p>
        </w:tc>
        <w:tc>
          <w:tcPr>
            <w:tcW w:w="1120" w:type="dxa"/>
            <w:vAlign w:val="bottom"/>
            <w:gridSpan w:val="2"/>
          </w:tcPr>
          <w:p>
            <w:pPr>
              <w:jc w:val="center"/>
              <w:ind w:left="353"/>
              <w:spacing w:after="0"/>
              <w:rPr>
                <w:sz w:val="20"/>
                <w:szCs w:val="20"/>
                <w:color w:val="auto"/>
              </w:rPr>
            </w:pPr>
            <w:r>
              <w:rPr>
                <w:rFonts w:ascii="Times New Roman" w:cs="Times New Roman" w:eastAsia="Times New Roman" w:hAnsi="Times New Roman"/>
                <w:sz w:val="18"/>
                <w:szCs w:val="18"/>
                <w:color w:val="auto"/>
              </w:rPr>
              <w:t>[***]</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Market Approach – PWERM</w:t>
            </w:r>
          </w:p>
        </w:tc>
      </w:tr>
      <w:tr>
        <w:trPr>
          <w:trHeight w:val="216"/>
        </w:trPr>
        <w:tc>
          <w:tcPr>
            <w:tcW w:w="2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w:t>
            </w:r>
          </w:p>
        </w:tc>
        <w:tc>
          <w:tcPr>
            <w:tcW w:w="1600" w:type="dxa"/>
            <w:vAlign w:val="bottom"/>
            <w:gridSpan w:val="3"/>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1/27/2022</w:t>
            </w:r>
          </w:p>
        </w:tc>
        <w:tc>
          <w:tcPr>
            <w:tcW w:w="1500" w:type="dxa"/>
            <w:vAlign w:val="bottom"/>
            <w:gridSpan w:val="2"/>
            <w:shd w:val="clear" w:color="auto" w:fill="CCEEFF"/>
          </w:tcPr>
          <w:p>
            <w:pPr>
              <w:jc w:val="center"/>
              <w:ind w:left="233"/>
              <w:spacing w:after="0"/>
              <w:rPr>
                <w:sz w:val="20"/>
                <w:szCs w:val="20"/>
                <w:color w:val="auto"/>
              </w:rPr>
            </w:pPr>
            <w:r>
              <w:rPr>
                <w:rFonts w:ascii="Times New Roman" w:cs="Times New Roman" w:eastAsia="Times New Roman" w:hAnsi="Times New Roman"/>
                <w:sz w:val="18"/>
                <w:szCs w:val="18"/>
                <w:color w:val="auto"/>
                <w:w w:val="97"/>
              </w:rPr>
              <w:t>[***]</w:t>
            </w:r>
          </w:p>
        </w:tc>
        <w:tc>
          <w:tcPr>
            <w:tcW w:w="1120" w:type="dxa"/>
            <w:vAlign w:val="bottom"/>
            <w:gridSpan w:val="2"/>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rPr>
              <w:t>[***]</w:t>
            </w:r>
          </w:p>
        </w:tc>
        <w:tc>
          <w:tcPr>
            <w:tcW w:w="47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Market Approach – PWERM</w:t>
            </w:r>
          </w:p>
        </w:tc>
      </w:tr>
      <w:tr>
        <w:trPr>
          <w:trHeight w:val="216"/>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Restricted Stock Unit</w:t>
            </w:r>
          </w:p>
        </w:tc>
        <w:tc>
          <w:tcPr>
            <w:tcW w:w="160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4/27/2022</w:t>
            </w:r>
          </w:p>
        </w:tc>
        <w:tc>
          <w:tcPr>
            <w:tcW w:w="1500" w:type="dxa"/>
            <w:vAlign w:val="bottom"/>
            <w:gridSpan w:val="2"/>
          </w:tcPr>
          <w:p>
            <w:pPr>
              <w:jc w:val="center"/>
              <w:ind w:left="233"/>
              <w:spacing w:after="0"/>
              <w:rPr>
                <w:sz w:val="20"/>
                <w:szCs w:val="20"/>
                <w:color w:val="auto"/>
              </w:rPr>
            </w:pPr>
            <w:r>
              <w:rPr>
                <w:rFonts w:ascii="Times New Roman" w:cs="Times New Roman" w:eastAsia="Times New Roman" w:hAnsi="Times New Roman"/>
                <w:sz w:val="18"/>
                <w:szCs w:val="18"/>
                <w:color w:val="auto"/>
                <w:w w:val="97"/>
              </w:rPr>
              <w:t>[***]</w:t>
            </w:r>
          </w:p>
        </w:tc>
        <w:tc>
          <w:tcPr>
            <w:tcW w:w="1120" w:type="dxa"/>
            <w:vAlign w:val="bottom"/>
            <w:gridSpan w:val="2"/>
          </w:tcPr>
          <w:p>
            <w:pPr>
              <w:jc w:val="center"/>
              <w:ind w:left="353"/>
              <w:spacing w:after="0"/>
              <w:rPr>
                <w:sz w:val="20"/>
                <w:szCs w:val="20"/>
                <w:color w:val="auto"/>
              </w:rPr>
            </w:pPr>
            <w:r>
              <w:rPr>
                <w:rFonts w:ascii="Times New Roman" w:cs="Times New Roman" w:eastAsia="Times New Roman" w:hAnsi="Times New Roman"/>
                <w:sz w:val="18"/>
                <w:szCs w:val="18"/>
                <w:color w:val="auto"/>
              </w:rPr>
              <w:t>[***]</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Market Approach – PWERM</w:t>
            </w:r>
          </w:p>
        </w:tc>
      </w:tr>
      <w:tr>
        <w:trPr>
          <w:trHeight w:val="198"/>
        </w:trPr>
        <w:tc>
          <w:tcPr>
            <w:tcW w:w="20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Restricted Stock Unit</w:t>
            </w:r>
          </w:p>
        </w:tc>
        <w:tc>
          <w:tcPr>
            <w:tcW w:w="1600" w:type="dxa"/>
            <w:vAlign w:val="bottom"/>
            <w:gridSpan w:val="3"/>
            <w:shd w:val="clear" w:color="auto" w:fill="CCEEFF"/>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rPr>
              <w:t>7/14/2022</w:t>
            </w:r>
          </w:p>
        </w:tc>
        <w:tc>
          <w:tcPr>
            <w:tcW w:w="1500" w:type="dxa"/>
            <w:vAlign w:val="bottom"/>
            <w:gridSpan w:val="2"/>
            <w:shd w:val="clear" w:color="auto" w:fill="CCEEFF"/>
          </w:tcPr>
          <w:p>
            <w:pPr>
              <w:jc w:val="center"/>
              <w:ind w:left="233"/>
              <w:spacing w:after="0" w:line="198" w:lineRule="exact"/>
              <w:rPr>
                <w:sz w:val="20"/>
                <w:szCs w:val="20"/>
                <w:color w:val="auto"/>
              </w:rPr>
            </w:pPr>
            <w:r>
              <w:rPr>
                <w:rFonts w:ascii="Times New Roman" w:cs="Times New Roman" w:eastAsia="Times New Roman" w:hAnsi="Times New Roman"/>
                <w:sz w:val="18"/>
                <w:szCs w:val="18"/>
                <w:color w:val="auto"/>
                <w:w w:val="97"/>
              </w:rPr>
              <w:t>[***]</w:t>
            </w:r>
          </w:p>
        </w:tc>
        <w:tc>
          <w:tcPr>
            <w:tcW w:w="1120" w:type="dxa"/>
            <w:vAlign w:val="bottom"/>
            <w:gridSpan w:val="2"/>
            <w:shd w:val="clear" w:color="auto" w:fill="CCEEFF"/>
          </w:tcPr>
          <w:p>
            <w:pPr>
              <w:jc w:val="center"/>
              <w:ind w:left="353"/>
              <w:spacing w:after="0" w:line="198" w:lineRule="exact"/>
              <w:rPr>
                <w:sz w:val="20"/>
                <w:szCs w:val="20"/>
                <w:color w:val="auto"/>
              </w:rPr>
            </w:pPr>
            <w:r>
              <w:rPr>
                <w:rFonts w:ascii="Times New Roman" w:cs="Times New Roman" w:eastAsia="Times New Roman" w:hAnsi="Times New Roman"/>
                <w:sz w:val="18"/>
                <w:szCs w:val="18"/>
                <w:color w:val="auto"/>
              </w:rPr>
              <w:t>[***]</w:t>
            </w:r>
          </w:p>
        </w:tc>
        <w:tc>
          <w:tcPr>
            <w:tcW w:w="4780" w:type="dxa"/>
            <w:vAlign w:val="bottom"/>
            <w:gridSpan w:val="3"/>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Guideline Public Company Approach, Income Approach</w:t>
            </w:r>
          </w:p>
        </w:tc>
      </w:tr>
      <w:tr>
        <w:trPr>
          <w:trHeight w:val="234"/>
        </w:trPr>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7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(Discounted Cash Flow / Option Pricing Model)</w:t>
            </w:r>
          </w:p>
        </w:tc>
      </w:tr>
      <w:tr>
        <w:trPr>
          <w:trHeight w:val="198"/>
        </w:trPr>
        <w:tc>
          <w:tcPr>
            <w:tcW w:w="20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Restricted Stock Unit</w:t>
            </w:r>
          </w:p>
        </w:tc>
        <w:tc>
          <w:tcPr>
            <w:tcW w:w="1600" w:type="dxa"/>
            <w:vAlign w:val="bottom"/>
            <w:gridSpan w:val="3"/>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9"/>
              </w:rPr>
              <w:t>10/18/2022</w:t>
            </w:r>
          </w:p>
        </w:tc>
        <w:tc>
          <w:tcPr>
            <w:tcW w:w="1500" w:type="dxa"/>
            <w:vAlign w:val="bottom"/>
            <w:gridSpan w:val="2"/>
          </w:tcPr>
          <w:p>
            <w:pPr>
              <w:jc w:val="center"/>
              <w:ind w:left="233"/>
              <w:spacing w:after="0" w:line="198" w:lineRule="exact"/>
              <w:rPr>
                <w:sz w:val="20"/>
                <w:szCs w:val="20"/>
                <w:color w:val="auto"/>
              </w:rPr>
            </w:pPr>
            <w:r>
              <w:rPr>
                <w:rFonts w:ascii="Times New Roman" w:cs="Times New Roman" w:eastAsia="Times New Roman" w:hAnsi="Times New Roman"/>
                <w:sz w:val="18"/>
                <w:szCs w:val="18"/>
                <w:color w:val="auto"/>
                <w:w w:val="97"/>
              </w:rPr>
              <w:t>[***]</w:t>
            </w:r>
          </w:p>
        </w:tc>
        <w:tc>
          <w:tcPr>
            <w:tcW w:w="1120" w:type="dxa"/>
            <w:vAlign w:val="bottom"/>
            <w:gridSpan w:val="2"/>
          </w:tcPr>
          <w:p>
            <w:pPr>
              <w:jc w:val="center"/>
              <w:ind w:left="353"/>
              <w:spacing w:after="0" w:line="198" w:lineRule="exact"/>
              <w:rPr>
                <w:sz w:val="20"/>
                <w:szCs w:val="20"/>
                <w:color w:val="auto"/>
              </w:rPr>
            </w:pPr>
            <w:r>
              <w:rPr>
                <w:rFonts w:ascii="Times New Roman" w:cs="Times New Roman" w:eastAsia="Times New Roman" w:hAnsi="Times New Roman"/>
                <w:sz w:val="18"/>
                <w:szCs w:val="18"/>
                <w:color w:val="auto"/>
              </w:rPr>
              <w:t>[***]</w:t>
            </w:r>
          </w:p>
        </w:tc>
        <w:tc>
          <w:tcPr>
            <w:tcW w:w="4780" w:type="dxa"/>
            <w:vAlign w:val="bottom"/>
            <w:gridSpan w:val="3"/>
          </w:tcPr>
          <w:p>
            <w:pPr>
              <w:ind w:left="260"/>
              <w:spacing w:after="0" w:line="198" w:lineRule="exact"/>
              <w:rPr>
                <w:sz w:val="20"/>
                <w:szCs w:val="20"/>
                <w:color w:val="auto"/>
              </w:rPr>
            </w:pPr>
            <w:r>
              <w:rPr>
                <w:rFonts w:ascii="Times New Roman" w:cs="Times New Roman" w:eastAsia="Times New Roman" w:hAnsi="Times New Roman"/>
                <w:sz w:val="18"/>
                <w:szCs w:val="18"/>
                <w:color w:val="auto"/>
              </w:rPr>
              <w:t>Guideline Public Company Approach, Income Approach</w:t>
            </w:r>
          </w:p>
        </w:tc>
      </w:tr>
      <w:tr>
        <w:trPr>
          <w:trHeight w:val="234"/>
        </w:trPr>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(Discounted Cash Flow / Option Pricing Model)</w:t>
            </w:r>
          </w:p>
        </w:tc>
      </w:tr>
    </w:tbl>
    <w:p>
      <w:pPr>
        <w:spacing w:after="0" w:line="198" w:lineRule="exact"/>
        <w:rPr>
          <w:sz w:val="20"/>
          <w:szCs w:val="20"/>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The Company respectfully advises the Staff that the Company changed its valuation methodology from a probability-weighted expected return method to a market approach beginning in the second quarter of 2022. This change was primarily precipitated by the volatile market conditions that have stagnated the capital markets and caused uncertainty around the timing of a potential initial public offering.</w:t>
      </w:r>
    </w:p>
    <w:p>
      <w:pPr>
        <w:spacing w:after="0" w:line="176"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The decline in fair values during 2022 was driven largely by market and economic factors, particularly increasing interest rates and declining market multiples of the Company’s peer group.</w:t>
      </w:r>
    </w:p>
    <w:p>
      <w:pPr>
        <w:spacing w:after="0" w:line="162" w:lineRule="exact"/>
        <w:rPr>
          <w:sz w:val="20"/>
          <w:szCs w:val="20"/>
          <w:color w:val="auto"/>
        </w:rPr>
      </w:pPr>
    </w:p>
    <w:p>
      <w:pPr>
        <w:ind w:left="4804"/>
        <w:spacing w:after="0"/>
        <w:tabs>
          <w:tab w:leader="none" w:pos="5424" w:val="left"/>
          <w:tab w:leader="none" w:pos="6104"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Please contact me at (312) 881-6670 with any questions or further comments regarding our responses to the Staff’s Comment.</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Christina T. Roupas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7946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Christina T. Roupas</w:t>
      </w:r>
    </w:p>
    <w:p>
      <w:pPr>
        <w:spacing w:after="0" w:line="250" w:lineRule="exact"/>
        <w:rPr>
          <w:sz w:val="20"/>
          <w:szCs w:val="20"/>
          <w:color w:val="auto"/>
        </w:rPr>
      </w:pPr>
    </w:p>
    <w:p>
      <w:pPr>
        <w:ind w:left="424" w:right="8040" w:hanging="424"/>
        <w:spacing w:after="0" w:line="257"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Eric Lefkofsky, </w:t>
      </w:r>
      <w:r>
        <w:rPr>
          <w:rFonts w:ascii="Times New Roman" w:cs="Times New Roman" w:eastAsia="Times New Roman" w:hAnsi="Times New Roman"/>
          <w:sz w:val="18"/>
          <w:szCs w:val="18"/>
          <w:i w:val="1"/>
          <w:iCs w:val="1"/>
          <w:color w:val="auto"/>
        </w:rPr>
        <w:t>Tempus Labs, Inc.</w:t>
      </w:r>
      <w:r>
        <w:rPr>
          <w:rFonts w:ascii="Times New Roman" w:cs="Times New Roman" w:eastAsia="Times New Roman" w:hAnsi="Times New Roman"/>
          <w:sz w:val="18"/>
          <w:szCs w:val="18"/>
          <w:color w:val="auto"/>
        </w:rPr>
        <w:t xml:space="preserve"> Jim Rogers, </w:t>
      </w:r>
      <w:r>
        <w:rPr>
          <w:rFonts w:ascii="Times New Roman" w:cs="Times New Roman" w:eastAsia="Times New Roman" w:hAnsi="Times New Roman"/>
          <w:sz w:val="18"/>
          <w:szCs w:val="18"/>
          <w:i w:val="1"/>
          <w:iCs w:val="1"/>
          <w:color w:val="auto"/>
        </w:rPr>
        <w:t>Tempus Labs, Inc.</w:t>
      </w:r>
      <w:r>
        <w:rPr>
          <w:rFonts w:ascii="Times New Roman" w:cs="Times New Roman" w:eastAsia="Times New Roman" w:hAnsi="Times New Roman"/>
          <w:sz w:val="18"/>
          <w:szCs w:val="18"/>
          <w:color w:val="auto"/>
        </w:rPr>
        <w:t xml:space="preserve"> Erik Phelps, </w:t>
      </w:r>
      <w:r>
        <w:rPr>
          <w:rFonts w:ascii="Times New Roman" w:cs="Times New Roman" w:eastAsia="Times New Roman" w:hAnsi="Times New Roman"/>
          <w:sz w:val="18"/>
          <w:szCs w:val="18"/>
          <w:i w:val="1"/>
          <w:iCs w:val="1"/>
          <w:color w:val="auto"/>
        </w:rPr>
        <w:t>Tempus Labs, Inc.</w:t>
      </w:r>
      <w:r>
        <w:rPr>
          <w:rFonts w:ascii="Times New Roman" w:cs="Times New Roman" w:eastAsia="Times New Roman" w:hAnsi="Times New Roman"/>
          <w:sz w:val="18"/>
          <w:szCs w:val="18"/>
          <w:color w:val="auto"/>
        </w:rPr>
        <w:t xml:space="preserve"> Ryan Bartolucci, </w:t>
      </w:r>
      <w:r>
        <w:rPr>
          <w:rFonts w:ascii="Times New Roman" w:cs="Times New Roman" w:eastAsia="Times New Roman" w:hAnsi="Times New Roman"/>
          <w:sz w:val="18"/>
          <w:szCs w:val="18"/>
          <w:i w:val="1"/>
          <w:iCs w:val="1"/>
          <w:color w:val="auto"/>
        </w:rPr>
        <w:t>Tempus Labs, Inc.</w:t>
      </w:r>
      <w:r>
        <w:rPr>
          <w:rFonts w:ascii="Times New Roman" w:cs="Times New Roman" w:eastAsia="Times New Roman" w:hAnsi="Times New Roman"/>
          <w:sz w:val="18"/>
          <w:szCs w:val="18"/>
          <w:color w:val="auto"/>
        </w:rPr>
        <w:t xml:space="preserve"> Eric Jensen, </w:t>
      </w:r>
      <w:r>
        <w:rPr>
          <w:rFonts w:ascii="Times New Roman" w:cs="Times New Roman" w:eastAsia="Times New Roman" w:hAnsi="Times New Roman"/>
          <w:sz w:val="18"/>
          <w:szCs w:val="18"/>
          <w:i w:val="1"/>
          <w:iCs w:val="1"/>
          <w:color w:val="auto"/>
        </w:rPr>
        <w:t>Cooley LLP</w:t>
      </w:r>
      <w:r>
        <w:rPr>
          <w:rFonts w:ascii="Times New Roman" w:cs="Times New Roman" w:eastAsia="Times New Roman" w:hAnsi="Times New Roman"/>
          <w:sz w:val="18"/>
          <w:szCs w:val="18"/>
          <w:color w:val="auto"/>
        </w:rPr>
        <w:t xml:space="preserve"> Courtney Tygesson, </w:t>
      </w:r>
      <w:r>
        <w:rPr>
          <w:rFonts w:ascii="Times New Roman" w:cs="Times New Roman" w:eastAsia="Times New Roman" w:hAnsi="Times New Roman"/>
          <w:sz w:val="18"/>
          <w:szCs w:val="18"/>
          <w:i w:val="1"/>
          <w:iCs w:val="1"/>
          <w:color w:val="auto"/>
        </w:rPr>
        <w:t>Cooley LLP</w:t>
      </w:r>
    </w:p>
    <w:p>
      <w:pPr>
        <w:spacing w:after="0" w:line="112" w:lineRule="exact"/>
        <w:rPr>
          <w:sz w:val="20"/>
          <w:szCs w:val="20"/>
          <w:color w:val="auto"/>
        </w:rPr>
      </w:pPr>
    </w:p>
    <w:p>
      <w:pPr>
        <w:jc w:val="center"/>
        <w:ind w:right="-3"/>
        <w:spacing w:after="0"/>
        <w:tabs>
          <w:tab w:leader="none" w:pos="120" w:val="left"/>
          <w:tab w:leader="none" w:pos="120" w:val="left"/>
          <w:tab w:leader="none" w:pos="120" w:val="left"/>
        </w:tabs>
        <w:rPr>
          <w:sz w:val="20"/>
          <w:szCs w:val="20"/>
          <w:color w:val="auto"/>
        </w:rPr>
      </w:pPr>
      <w:r>
        <w:rPr>
          <w:rFonts w:ascii="Times New Roman" w:cs="Times New Roman" w:eastAsia="Times New Roman" w:hAnsi="Times New Roman"/>
          <w:sz w:val="14"/>
          <w:szCs w:val="14"/>
          <w:color w:val="auto"/>
        </w:rPr>
        <w:t>Cooley LLP</w:t>
        <w:tab/>
        <w:t>110 N. Wacker Drive Suite 4200</w:t>
        <w:tab/>
        <w:t>Chicago, IL</w:t>
        <w:tab/>
        <w:t>60606-1511</w:t>
      </w:r>
    </w:p>
    <w:p>
      <w:pPr>
        <w:spacing w:after="0" w:line="4" w:lineRule="exact"/>
        <w:rPr>
          <w:sz w:val="20"/>
          <w:szCs w:val="20"/>
          <w:color w:val="auto"/>
        </w:rPr>
      </w:pPr>
    </w:p>
    <w:p>
      <w:pPr>
        <w:jc w:val="center"/>
        <w:ind w:right="16"/>
        <w:spacing w:after="0"/>
        <w:tabs>
          <w:tab w:leader="none" w:pos="120" w:val="left"/>
          <w:tab w:leader="none" w:pos="120" w:val="left"/>
        </w:tabs>
        <w:rPr>
          <w:sz w:val="20"/>
          <w:szCs w:val="20"/>
          <w:color w:val="auto"/>
        </w:rPr>
      </w:pPr>
      <w:r>
        <w:rPr>
          <w:rFonts w:ascii="Times New Roman" w:cs="Times New Roman" w:eastAsia="Times New Roman" w:hAnsi="Times New Roman"/>
          <w:sz w:val="14"/>
          <w:szCs w:val="14"/>
          <w:color w:val="auto"/>
        </w:rPr>
        <w:t>t: (312) 881-6500-</w:t>
        <w:tab/>
        <w:t>f: (312) 881-6598</w:t>
        <w:tab/>
        <w:t>cooley.com</w:t>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2024-07-22T23:10:32Z</dcterms:created>
  <dcterms:modified xsi:type="dcterms:W3CDTF">2024-07-22T23:10:32Z</dcterms:modified>
</cp:coreProperties>
</file>