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pacing w:after="0" w:line="258"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12"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8,615,766.00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8,649,356.00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8,649,356.00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100"/>
        <w:spacing w:after="0"/>
        <w:rPr>
          <w:sz w:val="20"/>
          <w:szCs w:val="20"/>
          <w:color w:val="auto"/>
        </w:rPr>
      </w:pPr>
      <w:r>
        <w:rPr>
          <w:rFonts w:ascii="Times New Roman" w:cs="Times New Roman" w:eastAsia="Times New Roman" w:hAnsi="Times New Roman"/>
          <w:sz w:val="22"/>
          <w:szCs w:val="22"/>
          <w:color w:val="auto"/>
        </w:rPr>
        <w:t>600 WEST CHICAGO AVENUE, 600 WEST CHICAGO AVENUE, CHICAGO, ILLINOIS, 60654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Calton Square, 1 Greenside Row, Edinburgh, EH1 4AN UK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right="5040" w:hanging="912"/>
        <w:spacing w:after="0" w:line="28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8,649,356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8,615,766</w:t>
      </w:r>
    </w:p>
    <w:p>
      <w:pPr>
        <w:spacing w:after="0" w:line="287"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8,649,356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Regulatory Reporting Manager</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0"/>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2026-05-07T09:06:22Z</dcterms:created>
  <dcterms:modified xsi:type="dcterms:W3CDTF">2026-05-07T09:06:22Z</dcterms:modified>
</cp:coreProperties>
</file>