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April 28, 2023.</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spacing w:after="0" w:line="4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Labs,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00" w:type="dxa"/>
            <w:vAlign w:val="bottom"/>
          </w:tcPr>
          <w:p>
            <w:pPr>
              <w:jc w:val="center"/>
              <w:ind w:right="2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0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 Vice President and</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Administrative and Legal Officer</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Labs,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0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2023</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Labs,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95250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104775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3"/>
          <w:szCs w:val="23"/>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Labs,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3"/>
          <w:szCs w:val="23"/>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85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See “Underwriting” for additional information regarding compensation payable to the underwriters.</w:t>
            </w:r>
          </w:p>
        </w:tc>
      </w:tr>
      <w:tr>
        <w:trPr>
          <w:trHeight w:val="185"/>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Assumes the exercise in full of the underwriters’ option to purchase</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w w:val="99"/>
              </w:rPr>
              <w:t>additional shares of Class A common stock from the selling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Borders>
              <w:top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i w:val="1"/>
                <w:iCs w:val="1"/>
                <w:color w:val="auto"/>
                <w:w w:val="74"/>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513" w:lineRule="exact"/>
        <w:rPr>
          <w:sz w:val="20"/>
          <w:szCs w:val="20"/>
          <w:color w:val="auto"/>
        </w:rPr>
      </w:pPr>
    </w:p>
    <w:p>
      <w:pPr>
        <w:sectPr>
          <w:pgSz w:w="11900" w:h="16838" w:orient="portrait"/>
          <w:cols w:equalWidth="0" w:num="2">
            <w:col w:w="8800" w:space="62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111125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TD 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pacing w:after="0" w:line="27" w:lineRule="exact"/>
        <w:rPr>
          <w:sz w:val="20"/>
          <w:szCs w:val="20"/>
          <w:color w:val="auto"/>
        </w:r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2023.</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96</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128</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195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Labs,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diseases, including neuropsychology, infectious disease,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6475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6475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18"/>
          <w:szCs w:val="18"/>
          <w:color w:val="auto"/>
        </w:rPr>
        <w:t>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300 unique data connections, many of which supply us with complex multimodal data in near real time, across over 1,850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have launched a suite of different products derived from our Platform, which have gained significant traction over the past five years. To date, we have established data partnerships with approximately 90% of the largest public pharmaceutical companies based on 2022 revenue, and our clinical NGS volume in oncology rose from approximately 31,000 samples in 2018 to approximately 215,000 samples in 2022. Through December 31, 2022, our offerings have been used by more than 5,000 physicians across hundreds of provider networks, including more than half of all academic medical centers in the United States. Our database of multi-modal, de-identified records has grown to be approximately 28 times the size of The Cancer Genome Atlas, the largest public genomic dataset that we know of in oncology, as we now have approximately 70 petabytes of connected clinical and molecular data. Between our sequencing and data collection efforts, we are connected in some way to more than 40% of all oncologists practicing in the United States.</w:t>
      </w:r>
    </w:p>
    <w:p>
      <w:pPr>
        <w:spacing w:after="0" w:line="16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moved into infectious disease, which was largely prioritized due to the COVID-19 pandemic (and which we have de-emphasized as the pandemic has abated). Our next categories were radiology and cardiology.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we also expect to deploy our AI and machine learning capabilities to build algorithmic diagnostics at scale across diseases.</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64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586486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2,000 employees, including hundreds with diverse expertise across genetics, molecular and computational biology, bioinformatics, regulatory affairs, medical, product and engineering, and data science. Roughly one-third of our team is technical, with approximately 200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generated total revenue of $257.9 million and $320.7 million in the years ended December 31, 2021 and 2022, respectively. Revenue generated from COVID-19 testing was $94.7 million, or 36.7% of our total revenue, and $22.2 million, or 6.9% of our total revenue for the years ended December 31, 2021 and 2022, respectively. We anticipate that demand for, and revenue from, our COVID-19 testing products will continue to decrease in future periods due to the lower prevalence of COVID-19 from successful containment efforts and increased vaccination rates of a substantial majority of Americans, reduced testing needs of many of our clients, and the entrance of other testing providers into the market. We incurred net losses of $259.2 million and $289.8 million in the years ended December 31, 2021 and 2022, respectively.</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40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564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as well as the National Cancer Care Alliance, or NCCA, the Quality Cancer Care Alliance, or QCCA, and others. We also generate data in our three high-throughput diagnostic testing labs in Chicago, Atlanta, and Raleigh.</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to streamline and help secure this process. Once appropriately de-identified, we store the data in our multimodal database.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56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5656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700 million documents and more than 6.0 million de-identified patient records, including over 1,000,000 with imaging data, more than 660,000 with matched clinical records linked with genomic information, and over 125,000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also retain the rights to broadly commercialize de-identified data. As our database continues to grow from its current size of approximately 70 petabytes, we believe new AI applications and opportunities will emerge that are only possible with scale that will drive further innovations in patient treatment. The graph below shows our historical database growth and its composition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Algos,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73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61734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business through which we licensed de-identified data, which at scale has allowed us to provide a series of data-related services to our life sciences customers, such as clinical trial matching, or Trials. Over time, we expect these products (Genomics + Data) to facilitate deployment of our AI Applications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9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describe below our three product lines—Genomics, Data, and AI Applications. Genomics revenue was $151.9 million, $195.0 million and $198.0 million for the years ended December 31, 2020, 2021 and 2022, respectively. Data revenue was $36.1 million, $62.8 million and $122.7 million for the years ended December 31, 2020, 2021 and 2022, respectively. For the years ended December 31, 2020, 2021 and 2022, Genomics represented 81%, 76% and 62%, respectively, and Data represented 19%, 24% and 38%, respectively, of our total revenue. Revenue generated from AI Applications is reported within our Data and other product line and was less than $1.0 million for the years ended December 31, 2020 and 2021, respectively, and was $1.4 million for the year ended December 31, 2022.</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97"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 and</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We are also currently validating xM, a high coverage methylation sequencing assay for monitoring for cancer recurrence and minimal residual disease.</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06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65068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 impact of COVID-19 testing, was (21%), 4% and 25% for the years ended December 31, 2020, 2021, and 2022, respectively.</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neuropsychology, cardiology,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Customers either pay us on a per file basis or through multi-year data licensing agreements to access our de-identified database of clinical records. At present, we work with 18 of the 20 largest public pharmaceutical companies based on 2022 revenue, and as of December 31, 2022, we have signed contracts with a remaining total</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380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3808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67" w:lineRule="auto"/>
        <w:rPr>
          <w:sz w:val="20"/>
          <w:szCs w:val="20"/>
          <w:color w:val="auto"/>
        </w:rPr>
      </w:pPr>
      <w:r>
        <w:rPr>
          <w:rFonts w:ascii="Times New Roman" w:cs="Times New Roman" w:eastAsia="Times New Roman" w:hAnsi="Times New Roman"/>
          <w:sz w:val="18"/>
          <w:szCs w:val="18"/>
          <w:color w:val="auto"/>
        </w:rPr>
        <w:t>contract value of more than $800 million, a majority of which we expect to deliver over the next several years. See “Business” for additional discussion regarding our remaining total contract value.</w:t>
      </w:r>
    </w:p>
    <w:p>
      <w:pPr>
        <w:spacing w:after="0" w:line="17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other in the Consolidated Statement of Operations. Cost of revenues, data and other were $11.9 million and $40.2 million for the years ended December 31, 2021 and 2022, respectively. These costs represent 19.0% and 32.8% of data and other revenue for the years ended December 31, 2021 and 2022, respectively.</w:t>
      </w:r>
    </w:p>
    <w:p>
      <w:pPr>
        <w:spacing w:after="0" w:line="194"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December 31, 2022, we generated $59.3 million of combined revenue from sequencing, data licensing of de-identified data derived from those records, analytical services, and clinical trials matching, which is approximately 6.6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December 31, 2022, the 2018 “Cohort Lifetime Value” for this cohort was $41.9 million. We maintained similar trends for the 2019, 2020, 2021, and 2022 cohorts. As of December 31, 2022, the 2019 “Cohort Lifetime Value” was $48.2 million, the 2020 “Cohort Lifetime Value” was $44.4 million, the 2021 “Cohort Lifetime Value” was $48.8 million, and the 2022 “Cohort Lifetime Value” was $58.0 million in its first year of existence.</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73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69735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“Cohort Lifetime Value” for the 2018 to 2022 data cohorts is illustrated in the graphs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4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540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00" w:firstLine="438"/>
        <w:spacing w:after="0" w:line="280" w:lineRule="auto"/>
        <w:rPr>
          <w:sz w:val="20"/>
          <w:szCs w:val="20"/>
          <w:color w:val="auto"/>
        </w:rPr>
      </w:pPr>
      <w:r>
        <w:rPr>
          <w:rFonts w:ascii="Times New Roman" w:cs="Times New Roman" w:eastAsia="Times New Roman" w:hAnsi="Times New Roman"/>
          <w:sz w:val="16"/>
          <w:szCs w:val="16"/>
          <w:color w:val="auto"/>
        </w:rPr>
        <w:t>Our second focus area within our Data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approximately 2,800 oncologists fully enrolled, more than 200 clinical trials signed into the network, and more than 19,000 patients were identified for potential enrollment into clinical trials in our network, as of December 31, 2022.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64"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1" w:lineRule="auto"/>
        <w:rPr>
          <w:sz w:val="20"/>
          <w:szCs w:val="20"/>
          <w:color w:val="auto"/>
        </w:rPr>
      </w:pPr>
      <w:r>
        <w:rPr>
          <w:rFonts w:ascii="Times New Roman" w:cs="Times New Roman" w:eastAsia="Times New Roman" w:hAnsi="Times New Roman"/>
          <w:sz w:val="18"/>
          <w:szCs w:val="18"/>
          <w:color w:val="auto"/>
        </w:rPr>
        <w:t>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Our newest product line, AI Applications, is focused on developing and providing diagnostics that are algorithmic in nature, implementing new software as a medical device, and building and deploying clinical decision support tools. The primary product of AI Applications is currently “Algos,” which are clinical tests that can be run without chemistry or biology; they are simply 0’s and 1’s running on digitized data derived from a laboratory test, a pathology slide, or a radiomic image. Algos leverage AI-driven insights to produce clinically validated and actionable information for physicians. We offer, or are developing, products in each of these categories.</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currently offer three algorithmic tests in oncology as complements to our NGS assays: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are also developing algorithmic tests in other disease areas. In cardiology, for example, we are developing algorithmic models that aid clinicians in identifying patients at increased risk of developing atrial fibrillation, or AFib, along with a variety of other cardiac conditions. These Algos are trained using de-identified data derived from approximately 3.2 million electrocardiograms, or ECGs, across approximately 600,000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86"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AI Applications at scale could be a unique differentiator of our Platform. For each AI Application, we use data the same way legacy diagnostic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radiology and infectious diseases, in which there is over $4 trillion of economic burden according to publicly available sources.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product line is powered by dedicated, near real-time data pipelines that we believe are increasingly difficult to replicate; and our proprietary technology has allowed us to scale where others have been unable. As we are now connected to more than 40% of all oncologists practicing in the United States in some way, and a growing number of neuropsychiatric, infectious disease, radiology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AI to healthcare. In oncology, this means the ability to generate new insights using molecular and anatomic pathology, bioinformatics, genomic variant analysis, inherited cancer risk, computational biology, drug label</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653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69653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5" w:lineRule="auto"/>
        <w:rPr>
          <w:sz w:val="20"/>
          <w:szCs w:val="20"/>
          <w:color w:val="auto"/>
        </w:rPr>
      </w:pPr>
      <w:r>
        <w:rPr>
          <w:rFonts w:ascii="Times New Roman" w:cs="Times New Roman" w:eastAsia="Times New Roman" w:hAnsi="Times New Roman"/>
          <w:sz w:val="18"/>
          <w:szCs w:val="18"/>
          <w:color w:val="auto"/>
        </w:rPr>
        <w:t>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1160" w:hanging="268"/>
        <w:spacing w:after="0"/>
        <w:tabs>
          <w:tab w:leader="none" w:pos="11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both a technology company and a healthcare company, allowing us to harness the advantages of both to advance precision medicine.</w:t>
      </w:r>
    </w:p>
    <w:p>
      <w:pPr>
        <w:spacing w:after="0" w:line="144"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81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618172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AI Applications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infectious disease,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reduced demand for COVID-19 testing, we stopped offering PCR diagnostic tests and generating COVID-19 testing revenue in the first quarter of 2023.</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8"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98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1898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jc w:val="both"/>
        <w:ind w:left="1160" w:right="2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We were founded by Eric Lefkofsky, originally formed under the name Bioin LLC in Delaware in August 2015 and we converted to a Delaware corporation in September 2015 under the name Bioin Inc. We changed our name to Tempus Health, Inc. later in 2015 and in 2016, we changed our name to Tempus Labs, Inc. Our principal executive offices are located at 600 West Chicago Avenue, Suite 510 Chicago, Illinois 60654, and our telephone number is</w:t>
      </w:r>
    </w:p>
    <w:p>
      <w:pPr>
        <w:spacing w:after="0" w:line="2" w:lineRule="exact"/>
        <w:rPr>
          <w:sz w:val="20"/>
          <w:szCs w:val="20"/>
          <w:color w:val="auto"/>
        </w:rPr>
      </w:pPr>
    </w:p>
    <w:p>
      <w:pPr>
        <w:ind w:left="200" w:hanging="8"/>
        <w:spacing w:after="0" w:line="247" w:lineRule="auto"/>
        <w:tabs>
          <w:tab w:leader="none" w:pos="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86"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Labs, Inc. or our subsidiaries. Other trade names, trademarks and service marks used in this prospectus are the property of their respective owners.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313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23133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498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498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member of our Board of Directors or (2)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3720" w:type="dxa"/>
            <w:vAlign w:val="bottom"/>
          </w:tcPr>
          <w:p>
            <w:pPr>
              <w:spacing w:after="0"/>
              <w:rPr>
                <w:sz w:val="18"/>
                <w:szCs w:val="18"/>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page 24 and the other information included in this prospectus for a</w:t>
            </w:r>
          </w:p>
        </w:tc>
      </w:tr>
      <w:tr>
        <w:trPr>
          <w:trHeight w:val="210"/>
        </w:trPr>
        <w:tc>
          <w:tcPr>
            <w:tcW w:w="3720" w:type="dxa"/>
            <w:vAlign w:val="bottom"/>
          </w:tcPr>
          <w:p>
            <w:pPr>
              <w:spacing w:after="0"/>
              <w:rPr>
                <w:sz w:val="18"/>
                <w:szCs w:val="18"/>
                <w:color w:val="auto"/>
              </w:rPr>
            </w:pPr>
          </w:p>
        </w:tc>
        <w:tc>
          <w:tcPr>
            <w:tcW w:w="724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3720" w:type="dxa"/>
            <w:vAlign w:val="bottom"/>
          </w:tcPr>
          <w:p>
            <w:pPr>
              <w:spacing w:after="0"/>
              <w:rPr>
                <w:sz w:val="19"/>
                <w:szCs w:val="19"/>
                <w:color w:val="auto"/>
              </w:rPr>
            </w:pP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500" w:type="dxa"/>
            <w:vAlign w:val="bottom"/>
          </w:tcPr>
          <w:p>
            <w:pPr>
              <w:spacing w:after="0"/>
              <w:rPr>
                <w:sz w:val="19"/>
                <w:szCs w:val="19"/>
                <w:color w:val="auto"/>
              </w:rPr>
            </w:pPr>
          </w:p>
        </w:tc>
      </w:tr>
      <w:tr>
        <w:trPr>
          <w:trHeight w:val="27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Proposed trading symbol</w:t>
            </w:r>
          </w:p>
        </w:tc>
        <w:tc>
          <w:tcPr>
            <w:tcW w:w="6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“TL”</w:t>
            </w: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18"/>
          <w:szCs w:val="18"/>
          <w:color w:val="auto"/>
        </w:rPr>
        <w:t>based on shares of Class A common stock and 5,374,899 shares of Class B common stock outstanding as of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9" w:lineRule="exact"/>
        <w:rPr>
          <w:sz w:val="20"/>
          <w:szCs w:val="20"/>
          <w:color w:val="auto"/>
        </w:rPr>
      </w:pPr>
    </w:p>
    <w:p>
      <w:pPr>
        <w:jc w:val="both"/>
        <w:ind w:left="1160" w:hanging="535"/>
        <w:spacing w:after="0" w:line="281" w:lineRule="auto"/>
        <w:tabs>
          <w:tab w:leader="none" w:pos="171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restricted stock units, or RSUs, outstanding as of December 31, 2022 under our Third Amended and Restated 2015 Stock Plan, as amended, or 2015 Plan, for which the performance-based vesting condition will be satisfied in connection with this offering, but for which the service-based vesting condition will not be satisfied on or before</w:t>
      </w:r>
    </w:p>
    <w:p>
      <w:pPr>
        <w:spacing w:after="0" w:line="1" w:lineRule="exact"/>
        <w:rPr>
          <w:rFonts w:ascii="Times New Roman" w:cs="Times New Roman" w:eastAsia="Times New Roman" w:hAnsi="Times New Roman"/>
          <w:sz w:val="16"/>
          <w:szCs w:val="16"/>
          <w:color w:val="auto"/>
        </w:rPr>
      </w:pPr>
    </w:p>
    <w:p>
      <w:pPr>
        <w:ind w:left="1780" w:hanging="92"/>
        <w:spacing w:after="0"/>
        <w:tabs>
          <w:tab w:leader="none" w:pos="1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103"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7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that may become issuable upon the vesting and settlement of Performance-Vesting Restricted Stock Units, or PSUs, outstanding as of December 31, 2022 under our 2015 Plan, for which the performance-based vesting condition may be satisfied in connection with this</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06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6006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1180" w:type="dxa"/>
        <w:tblCellMar>
          <w:top w:w="0" w:type="dxa"/>
          <w:left w:w="0" w:type="dxa"/>
          <w:bottom w:w="0" w:type="dxa"/>
          <w:right w:w="0" w:type="dxa"/>
        </w:tblCellMar>
      </w:tblPr>
      <w:tr>
        <w:trPr>
          <w:trHeight w:val="22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offering, but for which the 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100" w:lineRule="exact"/>
        <w:rPr>
          <w:sz w:val="20"/>
          <w:szCs w:val="20"/>
          <w:color w:val="auto"/>
        </w:rPr>
      </w:pPr>
    </w:p>
    <w:p>
      <w:pPr>
        <w:jc w:val="both"/>
        <w:ind w:left="1160" w:right="2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Equity Incentive Plan, or 2022 Plan, as well as any future increases, including annual automatic evergreen increases, in the number of shares of Class A common stock reserved for issuance under the 2022 Plan;</w:t>
      </w:r>
    </w:p>
    <w:p>
      <w:pPr>
        <w:spacing w:after="0" w:line="88" w:lineRule="exact"/>
        <w:rPr>
          <w:rFonts w:ascii="Times New Roman" w:cs="Times New Roman" w:eastAsia="Times New Roman" w:hAnsi="Times New Roman"/>
          <w:sz w:val="18"/>
          <w:szCs w:val="18"/>
          <w:color w:val="auto"/>
        </w:rPr>
      </w:pPr>
    </w:p>
    <w:p>
      <w:pPr>
        <w:jc w:val="both"/>
        <w:ind w:left="1160" w:hanging="535"/>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2022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hanging="535"/>
        <w:spacing w:after="0" w:line="249"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$221.1 million as of December 31,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AB with an exercise price</w:t>
            </w:r>
          </w:p>
        </w:tc>
      </w:tr>
      <w:tr>
        <w:trPr>
          <w:trHeight w:val="210"/>
        </w:trPr>
        <w:tc>
          <w:tcPr>
            <w:tcW w:w="300" w:type="dxa"/>
            <w:vAlign w:val="bottom"/>
          </w:tcPr>
          <w:p>
            <w:pPr>
              <w:spacing w:after="0"/>
              <w:rPr>
                <w:sz w:val="18"/>
                <w:szCs w:val="18"/>
                <w:color w:val="auto"/>
              </w:rPr>
            </w:pPr>
          </w:p>
        </w:tc>
        <w:tc>
          <w:tcPr>
            <w:tcW w:w="102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equal to the initial public offering price, as more fully described in the section of this prospectus titled “Business—Operations—Our Strategic</w:t>
            </w:r>
          </w:p>
        </w:tc>
      </w:tr>
      <w:tr>
        <w:trPr>
          <w:trHeight w:val="228"/>
        </w:trPr>
        <w:tc>
          <w:tcPr>
            <w:tcW w:w="30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with AstraZeneca”; and</w:t>
            </w:r>
          </w:p>
        </w:tc>
        <w:tc>
          <w:tcPr>
            <w:tcW w:w="13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w:t>
            </w:r>
          </w:p>
        </w:tc>
      </w:tr>
    </w:tbl>
    <w:p>
      <w:pPr>
        <w:jc w:val="both"/>
        <w:ind w:left="1160"/>
        <w:spacing w:after="0" w:line="308" w:lineRule="auto"/>
        <w:rPr>
          <w:sz w:val="20"/>
          <w:szCs w:val="20"/>
          <w:color w:val="auto"/>
        </w:rPr>
      </w:pPr>
      <w:r>
        <w:rPr>
          <w:rFonts w:ascii="Times New Roman" w:cs="Times New Roman" w:eastAsia="Times New Roman" w:hAnsi="Times New Roman"/>
          <w:sz w:val="16"/>
          <w:szCs w:val="16"/>
          <w:color w:val="auto"/>
        </w:rPr>
        <w:t>the estimated price range set forth on the cover page of this prospectus, issuable to one of our stockholders pursuant to a contingent payment right, which payment may be made in cash or shares of Class A common stock, upon mutual agreement of the Company and such stockholder.</w:t>
      </w:r>
    </w:p>
    <w:p>
      <w:pPr>
        <w:spacing w:after="0" w:line="140"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 w:hanging="535"/>
        <w:spacing w:after="0" w:line="267"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all outstanding shares of redeemable convertible preferred stock, other than our Series B redeemable convertible preferred</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into an aggregate of</w:t>
            </w:r>
          </w:p>
        </w:tc>
        <w:tc>
          <w:tcPr>
            <w:tcW w:w="6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28"/>
        </w:trPr>
        <w:tc>
          <w:tcPr>
            <w:tcW w:w="300" w:type="dxa"/>
            <w:vAlign w:val="bottom"/>
          </w:tcPr>
          <w:p>
            <w:pPr>
              <w:spacing w:after="0"/>
              <w:rPr>
                <w:sz w:val="19"/>
                <w:szCs w:val="19"/>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which will occur upon the closing of this offering;</w:t>
            </w: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10"/>
        </w:trPr>
        <w:tc>
          <w:tcPr>
            <w:tcW w:w="300" w:type="dxa"/>
            <w:vAlign w:val="bottom"/>
          </w:tcPr>
          <w:p>
            <w:pPr>
              <w:spacing w:after="0"/>
              <w:rPr>
                <w:sz w:val="18"/>
                <w:szCs w:val="18"/>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8"/>
              </w:rPr>
              <w:t>conversion of all outstanding shares of our redeemable convertible preferred stock upon the closing of this offering, pursuant to provisions of</w:t>
            </w:r>
          </w:p>
        </w:tc>
      </w:tr>
      <w:tr>
        <w:trPr>
          <w:trHeight w:val="210"/>
        </w:trPr>
        <w:tc>
          <w:tcPr>
            <w:tcW w:w="300" w:type="dxa"/>
            <w:vAlign w:val="bottom"/>
          </w:tcPr>
          <w:p>
            <w:pPr>
              <w:spacing w:after="0"/>
              <w:rPr>
                <w:sz w:val="18"/>
                <w:szCs w:val="18"/>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our certificate of incorporation as currently in effect, assuming an initial public offering price of $</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28"/>
        </w:trPr>
        <w:tc>
          <w:tcPr>
            <w:tcW w:w="300" w:type="dxa"/>
            <w:vAlign w:val="bottom"/>
          </w:tcPr>
          <w:p>
            <w:pPr>
              <w:spacing w:after="0"/>
              <w:rPr>
                <w:sz w:val="19"/>
                <w:szCs w:val="19"/>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c>
          <w:tcPr>
            <w:tcW w:w="1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upon the settlement of RSUs outstanding as of December 31, 2022 under our 2015</w:t>
            </w:r>
          </w:p>
        </w:tc>
      </w:tr>
    </w:tbl>
    <w:p>
      <w:pPr>
        <w:ind w:left="1160"/>
        <w:spacing w:after="0"/>
        <w:rPr>
          <w:sz w:val="20"/>
          <w:szCs w:val="20"/>
          <w:color w:val="auto"/>
        </w:rPr>
      </w:pPr>
      <w:r>
        <w:rPr>
          <w:rFonts w:ascii="Times New Roman" w:cs="Times New Roman" w:eastAsia="Times New Roman" w:hAnsi="Times New Roman"/>
          <w:sz w:val="18"/>
          <w:szCs w:val="18"/>
          <w:color w:val="auto"/>
        </w:rPr>
        <w:t>Plan for which the performance-based vesting condition will be</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320" w:top="448"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84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384746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1180"/>
        <w:spacing w:after="0" w:line="267" w:lineRule="auto"/>
        <w:rPr>
          <w:sz w:val="20"/>
          <w:szCs w:val="20"/>
          <w:color w:val="auto"/>
        </w:rPr>
      </w:pPr>
      <w:r>
        <w:rPr>
          <w:rFonts w:ascii="Times New Roman" w:cs="Times New Roman" w:eastAsia="Times New Roman" w:hAnsi="Times New Roman"/>
          <w:sz w:val="18"/>
          <w:szCs w:val="18"/>
          <w:color w:val="auto"/>
        </w:rPr>
        <w:t>satisfied in connection with this offering and for which any service-based vesting condition was satisfied on or before settlement will be effected upon the expiration of the lock-up period in connection with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2023, which</w:t>
      </w:r>
    </w:p>
    <w:p>
      <w:pPr>
        <w:spacing w:after="0" w:line="354" w:lineRule="exact"/>
        <w:rPr>
          <w:sz w:val="20"/>
          <w:szCs w:val="20"/>
          <w:color w:val="auto"/>
        </w:rPr>
      </w:pPr>
    </w:p>
    <w:p>
      <w:pPr>
        <w:sectPr>
          <w:pgSz w:w="11900" w:h="16838" w:orient="portrait"/>
          <w:cols w:equalWidth="0" w:num="2">
            <w:col w:w="9520" w:space="660"/>
            <w:col w:w="1160"/>
          </w:cols>
          <w:pgMar w:left="320" w:top="448" w:right="239" w:bottom="1440" w:gutter="0" w:footer="0" w:header="0"/>
          <w:type w:val="continuous"/>
        </w:sectPr>
      </w:pPr>
    </w:p>
    <w:p>
      <w:pPr>
        <w:ind w:left="1160" w:right="200" w:hanging="535"/>
        <w:spacing w:after="0" w:line="267"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4,932,415 shares of Class A common stock, which will occur upon the closing of this offering;</w:t>
      </w:r>
    </w:p>
    <w:p>
      <w:pPr>
        <w:sectPr>
          <w:pgSz w:w="11900" w:h="16838" w:orient="portrait"/>
          <w:cols w:equalWidth="0" w:num="1">
            <w:col w:w="11340"/>
          </w:cols>
          <w:pgMar w:left="320" w:top="448" w:right="239" w:bottom="1440" w:gutter="0" w:footer="0" w:header="0"/>
          <w:type w:val="continuous"/>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5240" w:type="dxa"/>
            <w:vAlign w:val="bottom"/>
            <w:gridSpan w:val="3"/>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524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rPr>
              <w:t>20</w:t>
            </w: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73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8731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2021 and 2022 have been derived from our audited consolidated financial statements included elsewhere in this prospectus.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12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right"/>
              <w:ind w:right="41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195,012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197,984</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122,684</w:t>
            </w:r>
          </w:p>
        </w:tc>
        <w:tc>
          <w:tcPr>
            <w:tcW w:w="0" w:type="dxa"/>
            <w:vAlign w:val="bottom"/>
          </w:tcPr>
          <w:p>
            <w:pPr>
              <w:spacing w:after="0"/>
              <w:rPr>
                <w:sz w:val="1"/>
                <w:szCs w:val="1"/>
                <w:color w:val="auto"/>
              </w:rPr>
            </w:pPr>
          </w:p>
        </w:tc>
      </w:tr>
      <w:tr>
        <w:trPr>
          <w:trHeight w:val="221"/>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150,255</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11,933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79,093</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83,158</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233,377</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586,110</w:t>
            </w:r>
          </w:p>
        </w:tc>
        <w:tc>
          <w:tcPr>
            <w:tcW w:w="0" w:type="dxa"/>
            <w:vAlign w:val="bottom"/>
          </w:tcPr>
          <w:p>
            <w:pPr>
              <w:spacing w:after="0"/>
              <w:rPr>
                <w:sz w:val="1"/>
                <w:szCs w:val="1"/>
                <w:color w:val="auto"/>
              </w:rPr>
            </w:pPr>
          </w:p>
        </w:tc>
      </w:tr>
      <w:tr>
        <w:trPr>
          <w:trHeight w:val="223"/>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(265,442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(289,150)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(259,192)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(289,811)</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(35,758)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(40,975)</w:t>
            </w:r>
          </w:p>
        </w:tc>
        <w:tc>
          <w:tcPr>
            <w:tcW w:w="0" w:type="dxa"/>
            <w:vAlign w:val="bottom"/>
          </w:tcPr>
          <w:p>
            <w:pPr>
              <w:spacing w:after="0"/>
              <w:rPr>
                <w:sz w:val="1"/>
                <w:szCs w:val="1"/>
                <w:color w:val="auto"/>
              </w:rPr>
            </w:pPr>
          </w:p>
        </w:tc>
      </w:tr>
      <w:tr>
        <w:trPr>
          <w:trHeight w:val="210"/>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9"/>
              </w:rPr>
              <w:t>(297,736)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(333,982)</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62,975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63,032</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360"/>
              <w:spacing w:after="0" w:line="24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r>
              <w:rPr>
                <w:rFonts w:ascii="Times New Roman" w:cs="Times New Roman" w:eastAsia="Times New Roman" w:hAnsi="Times New Roman"/>
                <w:sz w:val="26"/>
                <w:szCs w:val="26"/>
                <w:color w:val="auto"/>
                <w:vertAlign w:val="superscript"/>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7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hanging="428"/>
        <w:spacing w:after="0" w:line="267"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consolidated financial statements included elsewhere in this prospectus for an explanation of the calculations of our basic and diluted net loss per share attributable to common stockholders.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23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59232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hanging="428"/>
        <w:spacing w:after="0"/>
        <w:tabs>
          <w:tab w:leader="none" w:pos="6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net loss per share gives effect to (a) the automatic conversion of all of our outstanding shares of Series B redeemable convertible preferred</w:t>
      </w:r>
    </w:p>
    <w:p>
      <w:pPr>
        <w:spacing w:after="0" w:line="43"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stock into 5,374,899 shares of Class B common stock, which will occur upon the closing of this offering, (b) the automatic conversion of all of our</w:t>
      </w:r>
    </w:p>
    <w:p>
      <w:pPr>
        <w:spacing w:after="0" w:line="236" w:lineRule="exact"/>
        <w:rPr>
          <w:sz w:val="20"/>
          <w:szCs w:val="20"/>
          <w:color w:val="auto"/>
        </w:rPr>
      </w:pPr>
    </w:p>
    <w:p>
      <w:pPr>
        <w:ind w:left="620" w:right="180"/>
        <w:spacing w:after="0" w:line="248" w:lineRule="auto"/>
        <w:rPr>
          <w:sz w:val="20"/>
          <w:szCs w:val="20"/>
          <w:color w:val="auto"/>
        </w:rPr>
      </w:pPr>
      <w:r>
        <w:rPr>
          <w:rFonts w:ascii="Times New Roman" w:cs="Times New Roman" w:eastAsia="Times New Roman" w:hAnsi="Times New Roman"/>
          <w:sz w:val="18"/>
          <w:szCs w:val="18"/>
          <w:color w:val="auto"/>
        </w:rPr>
        <w:t>outstanding shares of redeemable convertible preferred stock, other than our Series B preferred stock, into shares of Class A common stock, which will occur upon the closing of this offering, assuming an initial public offering price of $ per share, the midpoint of the estimated price range set forth on the cover page of this prospectus, (c) the issuance of Additional Class A Conversion Shares, assuming an initial public offering price of $ per share, the midpoint of the estimated price range set forth on the cover page of this prospectus, which will occur</w:t>
      </w:r>
    </w:p>
    <w:p>
      <w:pPr>
        <w:spacing w:after="0" w:line="3" w:lineRule="exact"/>
        <w:rPr>
          <w:sz w:val="20"/>
          <w:szCs w:val="20"/>
          <w:color w:val="auto"/>
        </w:rPr>
      </w:pPr>
    </w:p>
    <w:p>
      <w:pPr>
        <w:jc w:val="both"/>
        <w:ind w:left="620" w:right="200"/>
        <w:spacing w:after="0" w:line="274" w:lineRule="auto"/>
        <w:rPr>
          <w:sz w:val="20"/>
          <w:szCs w:val="20"/>
          <w:color w:val="auto"/>
        </w:rPr>
      </w:pPr>
      <w:r>
        <w:rPr>
          <w:rFonts w:ascii="Times New Roman" w:cs="Times New Roman" w:eastAsia="Times New Roman" w:hAnsi="Times New Roman"/>
          <w:sz w:val="16"/>
          <w:szCs w:val="16"/>
          <w:color w:val="auto"/>
        </w:rPr>
        <w:t>upon the conversion of all outstanding shares of our redeemable convertible preferred stock and upon the closing of this offering, (d) the automatic conversion of all of our nonvoting common stock into 4,932,415 shares of Class A common stock, which will occur upon the closing of this offering,</w:t>
      </w:r>
    </w:p>
    <w:tbl>
      <w:tblPr>
        <w:tblLayout w:type="fixed"/>
        <w:tblInd w:w="620" w:type="dxa"/>
        <w:tblCellMar>
          <w:top w:w="0" w:type="dxa"/>
          <w:left w:w="0" w:type="dxa"/>
          <w:bottom w:w="0" w:type="dxa"/>
          <w:right w:w="0" w:type="dxa"/>
        </w:tblCellMar>
      </w:tblPr>
      <w:tr>
        <w:trPr>
          <w:trHeight w:val="192"/>
        </w:trPr>
        <w:tc>
          <w:tcPr>
            <w:tcW w:w="13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(e) the issuance of</w:t>
            </w:r>
          </w:p>
        </w:tc>
        <w:tc>
          <w:tcPr>
            <w:tcW w:w="9160" w:type="dxa"/>
            <w:vAlign w:val="bottom"/>
            <w:gridSpan w:val="4"/>
          </w:tcPr>
          <w:p>
            <w:pPr>
              <w:jc w:val="right"/>
              <w:spacing w:after="0" w:line="192" w:lineRule="exact"/>
              <w:rPr>
                <w:sz w:val="20"/>
                <w:szCs w:val="20"/>
                <w:color w:val="auto"/>
              </w:rPr>
            </w:pPr>
            <w:r>
              <w:rPr>
                <w:rFonts w:ascii="Times New Roman" w:cs="Times New Roman" w:eastAsia="Times New Roman" w:hAnsi="Times New Roman"/>
                <w:sz w:val="18"/>
                <w:szCs w:val="18"/>
                <w:color w:val="auto"/>
              </w:rPr>
              <w:t>shares of Class A common stock upon settlement of RSUs for which the service-based vesting condition was satisfied</w:t>
            </w:r>
          </w:p>
        </w:tc>
      </w:tr>
      <w:tr>
        <w:trPr>
          <w:trHeight w:val="21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on or before</w:t>
            </w:r>
          </w:p>
        </w:tc>
        <w:tc>
          <w:tcPr>
            <w:tcW w:w="9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8"/>
              </w:rPr>
              <w:t>, 2023 and for which the performance-based vesting condition will be satisfied in connection with this offering, which settlement</w:t>
            </w: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will occur upon the expiration of the lock-up period in connection with this offering, (f) the issuance of</w:t>
            </w:r>
          </w:p>
        </w:tc>
        <w:tc>
          <w:tcPr>
            <w:tcW w:w="68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w:t>
            </w:r>
          </w:p>
        </w:tc>
      </w:tr>
      <w:tr>
        <w:trPr>
          <w:trHeight w:val="21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settlement of PSUs for which any service-based vesting condition was satisfied on or before</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2023 and for which the performance-based</w:t>
            </w:r>
          </w:p>
        </w:tc>
      </w:tr>
      <w:tr>
        <w:trPr>
          <w:trHeight w:val="210"/>
        </w:trPr>
        <w:tc>
          <w:tcPr>
            <w:tcW w:w="9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vesting condition will be satisfied in connection with this offering, (g) stock-based compensation expense of approximately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related</w:t>
            </w:r>
          </w:p>
        </w:tc>
      </w:tr>
      <w:tr>
        <w:trPr>
          <w:trHeight w:val="228"/>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the vesting of RSUs and PSUs for which the service-based vesting condition was satisfied on or before</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2023 and for which the</w:t>
            </w:r>
          </w:p>
        </w:tc>
      </w:tr>
    </w:tbl>
    <w:p>
      <w:pPr>
        <w:jc w:val="both"/>
        <w:ind w:left="620" w:right="200"/>
        <w:spacing w:after="0" w:line="285" w:lineRule="auto"/>
        <w:rPr>
          <w:sz w:val="20"/>
          <w:szCs w:val="20"/>
          <w:color w:val="auto"/>
        </w:rPr>
      </w:pPr>
      <w:r>
        <w:rPr>
          <w:rFonts w:ascii="Times New Roman" w:cs="Times New Roman" w:eastAsia="Times New Roman" w:hAnsi="Times New Roman"/>
          <w:sz w:val="16"/>
          <w:szCs w:val="16"/>
          <w:color w:val="auto"/>
        </w:rPr>
        <w:t>performance-based vesting condition will be satisfied in connection with this offering, as further described in Note 10 to our consolidated financial statements included elsewhere in this prospectus, and (h)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9"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December 31, 2022</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2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Pro</w:t>
            </w:r>
          </w:p>
        </w:tc>
        <w:tc>
          <w:tcPr>
            <w:tcW w:w="9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880" w:type="dxa"/>
            <w:vAlign w:val="bottom"/>
          </w:tcPr>
          <w:p>
            <w:pPr>
              <w:spacing w:after="0"/>
              <w:rPr>
                <w:sz w:val="12"/>
                <w:szCs w:val="12"/>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96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As Adjusted(2)</w:t>
            </w:r>
          </w:p>
        </w:tc>
        <w:tc>
          <w:tcPr>
            <w:tcW w:w="0" w:type="dxa"/>
            <w:vAlign w:val="bottom"/>
          </w:tcPr>
          <w:p>
            <w:pPr>
              <w:spacing w:after="0"/>
              <w:rPr>
                <w:sz w:val="1"/>
                <w:szCs w:val="1"/>
                <w:color w:val="auto"/>
              </w:rPr>
            </w:pPr>
          </w:p>
        </w:tc>
      </w:tr>
      <w:tr>
        <w:trPr>
          <w:trHeight w:val="169"/>
        </w:trPr>
        <w:tc>
          <w:tcPr>
            <w:tcW w:w="68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Forma(1)</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8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7"/>
              </w:rPr>
              <w:t>(in thousands)</w:t>
            </w:r>
          </w:p>
        </w:tc>
        <w:tc>
          <w:tcPr>
            <w:tcW w:w="7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303,731</w:t>
            </w:r>
          </w:p>
        </w:tc>
        <w:tc>
          <w:tcPr>
            <w:tcW w:w="12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900" w:type="dxa"/>
            <w:vAlign w:val="bottom"/>
          </w:tcPr>
          <w:p>
            <w:pPr>
              <w:jc w:val="right"/>
              <w:ind w:right="727"/>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631,364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capital(4)</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264,390</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1,026,143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(1,129,027)</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20" w:hanging="428"/>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automatic conversion of all of our outstanding shares of Series B redeemable</w:t>
      </w:r>
    </w:p>
    <w:p>
      <w:pPr>
        <w:spacing w:after="0" w:line="2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preferred stock into 5,374,899 shares of Class B common stock, which will occur upon the closing of this offering, (b) the automatic</w:t>
      </w:r>
    </w:p>
    <w:p>
      <w:pPr>
        <w:spacing w:after="0" w:line="213" w:lineRule="exact"/>
        <w:rPr>
          <w:sz w:val="20"/>
          <w:szCs w:val="20"/>
          <w:color w:val="auto"/>
        </w:rPr>
      </w:pPr>
    </w:p>
    <w:p>
      <w:pPr>
        <w:ind w:left="620" w:right="200"/>
        <w:spacing w:after="0" w:line="253" w:lineRule="auto"/>
        <w:rPr>
          <w:sz w:val="20"/>
          <w:szCs w:val="20"/>
          <w:color w:val="auto"/>
        </w:rPr>
      </w:pPr>
      <w:r>
        <w:rPr>
          <w:rFonts w:ascii="Times New Roman" w:cs="Times New Roman" w:eastAsia="Times New Roman" w:hAnsi="Times New Roman"/>
          <w:sz w:val="18"/>
          <w:szCs w:val="18"/>
          <w:color w:val="auto"/>
        </w:rPr>
        <w:t>conversion of all of our outstanding shares of redeemable convertible preferred stock, other than our Series B preferred stock, into shares of Class A common stock, assuming an initial public offering price of $ per share, the midpoint of the estimated price range set forth on the cover</w:t>
      </w:r>
    </w:p>
    <w:p>
      <w:pPr>
        <w:spacing w:after="0" w:line="2" w:lineRule="exact"/>
        <w:rPr>
          <w:sz w:val="20"/>
          <w:szCs w:val="20"/>
          <w:color w:val="auto"/>
        </w:rPr>
      </w:pPr>
    </w:p>
    <w:p>
      <w:pPr>
        <w:jc w:val="both"/>
        <w:ind w:left="620" w:right="200"/>
        <w:spacing w:after="0" w:line="274" w:lineRule="auto"/>
        <w:rPr>
          <w:sz w:val="20"/>
          <w:szCs w:val="20"/>
          <w:color w:val="auto"/>
        </w:rPr>
      </w:pPr>
      <w:r>
        <w:rPr>
          <w:rFonts w:ascii="Times New Roman" w:cs="Times New Roman" w:eastAsia="Times New Roman" w:hAnsi="Times New Roman"/>
          <w:sz w:val="16"/>
          <w:szCs w:val="16"/>
          <w:color w:val="auto"/>
        </w:rPr>
        <w:t>page of this prospectus, which will occur upon the closing of this offering, (c) the issuance of the Additional Class A Conversion Shares, which will occur upon the conversion of all outstanding shares of our redeemable convertible preferred stock and upon the closing of this offering, assuming an</w:t>
      </w:r>
    </w:p>
    <w:p>
      <w:pPr>
        <w:jc w:val="both"/>
        <w:ind w:left="620" w:right="180"/>
        <w:spacing w:after="0" w:line="243" w:lineRule="auto"/>
        <w:rPr>
          <w:sz w:val="20"/>
          <w:szCs w:val="20"/>
          <w:color w:val="auto"/>
        </w:rPr>
      </w:pPr>
      <w:r>
        <w:rPr>
          <w:rFonts w:ascii="Times New Roman" w:cs="Times New Roman" w:eastAsia="Times New Roman" w:hAnsi="Times New Roman"/>
          <w:sz w:val="18"/>
          <w:szCs w:val="18"/>
          <w:color w:val="auto"/>
        </w:rPr>
        <w:t>initial public offering price of $ per share, the midpoint of the estimated price range set forth on the cover page of this prospectus, (d) the automatic conversion of all of our nonvoting common stock into 4,932,415 shares of Class A common stock, which will occur upon the closing of this offering, (e) the filing and effectiveness of our amended and restated certificate of incorporation, which will occur upon the closing of this</w:t>
      </w:r>
    </w:p>
    <w:tbl>
      <w:tblPr>
        <w:tblLayout w:type="fixed"/>
        <w:tblInd w:w="0" w:type="dxa"/>
        <w:tblCellMar>
          <w:top w:w="0" w:type="dxa"/>
          <w:left w:w="0" w:type="dxa"/>
          <w:bottom w:w="0" w:type="dxa"/>
          <w:right w:w="0" w:type="dxa"/>
        </w:tblCellMar>
      </w:tblPr>
      <w:tr>
        <w:trPr>
          <w:trHeight w:val="194"/>
        </w:trPr>
        <w:tc>
          <w:tcPr>
            <w:tcW w:w="2660" w:type="dxa"/>
            <w:vAlign w:val="bottom"/>
          </w:tcPr>
          <w:p>
            <w:pPr>
              <w:ind w:left="620"/>
              <w:spacing w:after="0" w:line="194" w:lineRule="exact"/>
              <w:rPr>
                <w:sz w:val="20"/>
                <w:szCs w:val="20"/>
                <w:color w:val="auto"/>
              </w:rPr>
            </w:pPr>
            <w:r>
              <w:rPr>
                <w:rFonts w:ascii="Times New Roman" w:cs="Times New Roman" w:eastAsia="Times New Roman" w:hAnsi="Times New Roman"/>
                <w:sz w:val="18"/>
                <w:szCs w:val="18"/>
                <w:color w:val="auto"/>
              </w:rPr>
              <w:t>offering, (f) the issuance of</w:t>
            </w:r>
          </w:p>
        </w:tc>
        <w:tc>
          <w:tcPr>
            <w:tcW w:w="8680" w:type="dxa"/>
            <w:vAlign w:val="bottom"/>
            <w:gridSpan w:val="3"/>
          </w:tcPr>
          <w:p>
            <w:pPr>
              <w:jc w:val="right"/>
              <w:ind w:right="92"/>
              <w:spacing w:after="0" w:line="194" w:lineRule="exact"/>
              <w:rPr>
                <w:sz w:val="20"/>
                <w:szCs w:val="20"/>
                <w:color w:val="auto"/>
              </w:rPr>
            </w:pPr>
            <w:r>
              <w:rPr>
                <w:rFonts w:ascii="Times New Roman" w:cs="Times New Roman" w:eastAsia="Times New Roman" w:hAnsi="Times New Roman"/>
                <w:sz w:val="18"/>
                <w:szCs w:val="18"/>
                <w:color w:val="auto"/>
              </w:rPr>
              <w:t>shares of Class A common stock upon settlement of RSUs for which the service-based vesting condition was</w:t>
            </w:r>
          </w:p>
        </w:tc>
      </w:tr>
      <w:tr>
        <w:trPr>
          <w:trHeight w:val="210"/>
        </w:trPr>
        <w:tc>
          <w:tcPr>
            <w:tcW w:w="26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satisfied on or before</w:t>
            </w:r>
          </w:p>
        </w:tc>
        <w:tc>
          <w:tcPr>
            <w:tcW w:w="868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color w:val="auto"/>
                <w:w w:val="99"/>
              </w:rPr>
              <w:t>, 2023 and for which the performance-based vesting condition will be satisfied in connection with this offering, which</w:t>
            </w:r>
          </w:p>
        </w:tc>
      </w:tr>
      <w:tr>
        <w:trPr>
          <w:trHeight w:val="210"/>
        </w:trPr>
        <w:tc>
          <w:tcPr>
            <w:tcW w:w="95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settlement will occur upon the expiration of the lock-up period in connection with this offering, and (g) the issuance of</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shares of Class A</w:t>
            </w:r>
          </w:p>
        </w:tc>
      </w:tr>
      <w:tr>
        <w:trPr>
          <w:trHeight w:val="228"/>
        </w:trPr>
        <w:tc>
          <w:tcPr>
            <w:tcW w:w="87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common stock upon settlement of PSUs for which the service-based vesting condition was satisfied on or before</w:t>
            </w:r>
          </w:p>
        </w:tc>
        <w:tc>
          <w:tcPr>
            <w:tcW w:w="2560" w:type="dxa"/>
            <w:vAlign w:val="bottom"/>
            <w:gridSpan w:val="2"/>
          </w:tcPr>
          <w:p>
            <w:pPr>
              <w:jc w:val="right"/>
              <w:ind w:right="1212"/>
              <w:spacing w:after="0"/>
              <w:rPr>
                <w:sz w:val="20"/>
                <w:szCs w:val="20"/>
                <w:color w:val="auto"/>
              </w:rPr>
            </w:pPr>
            <w:r>
              <w:rPr>
                <w:rFonts w:ascii="Times New Roman" w:cs="Times New Roman" w:eastAsia="Times New Roman" w:hAnsi="Times New Roman"/>
                <w:sz w:val="18"/>
                <w:szCs w:val="18"/>
                <w:color w:val="auto"/>
              </w:rPr>
              <w:t>, 2023 and for</w:t>
            </w:r>
          </w:p>
        </w:tc>
      </w:tr>
      <w:tr>
        <w:trPr>
          <w:trHeight w:val="168"/>
        </w:trPr>
        <w:tc>
          <w:tcPr>
            <w:tcW w:w="2660" w:type="dxa"/>
            <w:vAlign w:val="bottom"/>
            <w:tcBorders>
              <w:bottom w:val="single" w:sz="8" w:color="auto"/>
            </w:tcBorders>
          </w:tcPr>
          <w:p>
            <w:pPr>
              <w:spacing w:after="0"/>
              <w:rPr>
                <w:sz w:val="14"/>
                <w:szCs w:val="14"/>
                <w:color w:val="auto"/>
              </w:rPr>
            </w:pPr>
          </w:p>
        </w:tc>
        <w:tc>
          <w:tcPr>
            <w:tcW w:w="6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r>
        <w:trPr>
          <w:trHeight w:val="351"/>
        </w:trPr>
        <w:tc>
          <w:tcPr>
            <w:tcW w:w="2660" w:type="dxa"/>
            <w:vAlign w:val="bottom"/>
          </w:tcPr>
          <w:p>
            <w:pPr>
              <w:spacing w:after="0"/>
              <w:rPr>
                <w:sz w:val="24"/>
                <w:szCs w:val="24"/>
                <w:color w:val="auto"/>
              </w:rPr>
            </w:pPr>
          </w:p>
        </w:tc>
        <w:tc>
          <w:tcPr>
            <w:tcW w:w="6120" w:type="dxa"/>
            <w:vAlign w:val="bottom"/>
          </w:tcPr>
          <w:p>
            <w:pPr>
              <w:jc w:val="right"/>
              <w:ind w:right="2932"/>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7806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27806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which the performance-based vesting condition will be satisfied in connection with this offering, which settlement will occur upon the expiration of</w:t>
      </w:r>
    </w:p>
    <w:p>
      <w:pPr>
        <w:spacing w:after="0" w:line="44" w:lineRule="exact"/>
        <w:rPr>
          <w:sz w:val="20"/>
          <w:szCs w:val="20"/>
          <w:color w:val="auto"/>
        </w:rPr>
      </w:pPr>
    </w:p>
    <w:p>
      <w:pPr>
        <w:ind w:left="620"/>
        <w:spacing w:after="0" w:line="243" w:lineRule="auto"/>
        <w:rPr>
          <w:sz w:val="20"/>
          <w:szCs w:val="20"/>
          <w:color w:val="auto"/>
        </w:rPr>
      </w:pPr>
      <w:r>
        <w:rPr>
          <w:rFonts w:ascii="Times New Roman" w:cs="Times New Roman" w:eastAsia="Times New Roman" w:hAnsi="Times New Roman"/>
          <w:sz w:val="18"/>
          <w:szCs w:val="18"/>
          <w:color w:val="auto"/>
        </w:rPr>
        <w:t>the lock-up period in connection with this offering, and (h) stock-based compensation expense of approximately $ million related to the vesting of RSUs and PSUs for which the service-based vesting condition was satisfied on or before , 2023 and for which the performance-</w:t>
      </w:r>
    </w:p>
    <w:p>
      <w:pPr>
        <w:spacing w:after="0" w:line="1"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6"/>
          <w:szCs w:val="16"/>
          <w:color w:val="auto"/>
        </w:rPr>
        <w:t>based vesting condition will be satisfied in connection with this offering, as further described in Note 10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ind w:left="620" w:hanging="428"/>
        <w:spacing w:after="0"/>
        <w:tabs>
          <w:tab w:leader="none" w:pos="6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right="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of Class A common stock, the midpoint of the estimated price range set forth on the cover page of this prospectus, would increase (decrease) each of our pro forma as adjusted cash, cash</w:t>
      </w:r>
    </w:p>
    <w:p>
      <w:pPr>
        <w:spacing w:after="0" w:line="1" w:lineRule="exact"/>
        <w:rPr>
          <w:sz w:val="20"/>
          <w:szCs w:val="20"/>
          <w:color w:val="auto"/>
        </w:rPr>
      </w:pPr>
    </w:p>
    <w:p>
      <w:pPr>
        <w:jc w:val="both"/>
        <w:ind w:left="620"/>
        <w:spacing w:after="0" w:line="752" w:lineRule="auto"/>
        <w:rPr>
          <w:sz w:val="20"/>
          <w:szCs w:val="20"/>
          <w:color w:val="auto"/>
        </w:rPr>
      </w:pPr>
      <w:r>
        <w:rPr>
          <w:rFonts w:ascii="Times New Roman" w:cs="Times New Roman" w:eastAsia="Times New Roman" w:hAnsi="Times New Roman"/>
          <w:sz w:val="16"/>
          <w:szCs w:val="16"/>
          <w:color w:val="auto"/>
        </w:rPr>
        <w:t>equivalents and restricted cash, total 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total stockholders’ (deficit) equity by $ million, assuming the assumed initial public offering price of $ per share of Class A common stock remains the same, and after deducting the estimated underwriting discounts and commissions.</w:t>
      </w:r>
    </w:p>
    <w:p>
      <w:pPr>
        <w:spacing w:after="0" w:line="2" w:lineRule="exact"/>
        <w:rPr>
          <w:sz w:val="20"/>
          <w:szCs w:val="20"/>
          <w:color w:val="auto"/>
        </w:rPr>
      </w:pPr>
    </w:p>
    <w:p>
      <w:pPr>
        <w:ind w:left="620" w:hanging="428"/>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2021 and 2022, we incurred net losses of $259.2 million and $289.8 million, respectively. As of December 31, 2022, we had an accumulated deficit of $1.1 billion. To date, we have financed our operations principally from the sale of stock and convertible securities, and revenue from precision oncology and COVID-19 testing in our Genomics business, and from our Insights product in our Data business.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right="2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Following a reduced demand for COVID-19 testing, we stopped offering PCR diagnostic tests and generating COVID-19 testing revenue in the first quarter of 2023.</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Beginning in 2020, we offered reverse transcription polymerase chain reaction, or PCR, diagnostic tests for the qualitative detection of nucleic acid from the SARS-CoV-2 virus in nasopharyngeal swab specimens from individuals suspected of having COVID-19. Revenue from COVID-19 testing accounted for $94.7 million, or 36.7%, of our revenue in the year ended December 31, 2021 and $22.2 million, or 6.9%, of our revenue in the year ended December 31, 2022.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ended completely in the first quarter of 2023, at which time we stopped offering PCR diagnostic tests and shifted resources from COVID-19 testing to other aspects of the business.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de-identified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neuropsychology, cardiology, radiology, and other indications;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of our products, which may vary significantly, including reduced demand for our COVID-19 tests, which may result in, among other things, write-downs of inventory;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 between Russia and Ukraine),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 between Russia and Ukraine), the political climate and the impact of public health emergencies such as the COVID-19 pandemic, high and rising inflation rates, high interest rates, government closures of banks and liquidity concerns at other financial institutions;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The actual timing of data deliveries can be based on a variety of factors, including, but not limited to, the customer’s requirements and/or our technological, operational, and human capital capacity.</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is critical to our ability to offer our Data and AI Applications products and services. We have historically generated more revenue from the sale of products and services that leverage our de-identified data than we have from the provision of the underlying Genomics test related to such data, and we expect this trend to continue.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91"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37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Geisinger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place to address the proper handling and use of data, but could face claims that our practices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13"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32% and 46% of our revenue in the years ended December 31, 2021 and 2022, respectively. We cannot assure that our oncology tests will continue to maintain or gain market acceptance, and any failure to do so would materially harm our business, financial condition and results of operations.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scope and robustness of the Data and AI Applications products that we can offer our customers also depend significantly on the continued success of our Genomics product line, as the data that we collect through genomic testing is an essential component of our Data and AI Applications products. Further, we believe that growth in the use of our Data products will help drive awareness and adoption of our Genomics product line, which in turn will drive further growth within our Data and AI Applications product lines. However, there can be no assurance that we will realize these synergies.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December 31, 2022, we had only three commercialized algorithms within our AI Applications product line. Revenue generated from AI Applications is reported within our Data and other product line and was less than $1.0 million for the year ended December 31, 2021 and $1.4 million for the year ended December 31, 2022, which represents less than 1.0% of our total revenue in each period, respectively.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 only a small proportion of the diagnostics market. While we believe AI Applications represent a significant long-term opportunity for us, there can be no assurances that a robust and sustained market for such diagnostics will develop or that we will successfully compete in any such market.</w:t>
      </w:r>
    </w:p>
    <w:p>
      <w:pPr>
        <w:spacing w:after="0" w:line="263"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2022, we had developed multiple genomics diagnostics tests across oncology, infectious diseases, and neuropsychology,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2021, our products have been mentioned in 59 peer-reviewed articles published in major journals, including 40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may negatively impact our prospects.</w:t>
      </w:r>
    </w:p>
    <w:p>
      <w:pPr>
        <w:spacing w:after="0" w:line="297"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00" w:lineRule="exact"/>
        <w:rPr>
          <w:sz w:val="20"/>
          <w:szCs w:val="20"/>
          <w:color w:val="auto"/>
        </w:rPr>
      </w:pPr>
    </w:p>
    <w:p>
      <w:pPr>
        <w:spacing w:after="0" w:line="275"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81" w:lineRule="exact"/>
        <w:rPr>
          <w:sz w:val="20"/>
          <w:szCs w:val="20"/>
          <w:color w:val="auto"/>
        </w:rPr>
      </w:pPr>
    </w:p>
    <w:p>
      <w:pPr>
        <w:ind w:left="460" w:right="14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1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2022. We calculated this metric on a trailing two-quarter basis based on payor adjudication timing. However, we continued to perform our NGS tests through December 31, 2022. For the years ended December 31, 2021 and 2022, our average reimbursement for NGS tests billed to insurance in oncology was approximately $1,100 and $1,500,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29% and 28% of our clinical tests were for Medicare beneficiaries in the years 2021 and 2022,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an extremely small number of commercial payers, other large, national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4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During the fourth quarter of 2021, we began receiving favorable results on outstanding level 2 claims that were adjudicated and have received payment on a subset of these claims as a result of the appeal process. During the year ended December 31, 2022, Medicare claims represented 28% of our clinical testing volume.</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81"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71" w:lineRule="exact"/>
        <w:rPr>
          <w:sz w:val="20"/>
          <w:szCs w:val="20"/>
          <w:color w:val="auto"/>
        </w:rPr>
      </w:pPr>
    </w:p>
    <w:p>
      <w:pPr>
        <w:ind w:left="460" w:right="2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Failure of, or defects in, our Platform’s artificial intelligence software, or increased regulation in this space, could impair our ability to process our data, develop products, or provide test results, and harm our business, financial condition and results of operations.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Artificial intelligence is enabled by or integrated into our Platform and, as a result, our diagnostic and data products, and is therefore a significant element of our current business and our future strategy. As with many developing technologies, artificial intelligence presents risks and challenges that could affect its further development, adoption, and use, and therefore our business.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recommendations, forecasts or analyses that our Platform’s artificial intelligence applications assist in producing are deficient or inaccurate, we could be subjected to competitive harm, potential legal liability and brand or reputational harm.</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inappropriate or controversial data practices by data scientists, engineers and end-users of our or our competitors’ products could impair the acceptance of artificial intelligence products. Though our business practices are designed to mitigate many of these risks, if we enable or offer artificial intelligence products that are controversial because of their purported or real impact on human rights, privacy, employment, or other social issues, we may experience brand or reputational harm. Additionally, regulation in the artificial intelligence space is constantly changing and increasing, and may make it difficult for us to continue using our artificial intelligence approach to diagnostics and data analysis.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our Platform does not function reliably, fails to meet expectations in terms of performance, or cannot be fully utilized due to increasing regulation or reputational concerns, we may be unable to provide such services, or our customers may stop using our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artificial intelligence-driven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products include Flatiron Health, Inc., IQVIA Holdings Inc., and ConcertAI, among others. Furthermore, our Data products also face competition from CROs, such as Covance,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and Eko Devices, Inc. In addition, we are aware that academic medical centers may be developing their own AI Applications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artificial intelligence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artificial intelligence,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products to pharmaceutical and biotechnology companies through our business development team.</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3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 and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Sales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2022, we derived $47.9 million, or approximately 39% and 15%, of our Data product line revenue and total revenue, respectively, from three customers. We expect to continue to derive a significant portion of our Data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2"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products after the license ends, and many of our contracts may be terminated or reduced in scope either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immediately or upon notice. In addition, our customers may negotiate terms less advantageous to us upon renewal, which may reduce our revenues from these customers. Factors that are not within our control may contribute to a reduction in our Data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 significant portion of our current Data products sales are to customers in the life sciences industry, in particular the pharmaceutical and biotechnology industry. Demand for our Data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63"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25% and 35% of total vendor payments for the year ended December 31, 2021 and 2022, respectively. Amounts due to this supplier approximated $0.9 million and $8.2 million at December 31, 2021 and 2022,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379"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(including the armed conflict between Russia and Ukraine), civil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unrest, acts of terrorism or other interruptions to or difficulties in the employment of labor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88"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new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If we cannot provide quality technical support and services for our Data products, we could lose customers and our business and prospects will suffer.</w:t>
      </w:r>
    </w:p>
    <w:p>
      <w:pPr>
        <w:spacing w:after="0" w:line="13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 Additionally, impacts of the COVID-19 pandemic could cause unpredictable temporary or permanent fluctuations in seasonal or cyclical variations.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7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61"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 for increased penalties for CPRA violations concerning California residents under the age of 16, and establish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passed the Colorado Privacy Act, both of which differ from the CPRA and became effective in 2023.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laboratory resides.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191"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the decision in Schrems II and subsequent draft guidance from the European Data Protection Board, or EDPB, may require the parties to that transfer to implement certain supplementary technical, organizational and/or contractual measures to rely on the standard contractual clauses as a GDPR-compliant ‘transfer mechanism.’ However, the aforementioned draft guidance from the EDPB on such supplementary technical, organizational and/or contractual measures appears to conclude that no combination of such measures could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society’—which may, following the CJEU’s conclusions in Schrems II on relevant powers of U.S. public authorities and commentary in that draft EDPB guidance, include the United States in certain circumstances (e.g., where Section 702 of the US Foreign Intelligence Surveillance Act applies). If we are unable to implement a valid compliance mechanism for cross-border personal data transfers, we may face increased exposure to regulatory actions, substantial fines and injunctions against processing or transferring personal data from Europe.</w:t>
      </w:r>
    </w:p>
    <w:p>
      <w:pPr>
        <w:spacing w:after="0" w:line="200" w:lineRule="exact"/>
        <w:rPr>
          <w:sz w:val="20"/>
          <w:szCs w:val="20"/>
          <w:color w:val="auto"/>
        </w:rPr>
      </w:pPr>
    </w:p>
    <w:p>
      <w:pPr>
        <w:spacing w:after="0" w:line="3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form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artificial intelligence in analyzing data, including data in healthcare related areas;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artificial intelligence technologies and other software. As the regulatory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297"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88"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products that are subject to FDA regulation in the event of material deficiencies or defects in design or manufacture. We may also, on our own initiative, recall a product. The FDA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285"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FDA and the Federal Trade Commission, or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8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and want to offer for clinical testing to New York residents, and there can be no assurance that we will be able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99" w:lineRule="exact"/>
        <w:rPr>
          <w:rFonts w:ascii="Times New Roman" w:cs="Times New Roman" w:eastAsia="Times New Roman" w:hAnsi="Times New Roman"/>
          <w:sz w:val="18"/>
          <w:szCs w:val="18"/>
          <w:color w:val="auto"/>
        </w:rPr>
      </w:pPr>
    </w:p>
    <w:p>
      <w:pPr>
        <w:jc w:val="both"/>
        <w:ind w:left="1000" w:hanging="549"/>
        <w:spacing w:after="0" w:line="24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any additional inquiry since that time. 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200" w:lineRule="exact"/>
        <w:rPr>
          <w:sz w:val="20"/>
          <w:szCs w:val="20"/>
          <w:color w:val="auto"/>
        </w:rPr>
      </w:pPr>
    </w:p>
    <w:p>
      <w:pPr>
        <w:spacing w:after="0" w:line="281"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this requires the physician or hospital system ordering the diagnostic</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system to obtain the consent of the patient.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under a large number of different legal systems.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2"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tests and the reimbursement rates of payers;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so we have historically submitted claims using individual codes or combinations of codes based on the cancer subtype profiled. However, providers, such as the Local MAC,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are currently disputing denials of a substantial number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2022, approximately 35% of the liquid biopsy tests we provide are ordered in proximity to a solid tissue-based test, and approximately 90%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37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00" w:lineRule="exact"/>
        <w:rPr>
          <w:sz w:val="20"/>
          <w:szCs w:val="20"/>
          <w:color w:val="auto"/>
        </w:rPr>
      </w:pPr>
    </w:p>
    <w:p>
      <w:pPr>
        <w:spacing w:after="0" w:line="279"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 xml:space="preserve">by USPTO administered post-grant proceedings, including post-grant review,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4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28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artificial intelligence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5"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w:t>
      </w:r>
    </w:p>
    <w:p>
      <w:pPr>
        <w:spacing w:after="0" w:line="15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86"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9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and the worldwide attempts to contain it could harm our business and our results of operations have been and could continue to be adversely impacted by such pandemic.</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COVID-19 global pandemic and the various attempts throughout the world to contain it, have created significant volatility, uncertainty and disruption. In response to government directives and guidelines, health care advisories and employee and customer concerns, we altered certain aspects of our operations. Many of our employees worked remotely from home and those on site followed social distance guidelines, which have impacted their productivity. Any resurgence of COVID-19 could cause us or government authorities to reimpose these operating restrictions.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continues to cause or again causes severe disruption, vendors of equipment and reagents for our operations could also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reduce production or even go out of business, resulting in supply constraints for us. The COVID-19 pandemic has resulted in, and could continue to cause, increased costs or delays to production and development of our products.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full extent to which the COVID-19 pandemic and the various responses to it impacts our business, operations and financial results will depend on numerous evolving factors that we may not be able to accurately predict, including: the duration and scope of the pandemic, including any resurgence in the United States; governmental, business and individuals’ actions that have been and continue to be taken in response to the pandemic; the availability, cost to access and effectiveness of COVID-19 tests, vaccines and medicines; the effect on our customers and customer demand for and ability to pay for our tests; restrictions on our employees’ ability to work and travel; disruptions related to the distribution of our tests, including impacts on logistics of shipping and receiving blood collection kits; and any stoppages, disruptions or increased costs associated with development, production and marketing of our products. We will continue to actively monitor the issues raised by the COVID-19 pandemic and may take new or further actions that alter our operations, as may be required by federal, state, local or foreign authorities, or that we determine are in the best interests of our employees, customers and stockholders. It is not clear what the potential effects any such alterations or modifications may have on our business, including the effects on our financial results.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we expect our COVID-19 diagnostic testing revenue to decline substantially over time as the COVID-19 pandemic wanes and demand for testing subsides. In addition,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296"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is a member of the board of directors of Groupon, Inc., which he co-founded, and is a trustee of the Lefkofsky Family Foundation. Mr. Lefkofsky’s participation in and attention to these other endeavors may impact our business. In October 2022 ,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the public disclosure of such information could have a negative reputational impact on Mr. Lefkofsky and, indirectly as a result, on Tempus.</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individual and collective efforts of Mr. Lefkofsky and our other employees will be important as we continue to develop our Platform and additional products, and as we expand our commercial activities. The loss or incapacity of existing members of our executive management team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5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76"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company,” as defined in the Jumpstart our Business Startups Act of 2012, or the JOBS Act. At such time, our independent registered public accounting firm may issue a report that is adverse if a material weakness is identified.</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47"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artificial intelligence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payers, processing reimbursement appeals, handling patient or physician inquiries, conducting research and development activities and managing the administrative aspects of our business.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0"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6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88"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302"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 between Russia and Ukraine),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damage or disrupt international commerce and the global economy, and could have a material adverse effect on our business and results of operations. While our business and operations are currently not impacted, it is not possible to predict the broader or longer-term consequences of this crisis. Consequences of the crisis could include further sanctions, embargoes, regional instability, geopolitical shifts and adverse effects on macroeconomic conditions, security conditions, currency exchange rates and financial markets. There can be no assurance that the Russia-Ukraine crisis, including any resulting sanctions, export controls or other restrictive actions, will not have a material adverse impact on our future operations and results.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December 31, 2022, we had indebtedness of $396.1 million, comprised of $221.1 million under the convertible promissory note, or, as amended, the Amended Note, that we issued to Google LLC, or Google, and $175.0 million pursuant to a credit agreement with Ares Capital Corporation, or Ares, for a senior secured loan, or the Term Loan Facility, the principal amount of which was increased by an additional $50 million pursuant to an amendment dated April 25, 2023. Our current and future indebtedness, including the Amended Note and the Term Loan Facility may have significant negative effects on our operations, including: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5"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 and</w:t>
      </w:r>
    </w:p>
    <w:p>
      <w:pPr>
        <w:spacing w:after="0" w:line="59"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18"/>
          <w:szCs w:val="18"/>
          <w:color w:val="auto"/>
        </w:rPr>
        <w:t>beneficially own shares representing approximately</w:t>
      </w:r>
      <w:r>
        <w:rPr>
          <w:sz w:val="20"/>
          <w:szCs w:val="20"/>
          <w:color w:val="auto"/>
        </w:rPr>
        <w:tab/>
      </w:r>
      <w:r>
        <w:rPr>
          <w:rFonts w:ascii="Times New Roman" w:cs="Times New Roman" w:eastAsia="Times New Roman" w:hAnsi="Times New Roman"/>
          <w:sz w:val="16"/>
          <w:szCs w:val="16"/>
          <w:color w:val="auto"/>
        </w:rPr>
        <w:t>% of the voting power of our outstanding capital stock following the completion of this offering. As</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35"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w:t>
      </w:r>
      <w:r>
        <w:rPr>
          <w:rFonts w:ascii="Times New Roman" w:cs="Times New Roman" w:eastAsia="Times New Roman" w:hAnsi="Times New Roman"/>
          <w:sz w:val="26"/>
          <w:szCs w:val="26"/>
          <w:color w:val="auto"/>
          <w:vertAlign w:val="superscript"/>
        </w:rPr>
        <w:t>n</w:t>
      </w:r>
      <w:r>
        <w:rPr>
          <w:rFonts w:ascii="Times New Roman" w:cs="Times New Roman" w:eastAsia="Times New Roman" w:hAnsi="Times New Roman"/>
          <w:sz w:val="18"/>
          <w:szCs w:val="18"/>
          <w:color w:val="auto"/>
        </w:rPr>
        <w:t xml:space="preserve">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9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December 31, 2022 and 12,280,543 shares of Class A common stock issuable upon the vesting and settlement of restricted stock units outstanding as of December 31, 2022. The shares of Class A common stock will become eligible for sale in the public market to the extent such options are exercised or restricted stock units vested and settled, subject to the lock-up agreements described above and compliance with applicable securities laws. We intend to register all of the shares of Class A common stock issuable upon the vesting and settlement of outstanding restricted stock units, and other equity incentives we may grant in the future, for public resale under the Securities Act.</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Further, based on shares outstanding as of December 31, 2022, holders of approximately shares of Class A common stock (assuming the issuance of the Additional Class A Conversion Shares, as discussed under “Prospectus Summary” above, and assuming no exercise of the underwriters’ option to purchase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additional shares) and approximately shares of Class B common stock,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tbl>
      <w:tblPr>
        <w:tblLayout w:type="fixed"/>
        <w:tblInd w:w="0" w:type="dxa"/>
        <w:tblCellMar>
          <w:top w:w="0" w:type="dxa"/>
          <w:left w:w="0" w:type="dxa"/>
          <w:bottom w:w="0" w:type="dxa"/>
          <w:right w:w="0" w:type="dxa"/>
        </w:tblCellMar>
      </w:tblPr>
      <w:tr>
        <w:trPr>
          <w:trHeight w:val="194"/>
        </w:trPr>
        <w:tc>
          <w:tcPr>
            <w:tcW w:w="7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per share, or $</w:t>
            </w:r>
          </w:p>
        </w:tc>
        <w:tc>
          <w:tcPr>
            <w:tcW w:w="88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7"/>
              </w:rPr>
              <w:t>per share if the underwriters exercise their option to purchase additional shares in full, representing the difference between our</w:t>
            </w:r>
          </w:p>
        </w:tc>
      </w:tr>
      <w:tr>
        <w:trPr>
          <w:trHeight w:val="21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as of</w:t>
            </w:r>
          </w:p>
        </w:tc>
        <w:tc>
          <w:tcPr>
            <w:tcW w:w="6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 after giving effect to the sale of Class A common stock in this offering and the</w:t>
            </w:r>
          </w:p>
        </w:tc>
      </w:tr>
      <w:tr>
        <w:trPr>
          <w:trHeight w:val="21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assumed public offering price of $</w:t>
            </w:r>
          </w:p>
        </w:tc>
        <w:tc>
          <w:tcPr>
            <w:tcW w:w="8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price range set forth on the cover page of this prospectus. See the section titled</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4"/>
              </w:rPr>
              <w:t>“Dilution.”</w:t>
            </w:r>
          </w:p>
        </w:tc>
        <w:tc>
          <w:tcPr>
            <w:tcW w:w="1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93"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85"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(2021-2026),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2020, Outlook to 2026, July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September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2020: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2020 database, 2020: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September 2018</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2019-2021, 2019</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44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2022, there was $175.0 million gross principal amount outstanding under the Term Loan Facility. As of December 31, 2022, the interest rate on the Term Loan Facility was 10.5%. The Term Loan Facility was entered into in September 2022 to provide working capital and for general corporate purposes, including to finance growth initiatives and pay for operating expenses. In April 2023, we entered into an amendment pursuant to which the aggregate principal amount of the Term Loan facility was increased by an additional $50 million.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$26.8 million in cash dividends to holders of our preferred stock in satisfaction of dividend obligations accruing pursuant to our certificate of incorporation in effect prior to this offering. As of the date of this prospectus, shares of our convertible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December 31, 2022:</w:t>
      </w:r>
    </w:p>
    <w:p>
      <w:pPr>
        <w:spacing w:after="0" w:line="121" w:lineRule="exact"/>
        <w:rPr>
          <w:sz w:val="20"/>
          <w:szCs w:val="20"/>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85"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(1) the automatic conversion of all of our outstanding shares of Series B redeemable convertible preferred stock into 5,374,899 shares of Class B common stock, which will occur upon the closing of this offering; (2) the automatic conversion of all of our</w:t>
      </w:r>
    </w:p>
    <w:tbl>
      <w:tblPr>
        <w:tblLayout w:type="fixed"/>
        <w:tblInd w:w="460" w:type="dxa"/>
        <w:tblCellMar>
          <w:top w:w="0" w:type="dxa"/>
          <w:left w:w="0" w:type="dxa"/>
          <w:bottom w:w="0" w:type="dxa"/>
          <w:right w:w="0" w:type="dxa"/>
        </w:tblCellMar>
      </w:tblPr>
      <w:tr>
        <w:trPr>
          <w:trHeight w:val="193"/>
        </w:trPr>
        <w:tc>
          <w:tcPr>
            <w:tcW w:w="300" w:type="dxa"/>
            <w:vAlign w:val="bottom"/>
          </w:tcPr>
          <w:p>
            <w:pPr>
              <w:spacing w:after="0"/>
              <w:rPr>
                <w:sz w:val="16"/>
                <w:szCs w:val="16"/>
                <w:color w:val="auto"/>
              </w:rPr>
            </w:pPr>
          </w:p>
        </w:tc>
        <w:tc>
          <w:tcPr>
            <w:tcW w:w="782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color w:val="auto"/>
                <w:w w:val="98"/>
              </w:rPr>
              <w:t>outstanding shares of redeemable convertible preferred stock, other than our Series B preferred stock, into</w:t>
            </w:r>
          </w:p>
        </w:tc>
        <w:tc>
          <w:tcPr>
            <w:tcW w:w="27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shares of Class A common</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assuming an initial public offering price of $</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 page of this</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prospectus, which will occur upon the closing of this offering, which will occur upon the closing of this offering; (3) the issuance of</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w:t>
            </w: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per share, the midpoint of the estimated price range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set forth on the cover page of this prospectus, which will occur upon the conversion of all outstanding shares of our redeemable convertible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8"/>
              </w:rPr>
              <w:t>preferred stock and upon the closing of this offering; (4) the automatic conversion of all of our nonvoting common stock into 4,932,415 shares of</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Class A common stock, which will occur upon the closing of this offering; (5) the issuance of</w:t>
            </w:r>
          </w:p>
        </w:tc>
        <w:tc>
          <w:tcPr>
            <w:tcW w:w="880" w:type="dxa"/>
            <w:vAlign w:val="bottom"/>
          </w:tcPr>
          <w:p>
            <w:pPr>
              <w:spacing w:after="0"/>
              <w:rPr>
                <w:sz w:val="18"/>
                <w:szCs w:val="18"/>
                <w:color w:val="auto"/>
              </w:rPr>
            </w:pP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shares of Class A common stock upon</w:t>
            </w:r>
          </w:p>
        </w:tc>
      </w:tr>
      <w:tr>
        <w:trPr>
          <w:trHeight w:val="210"/>
        </w:trPr>
        <w:tc>
          <w:tcPr>
            <w:tcW w:w="300" w:type="dxa"/>
            <w:vAlign w:val="bottom"/>
          </w:tcPr>
          <w:p>
            <w:pPr>
              <w:spacing w:after="0"/>
              <w:rPr>
                <w:sz w:val="18"/>
                <w:szCs w:val="18"/>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settlement of RSUs for which the service-based vesting condition was satisfied on or before</w:t>
            </w: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 and for which the performance-based</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vesting condition will be satisfied in connection with this offering, which settlement will occur upon the expiration of the lock-up period in</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 (6), the issuance of</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shares of Class A common stock upon settlement of PSUs for which the service-based</w:t>
            </w:r>
          </w:p>
        </w:tc>
      </w:tr>
      <w:tr>
        <w:trPr>
          <w:trHeight w:val="210"/>
        </w:trPr>
        <w:tc>
          <w:tcPr>
            <w:tcW w:w="30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condition will be satisfied on or before</w:t>
            </w:r>
          </w:p>
        </w:tc>
        <w:tc>
          <w:tcPr>
            <w:tcW w:w="520" w:type="dxa"/>
            <w:vAlign w:val="bottom"/>
          </w:tcPr>
          <w:p>
            <w:pPr>
              <w:spacing w:after="0"/>
              <w:rPr>
                <w:sz w:val="18"/>
                <w:szCs w:val="18"/>
                <w:color w:val="auto"/>
              </w:rPr>
            </w:pP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2023 and for which the performance-based vesting condition will be satisfied in</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connection with this offering, which settlement will occur upon the expiration of the lock-up period in connection with this offering; (7) stock-</w:t>
            </w:r>
          </w:p>
        </w:tc>
      </w:tr>
      <w:tr>
        <w:trPr>
          <w:trHeight w:val="210"/>
        </w:trPr>
        <w:tc>
          <w:tcPr>
            <w:tcW w:w="300" w:type="dxa"/>
            <w:vAlign w:val="bottom"/>
          </w:tcPr>
          <w:p>
            <w:pPr>
              <w:spacing w:after="0"/>
              <w:rPr>
                <w:sz w:val="18"/>
                <w:szCs w:val="18"/>
                <w:color w:val="auto"/>
              </w:rPr>
            </w:pPr>
          </w:p>
        </w:tc>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based compensation expense of approximately $</w:t>
            </w:r>
          </w:p>
        </w:tc>
        <w:tc>
          <w:tcPr>
            <w:tcW w:w="6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million related to the vesting of RSUs and PSUs for which the service-based vesting</w:t>
            </w:r>
          </w:p>
        </w:tc>
      </w:tr>
      <w:tr>
        <w:trPr>
          <w:trHeight w:val="210"/>
        </w:trPr>
        <w:tc>
          <w:tcPr>
            <w:tcW w:w="300" w:type="dxa"/>
            <w:vAlign w:val="bottom"/>
          </w:tcPr>
          <w:p>
            <w:pPr>
              <w:spacing w:after="0"/>
              <w:rPr>
                <w:sz w:val="18"/>
                <w:szCs w:val="18"/>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 was satisfied on or before</w:t>
            </w:r>
          </w:p>
        </w:tc>
        <w:tc>
          <w:tcPr>
            <w:tcW w:w="6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8"/>
              </w:rPr>
              <w:t>, 2023 and for which the performance-based vesting condition will be satisfied in connection with</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8"/>
              </w:rPr>
              <w:t>this offering, as further described in Note 10 to our consolidated financial statements included elsewhere in this prospectus; and (8) the filing and</w:t>
            </w:r>
          </w:p>
        </w:tc>
      </w:tr>
      <w:tr>
        <w:trPr>
          <w:trHeight w:val="228"/>
        </w:trPr>
        <w:tc>
          <w:tcPr>
            <w:tcW w:w="300" w:type="dxa"/>
            <w:vAlign w:val="bottom"/>
          </w:tcPr>
          <w:p>
            <w:pPr>
              <w:spacing w:after="0"/>
              <w:rPr>
                <w:sz w:val="19"/>
                <w:szCs w:val="19"/>
                <w:color w:val="auto"/>
              </w:rPr>
            </w:pP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effectiveness of our amended and restated certificate of incorporation, which will occur upon the closing of this offering; and</w:t>
            </w:r>
          </w:p>
        </w:tc>
        <w:tc>
          <w:tcPr>
            <w:tcW w:w="12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6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As of December 31, 2022</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9"/>
                <w:szCs w:val="9"/>
                <w:color w:val="auto"/>
              </w:rPr>
            </w:pPr>
          </w:p>
        </w:tc>
        <w:tc>
          <w:tcPr>
            <w:tcW w:w="14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40" w:type="dxa"/>
            <w:vAlign w:val="bottom"/>
          </w:tcPr>
          <w:p>
            <w:pPr>
              <w:jc w:val="center"/>
              <w:ind w:right="53"/>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gridSpan w:val="8"/>
          </w:tcPr>
          <w:p>
            <w:pPr>
              <w:jc w:val="center"/>
              <w:ind w:right="1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221,094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168,452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8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65,441,289 shares authorized, 62,692,927</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shares issued and outstanding, actual; no shares authorized, issued and outstanding, pro forma and pro</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as adjusted</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1,026,143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48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and outstanding, actual; shares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authorized, no shares issued and outstanding, pro forma and pro forma as adjusted</w:t>
            </w:r>
          </w:p>
        </w:tc>
        <w:tc>
          <w:tcPr>
            <w:tcW w:w="18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8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4,932,415 shares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gridSpan w:val="5"/>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actual; no shares authorized, issued and outstanding, pro forma and pro</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as adjusted</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8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187,075,184 shares authorized; 58,367,961 shares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issued and outstanding, actual;</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authorized,</w:t>
            </w:r>
          </w:p>
        </w:tc>
        <w:tc>
          <w:tcPr>
            <w:tcW w:w="2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pro forma and shares issued and outstanding, pro forma as adjusted</w:t>
            </w:r>
          </w:p>
        </w:tc>
        <w:tc>
          <w:tcPr>
            <w:tcW w:w="1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48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4,932,415 shares authorized, no shares issued and</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shares authorized,</w:t>
            </w:r>
          </w:p>
        </w:tc>
        <w:tc>
          <w:tcPr>
            <w:tcW w:w="3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issued and outstanding, pro forma</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and pro forma as adjusted</w:t>
            </w: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(1,138,302)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Total Stockholders’ (deficit) equity:</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(1,129,027)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286,662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of Class A common stock, the midpoint of the estimated price range set forth on the cover page of this prospectus, would increase (decrease) each of our pro forma as adjusted cash, cash equivalents and restricted cash,</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4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w:t>
      </w:r>
    </w:p>
    <w:p>
      <w:pPr>
        <w:spacing w:after="0" w:line="4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 shares of Class A common stock and 5,374,899 shares of Class B common stock outstanding as of and assuming the conversion of all outstanding shares of redeemable convertible preferred stock, other than our Series B redeemable convertible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18"/>
          <w:szCs w:val="18"/>
          <w:color w:val="auto"/>
        </w:rPr>
        <w:t>preferred stock and non-voting common stock into Class A common stock, assuming an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estimated price range set forth on the cover page of this prospectus, which will occur upon the closing of this offering,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71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2022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2022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$221.1 million as of December 31,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1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 and</w:t>
            </w:r>
          </w:p>
        </w:tc>
        <w:tc>
          <w:tcPr>
            <w:tcW w:w="11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r>
        <w:trPr>
          <w:trHeight w:val="354"/>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0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historical net tangible book value (deficit) as of December 31, 2022 was $(1,224.7) million, or $(19.35)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63,300,376 shares of common stock outstanding as of December 31, 2022. Our pro forma</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tangible book value as of December 31, 2022 was $ million, or $ per share. Our pro forma net tangible book value per share represents the amount of our total tangible assets less our total liabilities, divided by the number of our shares of common stock outstanding as of December 31, 2022, after giving effect to (1) the automatic conversion of all outstanding shares of our Series B redeemable preferred stock into 5,374,899 shares of Class B common stock, which will occur upon the closing of this offering; (2) the automatic conversion of all outstanding shares of our redeemable convertible preferred stock, other</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than our Series B preferred stock, into an aggregate of shares of Class A common stock, assuming an initial public offering price of $ per share, the midpoint of the estimated price range set forth on the cover page of this prospectus, which will occur upon the closing of this offering; (3) the issuance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 Additional Class A Conversion Shares, assuming an initial public offering price of $ per share, the midpoint of the estimated price range set forth on the cover page of this prospectus, which will occur upon the conversion of all outstanding shares of our redeemable convertible preferred stock and upon the closing of this offering; (4) the automatic conversion of all of our nonvoting common stock into 4,932,415 shares of Class A common stock, which</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will occur upon the closing of this offering; (5) the issuance of shares of Class A common stock upon settlement of RSUs for which the service-based vesting condition was satisfied on or before , 2023 and for which the performance-based vesting condition will be satisfied in connection with this offering, which settlement will occur upon the expiration of the lock-up period in connection with this offering; (6), the issuance of shares of Class A common stock upon settlement of PSUs for which the service-based vesting condition will be satisfied on or before , 2023 and for which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performance-based vesting condition will be satisfied in connection with this offering, which settlement will occur upon the expiration of the lock-up period in</w:t>
      </w:r>
    </w:p>
    <w:p>
      <w:pPr>
        <w:spacing w:after="0" w:line="3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connection with this offering; (7) stock-based compensation expense of approximately $ million related to the vesting of RSUs and PSUs for which the service-based vesting condition was satisfied on or before , 2023 and for which the performance-based vesting condition will be satisfied in</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connection with this offering, as further described in Note 10 to our consolidated financial statements included elsewhere in this prospectus; and (8)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1"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December 31, 2022 would have been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December 31, 2022</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$(19.35)</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2022</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December 31, 2022,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140" w:type="dxa"/>
            <w:vAlign w:val="bottom"/>
            <w:gridSpan w:val="4"/>
            <w:vMerge w:val="restart"/>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80" w:type="dxa"/>
            <w:vAlign w:val="bottom"/>
            <w:gridSpan w:val="4"/>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2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60" w:type="dxa"/>
            <w:vAlign w:val="bottom"/>
          </w:tcPr>
          <w:p>
            <w:pPr>
              <w:spacing w:after="0"/>
              <w:rPr>
                <w:sz w:val="11"/>
                <w:szCs w:val="11"/>
                <w:color w:val="auto"/>
              </w:rPr>
            </w:pPr>
          </w:p>
        </w:tc>
        <w:tc>
          <w:tcPr>
            <w:tcW w:w="680" w:type="dxa"/>
            <w:vAlign w:val="bottom"/>
            <w:tcBorders>
              <w:top w:val="single" w:sz="8" w:color="auto"/>
            </w:tcBorders>
          </w:tcPr>
          <w:p>
            <w:pPr>
              <w:jc w:val="right"/>
              <w:ind w:right="2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jc w:val="right"/>
              <w:ind w:right="4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jc w:val="right"/>
              <w:ind w:right="1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120" w:type="dxa"/>
            <w:vAlign w:val="bottom"/>
            <w:tcBorders>
              <w:top w:val="single" w:sz="8" w:color="CCEEFF"/>
            </w:tcBorders>
            <w:gridSpan w:val="2"/>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4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12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jc w:val="center"/>
        <w:ind w:right="400"/>
        <w:spacing w:after="0" w:line="414" w:lineRule="auto"/>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 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5"/>
        <w:spacing w:after="0" w:line="285" w:lineRule="auto"/>
        <w:tabs>
          <w:tab w:leader="none" w:pos="92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5,374,899 shares of Class B common stock outstanding as of (assuming the conversion of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shares of redeemable convertible preferred stock, other than our Series B redeemable convertible preferred stock and non-voting common stock into</w:t>
      </w:r>
    </w:p>
    <w:p>
      <w:pPr>
        <w:spacing w:after="0" w:line="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Class A common stock, assuming an initial public offering price of $ per share, the midpoint of the estimated price range set forth on the cover page of this prospectus,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85" w:lineRule="auto"/>
        <w:tabs>
          <w:tab w:leader="none" w:pos="171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the vesting and settlement of RSUs outstanding as of December 31, 2022 under our 2015 Plan, for which the performance-based vesting condition will be satisfied in connection with this offering, but for which the service-based vesting</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condition will not be satisfied on or before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jc w:val="both"/>
        <w:ind w:left="1000" w:hanging="549"/>
        <w:spacing w:after="0" w:line="285" w:lineRule="auto"/>
        <w:tabs>
          <w:tab w:leader="none" w:pos="160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that may become issuable upon the vesting and settlement of PSUs outstanding as of December 31, 2022 under our 2015 Plan, for which the performance-based vesting condition may be satisfied in connection with this offering, but for which the</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service-based vesting condition will not be satisfied on or before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82" w:lineRule="exact"/>
        <w:rPr>
          <w:sz w:val="20"/>
          <w:szCs w:val="20"/>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2022 Plan, as well as any future increases, including annual automatic evergreen increases, in the number of shares of Class A common stock reserved for issuance under the 2022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2022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$221.1 million as of December 31, 2022)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 and</w:t>
            </w:r>
          </w:p>
        </w:tc>
        <w:tc>
          <w:tcPr>
            <w:tcW w:w="11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w:t>
            </w:r>
          </w:p>
        </w:tc>
      </w:tr>
      <w:tr>
        <w:trPr>
          <w:trHeight w:val="354"/>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8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December 31, 2022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$257.9 million and $320.7 million in the years ended December 31, 2021 and 2022, respectively. In the years ended December 31, 2021 and 2022, revenue from one customer accounted for 7.2% and 8.3% of our total revenues, respectively. We also incurred net losses of $259.2 million and $289.8 million in the years ended December 31, 2021 and 2022, respectively.</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data through our Genomics product line and commercializing de-identified copies of such data through partnerships with our pharmaceutical customers to aid their drug discovery and development efforts.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Although we are only seven years old, the network effects described above have already been demonstrated with the cohort of records that were added to our database from 2018 to 2022. 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In 2018, the first full year that we operated a laboratory, we sequenced samples from approximately 7,500 patients. From that 2018 cohort of sequenced patients, through December 31, 2022, we generated $59.3 million of combined revenue from sequencing, data licensing of de-identified data derived from those records, and clinical trials matching, which is approximately 6.6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December 31, 2022, the 2018 “Cohort Lifetime Value” for this cohort was $41.9 million. We maintained similar trends for the 2019, 2020, 2021 and 2022 cohorts. As of December 31, 2022, the 2019 “Cohort Lifetime Value” was $48.2 million, the 2020 “Cohort Lifetime Value” was $44.4 million, the 2021 “Cohort Lifetime Value” was $48.8 million, and the 2022 “Cohort Lifetime Value” was $58.0 million.</w:t>
      </w:r>
    </w:p>
    <w:p>
      <w:pPr>
        <w:spacing w:after="0" w:line="3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the “Cohort Lifetime Values” from 2018 to 2022,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6019165" cy="636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19165" cy="6369050"/>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139"/>
          </w:cols>
          <w:pgMar w:left="320" w:top="448" w:right="1440"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5043805" cy="43853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43805" cy="438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revenue was $195.0 million and $198.0 million for the years ended December 31, 2021 and 2022, respectively. COVID-19 PCR testing accounted for $94.7 million and $22.2 million of revenue for the years ended December 31, 2021 and 2022, respectively.</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Oncology NGS tests delivered for the years ended December 31, 2019, 2020, 2021 and 2022 were approximately 24,300, 44,700, 69,200 and 100,100,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products, Insights and Trials.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or upon the completion of performance obligations for related services.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revenue was $62.8 million and $122.7 million for the years ended December 31, 2021 and 2022, respectively. Our Data revenue is typically back-weighted towards the second half of the year based on the budgeting cycles of our customers.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Applications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newest product line, AI Applications, is focused on developing and providing diagnostics that are algorithmic in nature, implementing new software as a medical device, and building and deploying clinical decision support tools. The primary application of AI Applications currently is Algos, which are clinical tests that can be run without chemistry or biology; they are simply 0’s and 1’s running on digitized data derived from a laboratory test. Algos leverage AI-driven insights to produce clinically validated and actionable information for physicians.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three algorithmic tests in oncology: our Tumor Origin, TO, test, our Homologous Recombination Deficiency, HRD, test, and our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Other product line. Beginning January 1, 2023, these three Algos are no longer being billed as individual tests as there is now a dedicated CPT code associated with the underlying laboratory diagnostic. Instead, we submit claims for the diagnostic, and revenues associated with those claims will be reported in our Genomics product line.</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term of the MSA will continue through December 31, 2026, unless terminated sooner.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 See “Business—Operations—Our Strategic Collaboration with AstraZeneca.”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21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August 2022, we entered into an MSA with GlaxoSmithKline, or GSK. Under the MSA,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MSA, of which $70 million was paid upon execution. The term of the MSA will continue through December 31, 2025, unless terminated sooner. An additional commitment of up to $120 million may be triggered at GSK’s election for the years 2026 and 2027.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restricted stock units with an aggregate value of $4.0 million to be allocated among Highline employees retained by us. The retention bonus pool will be recorded as compensation expense over the requisite service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$61.2 million and $83.2 million during the years ended December 31, 2021 and 2022, respectively. Our ability to develop new products, obtain regulatory approvals when required, launch them into the market, and drive adoption of these products by our customers will continue to play a key role in our results.</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5,000 physicians and 40 pharmaceutical and biotechnology customers licensing data through our Insights product, including 18 of the 20 largest public pharmaceutical companies based on 2022 revenue. Our financial performance relies heavily on our ability to add customers to our Platform and expand the relationships with our current customers through adoption of our new products.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$67.2 million and $79.1 million during the years ended December 31, 2021 and 2022,</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We received payment on approximately 45% of our clinical oncology NGS tests across all payors performed from January 1, 2020 through June 30, 2022. We calculated this metric on a trailing two-quarter basis based on payor adjudication timing. However, we continued to perform our NGS tests through December 31, 2022. For the years ended December 31, 2021 and 2022, our average reimbursement for NGS tests billed to insurance in oncology was approximately $1,100 and $1,500,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$94.7 million and $22.2 million of revenue for the years ended December 31, 2021 and 2022, respectively.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We stopped offering PCR diagnostic tests and generating COVID-19 testing revenue in the first quarter of 2023, at which time we shifted resources from COVID-19 testing to other aspects of the business.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Other.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Other primarily includes revenue from de-identified data generated through our Genomics product line to our pharmaceutical and biotechnology partners for use in their drug development efforts. These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transactions consist of data licensing agreements, AI-enabled clinical trial matching, and analytical services. Our Data revenue is typically back-weighted towards the second half of the year based on the budgeting cycles of our customers. We currently report our Algos revenue within this line item as it is immaterial.</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incur costs to generate revenue for each of our two primary product lines. Cost of revenues for our Genomics product line is a higher percentage of the Genomics revenue than cost of revenues for Data and Other is as a percentage of Data and Other revenue. As revenue shifts between these product lines, total cost of revenue as a percentage of revenue will be impacted. Our total cost of revenues will also increase in the quarter in which this offering occurs due to stock-</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Other primarily includes data acquisition and royalty fees, and personnel costs related to delivery of our data services and platform, and certain allocated overhead expenses. Costs associated with performing data product services are recorded as incurred. We expect these costs will increase in absolute dollars as our Data and Other revenues continue to grow. We currently report our Algos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platform and applications and the research and development of new products that we hope to bring to the market. Technology research and development costs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expensed as incurred. We plan to continue to invest in technology personnel to support our Platform and new algorithm development. We expect that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will increase in absolute dollars for the foreseeable future as we continue to invest to support these activities. Our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will increase in the quarter in which this offering occurs due to stock-based compensation expenses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RSUs and PSUs for which the service-based vesting condition was satisfied and for which the performance-based vesting condition will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in connection with this offering.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capital leases. In 2020, we recorded a loss on extinguishment of debt relating to the conversion of convertible debt into Series G-2 preferred shares. Interest expense related to our convertible debt will continue, but should decrease over time as the principal amount decreases.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and any changes in fair value related to our warrant liability. The Company issued a warrant to its customer AstraZeneca in conjunction with the signing of the November 2021 MSA. The fair value of the warrant liability is measured each reporting period.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jc w:val="right"/>
              <w:ind w:right="45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197,984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122,684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150,255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233,377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2022</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$257.9 million for the year ended December 31, 2021 compared to $320.7 million for the year ended December 31, 2022, an increase of $62.8 million, or 24.4%. Adjusted for the impact of COVID-19 PCR testing, revenue increased $135.4 million, or 83.0%, from $163.1 million for the year ended December 31, 2021, compared to $298.5 million for the year ended December 31, 2022. The increase in revenue is due to increased volume and reimbursement of clinical oncology tests performed in Genomics and increased data deliveries in our Data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Genomics revenue increased $3.0 million, or 1.5%, from $195.0 million for the year ended December 31, 2021, compared to $198.0 million for the year ended December 31, 2022. Revenue from COVID-19 PCR testing decreased $72.6 million. This decrease was offset by a $75.5 million increase in Genomics revenue primarily due to an increase in the number of next generation sequencing tests delivered in oncology, which increased from approximiately 69,200 tests for the year ended December 31, 2021 to approximately 100,100 tests in the year ended December 31, 2022. Additionally, there was an increase in average revenue per next generation sequencing oncology test, which increased from approximately $1,100 per test for the year ended December 31, 2021 to approximately $1,500 per test for the year ended December 31, 2022. The increase in average revenue per test was driven by increased Medicare reimbursement rates. The increase in Genomics revenue was offset by a $5.2 million revenue reserve recorded for risks of future reversal of consideration associated with certain government payors.</w:t>
      </w:r>
    </w:p>
    <w:p>
      <w:pPr>
        <w:spacing w:after="0" w:line="2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Other increased $59.8 million, or 95.2%, from $62.8 million for the year ended December 31, 2021, compared to $122.7 million for the year ended December 31, 2022. This increase is driven primarily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$19.8 million in clinical trial services revenue from the acquisition of Highline, and approximately $34.1 million from increased demand for our Insights products. Across all Data and Other products, the increase in revenue in 2022 is primarily attributable to continued growth from within our existing customer base, as well continued adoption of our services by new customers that did not purchase services in 2021.</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$174.2 million for the year ended December 31, 2021 compared to $190.5 million for the year ended December 31, 2022, an increase of $16.3 million, or 9.3%. Adjusted for the impact of COVID-19 PCR testing, cost of revenue increased $62.9 million, or 58.0%, from $108.5 million for the year ended December 31, 2021, compared to $171.5 million for the year ended December 31, 2022. This increase was primarily due to an increase of $25.0 million in personnel costs, $22.4 million of material and service costs, and $3.4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Genomics was $162.3 million for the year ended December 31, 2021, compared to $150.3 million for the year ended December 31, 2022, a decrease of $12.0 million, or 7.4%. The decrease was primarily due to a $46.7 million decrease in Cost of revenues, Genomics associated with COVID-19 PCR testing, as a result of efficiencies gained from streamlining our testing process since its inception in the third quarter of 2020. This decrease was partially offset by a $19.7 million increase in material and service costs and a $6.2 million increase in personnel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Other</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Other was $11.9 million for the year ended December 31, 2021 compared to $40.2 million for the year ended December 31, 2022, an increase of $28.3 million, or 237.1%. This increase was primarily due to an increase of $18.8 million in personnel costs and an increase of $3.4 million in cloud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were $61.2 million for the year ended December 31, 2021 compared to $83.2 million for the year ended December 31, 2022, an increase of $22.0 million, or 36.0%. This increase was primarily due to a $12.6 million increase in personnel-related costs for employees in our research and development group and a $4.6 million increase in cloud expenses related to research and development, as we increased our spend and headcount to support continued investment in our technology.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$67.2 million for the year ended December 31, 2021 compared to $79.1 million for the year ended December 31, 2022, an increase of $11.9 million, or 17.7%.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Selling, general and administrative expenses were $199.0 million for the year ended December 31, 2021 compared to $233.4 million for the year ended December 31, 2022, an increase of $34.4 million, or 17.3%. This increase was primarily due to an increase of $30.3 million in personnel-related costs.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$0.6 million for the year ended December 31, 2021 compared to $3.0 million for the year ended December 31, 2022, an increase of $2.4 million, or 386.7%.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$15.2 million for the year ended December 31, 2021 compared to $21.9 million for the year ended December 31, 2022, an increase of $6.7 million, or 44.2%.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other expense was $0.3 million compared to other expense of $4.8 million for the year ended December 31, 2022, an increase of $4.5 million, or 1433.5%. This increase was primarily driven by fair value adjustments related to our warrant liability.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a loss of $0.6 million for the years ended December 31, 2021 and 2022. Losses from equity method investments consist of earnings from our joint venture into which we entered during the third quarter of 2020.</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December 31, 2022.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200" w:type="dxa"/>
            <w:vAlign w:val="bottom"/>
          </w:tcPr>
          <w:p>
            <w:pPr>
              <w:spacing w:after="0"/>
              <w:rPr>
                <w:sz w:val="9"/>
                <w:szCs w:val="9"/>
                <w:color w:val="auto"/>
              </w:rPr>
            </w:pPr>
          </w:p>
        </w:tc>
        <w:tc>
          <w:tcPr>
            <w:tcW w:w="840" w:type="dxa"/>
            <w:vAlign w:val="bottom"/>
            <w:gridSpan w:val="3"/>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780" w:type="dxa"/>
            <w:vAlign w:val="bottom"/>
            <w:gridSpan w:val="2"/>
          </w:tcPr>
          <w:p>
            <w:pPr>
              <w:jc w:val="center"/>
              <w:ind w:right="120"/>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94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40" w:type="dxa"/>
            <w:vAlign w:val="bottom"/>
            <w:gridSpan w:val="2"/>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00" w:type="dxa"/>
            <w:vAlign w:val="bottom"/>
          </w:tcPr>
          <w:p>
            <w:pPr>
              <w:spacing w:after="0"/>
              <w:rPr>
                <w:sz w:val="9"/>
                <w:szCs w:val="9"/>
                <w:color w:val="auto"/>
              </w:rPr>
            </w:pPr>
          </w:p>
        </w:tc>
        <w:tc>
          <w:tcPr>
            <w:tcW w:w="700" w:type="dxa"/>
            <w:vAlign w:val="bottom"/>
            <w:gridSpan w:val="2"/>
          </w:tcPr>
          <w:p>
            <w:pPr>
              <w:jc w:val="right"/>
              <w:ind w:right="260"/>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76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w w:val="98"/>
              </w:rPr>
              <w:t>September 30,</w:t>
            </w:r>
          </w:p>
        </w:tc>
        <w:tc>
          <w:tcPr>
            <w:tcW w:w="200" w:type="dxa"/>
            <w:vAlign w:val="bottom"/>
          </w:tcPr>
          <w:p>
            <w:pPr>
              <w:spacing w:after="0"/>
              <w:rPr>
                <w:sz w:val="9"/>
                <w:szCs w:val="9"/>
                <w:color w:val="auto"/>
              </w:rPr>
            </w:pPr>
          </w:p>
        </w:tc>
        <w:tc>
          <w:tcPr>
            <w:tcW w:w="7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gridSpan w:val="4"/>
          </w:tcPr>
          <w:p>
            <w:pPr>
              <w:jc w:val="right"/>
              <w:ind w:right="560"/>
              <w:spacing w:after="0" w:line="125"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Genomics</w:t>
            </w:r>
            <w:r>
              <w:rPr>
                <w:rFonts w:ascii="Times New Roman" w:cs="Times New Roman" w:eastAsia="Times New Roman" w:hAnsi="Times New Roman"/>
                <w:sz w:val="24"/>
                <w:szCs w:val="24"/>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59,830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$ 53,070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41,614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40,498</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$ 37,902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54,732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57,929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10,280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32,812</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30,840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42,697</w:t>
            </w:r>
          </w:p>
        </w:tc>
        <w:tc>
          <w:tcPr>
            <w:tcW w:w="0" w:type="dxa"/>
            <w:vAlign w:val="bottom"/>
          </w:tcPr>
          <w:p>
            <w:pPr>
              <w:spacing w:after="0"/>
              <w:rPr>
                <w:sz w:val="1"/>
                <w:szCs w:val="1"/>
                <w:color w:val="auto"/>
              </w:rPr>
            </w:pPr>
          </w:p>
        </w:tc>
      </w:tr>
      <w:tr>
        <w:trPr>
          <w:trHeight w:val="216"/>
        </w:trPr>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70,110</w:t>
            </w:r>
          </w:p>
        </w:tc>
        <w:tc>
          <w:tcPr>
            <w:tcW w:w="20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$ 61,985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73,310</w:t>
            </w:r>
          </w:p>
        </w:tc>
        <w:tc>
          <w:tcPr>
            <w:tcW w:w="2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$ 60,752</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100,626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Cost of revenues, genomics</w:t>
            </w:r>
            <w:r>
              <w:rPr>
                <w:rFonts w:ascii="Times New Roman" w:cs="Times New Roman" w:eastAsia="Times New Roman" w:hAnsi="Times New Roman"/>
                <w:sz w:val="24"/>
                <w:szCs w:val="24"/>
                <w:color w:val="auto"/>
                <w:vertAlign w:val="superscript"/>
              </w:rPr>
              <w:t>1</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58,152</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31,780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32,993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39,084</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35,402</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41,503</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2,249</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3,985</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10,724</w:t>
            </w:r>
          </w:p>
        </w:tc>
        <w:tc>
          <w:tcPr>
            <w:tcW w:w="0" w:type="dxa"/>
            <w:vAlign w:val="bottom"/>
          </w:tcPr>
          <w:p>
            <w:pPr>
              <w:spacing w:after="0"/>
              <w:rPr>
                <w:sz w:val="1"/>
                <w:szCs w:val="1"/>
                <w:color w:val="auto"/>
              </w:rPr>
            </w:pPr>
          </w:p>
        </w:tc>
      </w:tr>
      <w:tr>
        <w:trPr>
          <w:trHeight w:val="21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(61,434)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(62,874)</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(64,607)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(54,796)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(77,092)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(66,557)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(58,615)</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(65,020)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(66,849)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(68,342)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(58,981)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(81,290)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(73,691)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(68,545)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(66,285)</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line="242" w:lineRule="exact"/>
              <w:rPr>
                <w:sz w:val="20"/>
                <w:szCs w:val="20"/>
                <w:color w:val="auto"/>
              </w:rPr>
            </w:pP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Revenue and cost of revenue from COVID-19 testing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38,887</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13,373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9,783</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28"/>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genomics</w:t>
            </w: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36,095</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5,329</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20" w:hanging="215"/>
        <w:spacing w:after="0" w:line="267" w:lineRule="auto"/>
        <w:tabs>
          <w:tab w:leader="none" w:pos="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change in estimate, $3.1 million of Genomics revenue reflected in the three months ended September 30, 2022 was reclassified to the three months ended June 30, 2022.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COVID-19 testing has impacted the Genomics revenue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2022, the Company experienced a significant uptick in reimbursement rates from Medicare, which contributed to increased Genomics revenue relative to Cost of revenue, Genomics during the second half of the year.</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other revenue has historically experienced fluctuations due to seasonality driven by the procurement and budgeting cycles of many of our customers. As a result, the majority of data deliveries in 2021 occurred in the fourth quarter. Beginning in 2022, our Data and other revenue has been recognized more evenly throughout the year, largely as the result of signing strategic collaborations which contain more over time revenue recognition.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associated with COVID-19 testing has impacted the Cost of revenues, genomics line as illustrated in the table above.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2022, we had an accumulated deficit of $1.1 billion.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in clinical trials and develop new offerings, expand our sales organization, and increase our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funded our operations to date principally from the sale of stock, convertible debt, term debt, and sales of our products. As of December 31, 2022, we had cash, cash equivalents and restricted cash of $303.7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a multi-year strategic collaboration with GlaxoSmithKline, or GSK, under which GSK has committed to spend a minimum of $180 million, of which $70 million was paid upon execution.</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and anticipated cash flows from operations will be sufficient to meet our anticipated cash requirements for more than twelve months from the date of this prospectus. We plan to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completed after June 30, 2023, 85% of the public offering price in this offering). Based on an assumed initial public offering price of $ per share, which is the midpoint of the estimated price range set forth on the cover page of this prospectus, all of the shares of Series G-3 preferred stock will convert into an</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aggregate of shares of our Class A common stock in connection with this offering. Each $1.00 increase or decrease in the assumed initial public offering price of $ per share, which is the midpoint of the estimated price range set forth on the cover page of this prospectus, would increase or decrease,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the number of shares of Class A common stock into which all shares of Series G-3 preferred stock would convert in connection with this offering by</w:t>
      </w:r>
    </w:p>
    <w:p>
      <w:pPr>
        <w:spacing w:after="0" w:line="37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approximately</w:t>
      </w:r>
      <w:r>
        <w:rPr>
          <w:sz w:val="20"/>
          <w:szCs w:val="20"/>
          <w:color w:val="auto"/>
        </w:rPr>
        <w:tab/>
      </w:r>
      <w:r>
        <w:rPr>
          <w:rFonts w:ascii="Times New Roman" w:cs="Times New Roman" w:eastAsia="Times New Roman" w:hAnsi="Times New Roman"/>
          <w:sz w:val="18"/>
          <w:szCs w:val="18"/>
          <w:color w:val="auto"/>
        </w:rPr>
        <w:t>shares. In addition, in connection with the Series G-3</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5"/>
        </w:trPr>
        <w:tc>
          <w:tcPr>
            <w:tcW w:w="1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468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50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we agreed to issue to a stockholder a contingent payment of up to $</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w:t>
            </w:r>
          </w:p>
        </w:tc>
      </w:tr>
      <w:tr>
        <w:trPr>
          <w:trHeight w:val="22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8"/>
              </w:rPr>
              <w:t>offering price of $</w:t>
            </w:r>
          </w:p>
        </w:tc>
        <w:tc>
          <w:tcPr>
            <w:tcW w:w="10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which is the midpoint of the estimated price range set forth on the cover page of this prospectus, which payment may be made</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cash or shares of Class A common stock, upon mutual agreement of us and the stockholder.</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or Ares, for a senior secured loan, or Term Loan Facility, in the amount of $175 million, less original issue discount of $4.4 million and deferred financing fees of $2.6 million. On April 25, 2023, the Company entered into an amendment to the Credit Agreement, which increased the aggregate principal amount of the Term Loan Facility by an additional $50 million, less debt issuance costs of $1.3 million.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the Company and secured by substantially all of the assets of the Company. We have the right at any time and from time to time to prepay any Term Loan Facility in whole or in part.</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the Company is required to generate consolidated revenues of $342.7 million and $459.1 million, respectively. The Company was in compliance with the covenants of the Credit Agreement as of December 31, 2022.</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3"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3" w:lineRule="exact"/>
        <w:rPr>
          <w:sz w:val="20"/>
          <w:szCs w:val="20"/>
          <w:color w:val="auto"/>
        </w:rPr>
      </w:pPr>
    </w:p>
    <w:p>
      <w:pPr>
        <w:jc w:val="center"/>
        <w:ind w:left="9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5080</wp:posOffset>
            </wp:positionV>
            <wp:extent cx="12172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56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-3810</wp:posOffset>
            </wp:positionV>
            <wp:extent cx="12172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9840"/>
        <w:spacing w:after="0" w:line="225"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9"/>
              </w:rPr>
              <w:t>(211,984)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(168,204)</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(21,724)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(57,939)</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251,391</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2021 was $212.0 million, which resulted from a net loss of $259.2 million and net change in our operating assets and liabilities of $14.6 million, offset by non-cash charges of $32.7 million. Non-cash charges primarily consisted of $23.9 million of depreciation and amortization and a $5.2 million change in fair value of contingent consideration. The net change in our operating assets and liabilities was primarily the result of a $14.6 million decrease in inventory as a result of reducing supplies for COVID-19 kit tests and the expiration of COVID-19 testing kits and oncology lab supplies. The remaining net change in our operating assets and liabilities is a result of a $9.5 million increase in deferred revenue primarily related to the volume and timing of our data contracts.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2021 was $21.7 million, which resulted from investments in non-marketable security of $6.0 million, the release of escrow related to the AKESOgen purchase of $4.0 million, and purchases of property and equipment of $11.8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$57.9 million, which resulted from $35.0 million related to the Highline Acquisition, and purchases of property and equipment of $18.4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2021 was $2.0 million, which was primarily due to net proceeds of $8.9 million from the issuance of convertible preferred stock, offset by dividends of $5.6 million, payment of contingent consideration of $3.4 million, and payment of deferred offering costs of $1.1 million.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Less than 1</w:t>
            </w: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6"/>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54,277</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16,785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13,408</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 obligations</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294</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294</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105,749</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30,480</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58,960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16,309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Loan Facility</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175,000</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175,000</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260,579</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260,579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595,899</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39,534</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75,745</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465,296</w:t>
            </w:r>
          </w:p>
        </w:tc>
        <w:tc>
          <w:tcPr>
            <w:tcW w:w="3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$39,485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Other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jc w:val="center"/>
        <w:ind w:left="5540" w:right="1260" w:hanging="5089"/>
        <w:spacing w:after="0" w:line="435" w:lineRule="auto"/>
        <w:tabs>
          <w:tab w:leader="none" w:pos="99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 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4"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Beginning in the second quarter of 2022, in response to volatile market conditions and the resulting uncertainty around the timing of a liquidity event, we changed our valuation methodology back to an OPM.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6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 million of stock-based compensation expense related to RSUs and PSUs granted through December 31, 2022, for which the service-based vesting condition was satisfied and for which the performance-based vesting condition will be</w:t>
      </w:r>
    </w:p>
    <w:p>
      <w:pPr>
        <w:spacing w:after="0" w:line="2"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color w:val="auto"/>
        </w:rPr>
        <w:t>satisfied in connection with this offering. In addition, based on RSUs and PSUs outstanding as of</w:t>
      </w:r>
      <w:r>
        <w:rPr>
          <w:sz w:val="20"/>
          <w:szCs w:val="20"/>
          <w:color w:val="auto"/>
        </w:rPr>
        <w:tab/>
      </w:r>
      <w:r>
        <w:rPr>
          <w:rFonts w:ascii="Times New Roman" w:cs="Times New Roman" w:eastAsia="Times New Roman" w:hAnsi="Times New Roman"/>
          <w:sz w:val="18"/>
          <w:szCs w:val="18"/>
          <w:color w:val="auto"/>
        </w:rPr>
        <w:t>, 2023, we expect to recognize approximately</w:t>
      </w:r>
    </w:p>
    <w:p>
      <w:pPr>
        <w:spacing w:after="0" w:line="3" w:lineRule="exact"/>
        <w:rPr>
          <w:sz w:val="20"/>
          <w:szCs w:val="20"/>
          <w:color w:val="auto"/>
        </w:rPr>
      </w:pPr>
    </w:p>
    <w:p>
      <w:pPr>
        <w:ind w:left="5540" w:right="2880" w:hanging="5535"/>
        <w:spacing w:after="0" w:line="414" w:lineRule="auto"/>
        <w:tabs>
          <w:tab w:leader="none" w:pos="6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additional stock-based compensation expense related to these awards during the next twelve months. 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2022, we had cash, cash equivalents and restricted cash of $303.7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2022,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2022,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artificial intelligence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diseases, including neuropsychology, infectious disease,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300 unique data connections, many of which supply us with complex multimodal data in near real time, across over 1,850 healthcare institutions that order our products and services. Healthcare institutions supply us with this data in our capacity as a covered entity (for example, when we provide Next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AI Applications</w:t>
      </w:r>
      <w:r>
        <w:rPr>
          <w:rFonts w:ascii="Times New Roman" w:cs="Times New Roman" w:eastAsia="Times New Roman" w:hAnsi="Times New Roman"/>
          <w:sz w:val="16"/>
          <w:szCs w:val="16"/>
          <w:color w:val="auto"/>
        </w:rPr>
        <w:t>.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130810</wp:posOffset>
            </wp:positionV>
            <wp:extent cx="7002780" cy="28676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product line, </w:t>
      </w:r>
      <w:r>
        <w:rPr>
          <w:rFonts w:ascii="Times New Roman" w:cs="Times New Roman" w:eastAsia="Times New Roman" w:hAnsi="Times New Roman"/>
          <w:sz w:val="16"/>
          <w:szCs w:val="16"/>
          <w:i w:val="1"/>
          <w:iCs w:val="1"/>
          <w:color w:val="auto"/>
        </w:rPr>
        <w:t>Trials</w:t>
      </w:r>
      <w:r>
        <w:rPr>
          <w:rFonts w:ascii="Times New Roman" w:cs="Times New Roman" w:eastAsia="Times New Roman" w:hAnsi="Times New Roman"/>
          <w:sz w:val="16"/>
          <w:szCs w:val="16"/>
          <w:color w:val="auto"/>
        </w:rPr>
        <w:t xml:space="preserve">, leverages our broad network of oncologists to provide clinical trial matching services for pharmaceutical companies that are looking to reach hard-to-find and underserved patient populations. Our newest product line, </w:t>
      </w:r>
      <w:r>
        <w:rPr>
          <w:rFonts w:ascii="Times New Roman" w:cs="Times New Roman" w:eastAsia="Times New Roman" w:hAnsi="Times New Roman"/>
          <w:sz w:val="16"/>
          <w:szCs w:val="16"/>
          <w:i w:val="1"/>
          <w:iCs w:val="1"/>
          <w:color w:val="auto"/>
        </w:rPr>
        <w:t xml:space="preserve">AI Applications, </w:t>
      </w:r>
      <w:r>
        <w:rPr>
          <w:rFonts w:ascii="Times New Roman" w:cs="Times New Roman" w:eastAsia="Times New Roman" w:hAnsi="Times New Roman"/>
          <w:sz w:val="16"/>
          <w:szCs w:val="16"/>
          <w:color w:val="auto"/>
        </w:rPr>
        <w:t>is currently focused on developing and providing diagnostics that are algorithmic in nature, which we refer to as “Algos,” and digital pathology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radiomic imaging analyses. We currently offer three Algos in oncology and are also developing Algos in other disease areas.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ability to leverage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5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5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and technology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4951730" cy="31261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1730" cy="312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infectious disease,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5001895" cy="3168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01895" cy="316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40%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advantage. The following diagram represents the different elements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280035</wp:posOffset>
            </wp:positionV>
            <wp:extent cx="4951730" cy="2834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51730" cy="283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Between our sequencing and data collection efforts, we are connected in some way to more than 40%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79" w:lineRule="auto"/>
        <w:rPr>
          <w:sz w:val="20"/>
          <w:szCs w:val="20"/>
          <w:color w:val="auto"/>
        </w:rPr>
      </w:pPr>
      <w:r>
        <w:rPr>
          <w:rFonts w:ascii="Times New Roman" w:cs="Times New Roman" w:eastAsia="Times New Roman" w:hAnsi="Times New Roman"/>
          <w:sz w:val="16"/>
          <w:szCs w:val="16"/>
          <w:i w:val="1"/>
          <w:iCs w:val="1"/>
          <w:color w:val="auto"/>
        </w:rPr>
        <w:t xml:space="preserve">Ingesting data through our relationships and partnerships with healthcare providers. </w:t>
      </w:r>
      <w:r>
        <w:rPr>
          <w:rFonts w:ascii="Times New Roman" w:cs="Times New Roman" w:eastAsia="Times New Roman" w:hAnsi="Times New Roman"/>
          <w:sz w:val="16"/>
          <w:szCs w:val="16"/>
          <w:color w:val="auto"/>
        </w:rPr>
        <w:t>We have developed proprietary tools to establish more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300 direct data connections,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374" w:lineRule="exact"/>
        <w:rPr>
          <w:sz w:val="20"/>
          <w:szCs w:val="20"/>
          <w:color w:val="auto"/>
        </w:rPr>
      </w:pPr>
    </w:p>
    <w:p>
      <w:pPr>
        <w:jc w:val="both"/>
        <w:ind w:left="460" w:firstLine="435"/>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47" w:lineRule="auto"/>
        <w:rPr>
          <w:sz w:val="20"/>
          <w:szCs w:val="20"/>
          <w:color w:val="auto"/>
        </w:rPr>
      </w:pPr>
      <w:r>
        <w:rPr>
          <w:rFonts w:ascii="Times New Roman" w:cs="Times New Roman" w:eastAsia="Times New Roman" w:hAnsi="Times New Roman"/>
          <w:sz w:val="18"/>
          <w:szCs w:val="18"/>
          <w:color w:val="auto"/>
        </w:rPr>
        <w:t>and distribute the oncology data ASCO collects as part of CancerLinq, which is their oncology data effort. 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are working with a large hospital network to train algorithmic models based on a de-identified subset of approximately 3.2 million ECGs, across approximately 600,000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87" w:lineRule="exact"/>
        <w:rPr>
          <w:sz w:val="20"/>
          <w:szCs w:val="20"/>
          <w:color w:val="auto"/>
        </w:rPr>
      </w:pPr>
    </w:p>
    <w:p>
      <w:pPr>
        <w:jc w:val="both"/>
        <w:ind w:left="460" w:firstLine="4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018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Once data is ingested, we apply AI and other technologies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an oncology database of multi-modal de-identified records that is approximately 28 times the size of The Cancer Genome Atlas, which we believe to be the largest public genomic dataset in oncology, based on the number of data points collected. This represents what we consider to be one of the largest matched molecular libraries of cancer patients in the world. Our Platform, across all diseases, has ingested over 700 million documents and contains more than 6.0 million de-identified patient records, including over 1,000,000 with imaging data, more than 660,000 with matched clinical records linked with genomic information, and over 125,000 with full transcriptomic profiles. The breadth of our database, the quality and diversity of its data, as well as its regularly updating nature, allow us to offer a variety of AI-enabled solutions to the market. We also retain the rights to broadly commercialize the de-identified data we collect. As our database continues to grow from its current size of approximately 70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152400</wp:posOffset>
            </wp:positionV>
            <wp:extent cx="7002780" cy="37598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0278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2022,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100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 We describe below some of the core software applications that form part of our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applications (like Hub) and certain features of other applications (like Lens). However, in some cases we may charge for access to Lens when a customer is interested in some form of customization or access to Lens’ full suite of capabilities.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178435</wp:posOffset>
            </wp:positionV>
            <wp:extent cx="7002780" cy="76193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139"/>
          </w:cols>
          <w:pgMar w:left="320" w:top="448" w:right="1440"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139"/>
          </w:cols>
          <w:pgMar w:left="320" w:top="448"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clinicians, Lens helps users filter our multimodal database to identify groups of patients that meet their research requirements. It allows browsing, segmenting, selecting, and analyzing cohorts of patients using a</w:t>
      </w:r>
    </w:p>
    <w:p>
      <w:pPr>
        <w:sectPr>
          <w:pgSz w:w="11900" w:h="16838" w:orient="portrait"/>
          <w:cols w:equalWidth="0" w:num="1">
            <w:col w:w="11340"/>
          </w:cols>
          <w:pgMar w:left="320" w:top="448" w:right="239" w:bottom="897"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1340"/>
          </w:cols>
          <w:pgMar w:left="320" w:top="448" w:right="239" w:bottom="897"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37350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6193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02780" cy="761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139"/>
          </w:cols>
          <w:pgMar w:left="320" w:top="448"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350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02780" cy="373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Google Cloud Agreement</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we signed an agreement with Google to migrate most of our cloud-based infrastructure to the Google Cloud Platform, or GCP. The Agreement with Google has two components: (1) a Master Agreement through which Google provides us with cloud services, as well as other products and services, for a multi-year period during which we committed to make escalating minimum payments with certain termination rights, along with contractual penalties for early termination and (2) a Convertible Note, the balance of which is reduced based on the amount we spend on Google cloud services. We believe our strategic arrangement with Google offers Tempus a distinct competitive advantage because we believe it provides us with attractive cloud and computing rates, along with resources and teams at Google that are aligned to help advance elements of our product roadmap.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product line monetizes de-identified data that we collect and facilitates enrollment in clinical trials. Our AI Applications product line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5001895" cy="26009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001895" cy="260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other types of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135890</wp:posOffset>
            </wp:positionV>
            <wp:extent cx="5043805" cy="35433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43805" cy="354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across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 Offered with full transcriptomic profiling assay at 50 million paired end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reads, which as of January 2023 is offered as a separate test</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 Submitted pre-market approval, or PMA, to the FDA in March 2021 for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variation (xT-Onco) based in substantial part on a recent version of the xT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assay</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 Offered with full transcriptomic profiling at 50 million paired end reads.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currently validating xM, a high coverage methylation sequencing assay for monitoring for cancer recurrence and minimal residual disease. We also currently offer the following three algorithmic tests in oncology as compliments to our NGS assays. As of January 1, 2023, these algorithms are run based on transcriptomic results from our assays when separately ordered by a physician.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320" w:top="448" w:right="2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 Predicts the site of origin for cancer patients whose primary tumor site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 Intended use of the TO test is for cancers of unknown primary, or CUPs,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help clinicians make more informed decisions where other clinical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 like imaging and immunohistochemistry results do not provide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 Uses information from analysis of nucleic acids by NGS performed as part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database, we can help pinpoint the origin of the patient’s cancer, potentially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helping to inform the course 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 For the year ended December 31, 2021 ordered on approximately 7% of our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Homologous Recombination Deficiency (“HRD”)</w:t>
            </w:r>
          </w:p>
        </w:tc>
        <w:tc>
          <w:tcPr>
            <w:tcW w:w="1260" w:type="dxa"/>
            <w:vAlign w:val="bottom"/>
            <w:gridSpan w:val="2"/>
            <w:shd w:val="clear" w:color="auto" w:fill="CCEEFF"/>
          </w:tcPr>
          <w:p>
            <w:pPr>
              <w:jc w:val="right"/>
              <w:ind w:right="500"/>
              <w:spacing w:after="0" w:line="19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DNA-based algorithmic test that helps identify if a patient has HRD,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Test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into commonly mutated genes in the HR-pathway, along with a genome wide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 LOH 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6"/>
              </w:rPr>
              <w:t>Launch Year</w:t>
            </w:r>
          </w:p>
        </w:tc>
        <w:tc>
          <w:tcPr>
            <w:tcW w:w="62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Dihydropyrimidine Dehydrogenase Deficiency</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 Identifies certain alterations in the </w:t>
            </w:r>
            <w:r>
              <w:rPr>
                <w:rFonts w:ascii="Times New Roman" w:cs="Times New Roman" w:eastAsia="Times New Roman" w:hAnsi="Times New Roman"/>
                <w:sz w:val="18"/>
                <w:szCs w:val="18"/>
                <w:i w:val="1"/>
                <w:iCs w:val="1"/>
                <w:color w:val="auto"/>
                <w:w w:val="97"/>
              </w:rPr>
              <w:t>DPYD</w:t>
            </w:r>
            <w:r>
              <w:rPr>
                <w:rFonts w:ascii="Times New Roman" w:cs="Times New Roman" w:eastAsia="Times New Roman" w:hAnsi="Times New Roman"/>
                <w:sz w:val="18"/>
                <w:szCs w:val="18"/>
                <w:color w:val="auto"/>
                <w:w w:val="97"/>
              </w:rPr>
              <w:t xml:space="preserve"> gene, which may be associated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1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 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Consortium, or CPIC.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 Provides insight into the potential likelihood of a patient developing severe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even fatal toxicity of 5- FU/Capecitabine chemotherapy by covering five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 According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CPIC, 5-7% of patients test positive for DPYD deficiency and should be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considered for monitoring 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treatment with 5-FU/Capecitabine chemotherapy.</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40"/>
          </w:cols>
          <w:pgMar w:left="320" w:top="448"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215,000 samples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145415</wp:posOffset>
            </wp:positionV>
            <wp:extent cx="5068570" cy="30092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68570"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9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vMerge w:val="restart"/>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97"/>
              </w:rPr>
              <w:t>   Covers 13 validated genes and approximately 90 variants (e.g., CYP2D6)</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 Run off whole exome platform at 50x depth of coverage, with an average depth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coverage of approximately 1050x for clinically reported variants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approximately 90 pharmacogenetic variants and cover the exonic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regions of approximately 20,000 genes at an average coverage of 50X, with an average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depth of coverage of approximately 1050x for clinically reported variants</w:t>
            </w:r>
          </w:p>
        </w:tc>
        <w:tc>
          <w:tcPr>
            <w:tcW w:w="0" w:type="dxa"/>
            <w:vAlign w:val="bottom"/>
          </w:tcPr>
          <w:p>
            <w:pPr>
              <w:spacing w:after="0"/>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December 31, 2022. We entered into clinical testing agreements with various clients, including pharmacies, urgent care centers, state departments of health, primary care providers, universities and schools, and corporate clients.</w:t>
      </w:r>
    </w:p>
    <w:p>
      <w:pPr>
        <w:spacing w:after="0" w:line="184"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As COVID-19 testing has materially decreased in the United States in light of the broadly distributed vaccines and changes in CDC guidance as to whom should be tested, we have shifted resources away from COVID-19 testing and stopped offering PCR diagnostic tests and generating COVID-19 testing revenue in the first quarter of 2023. As such, we are focusing our efforts on other infectious diseases areas and on broader respiratory pathogen testing.</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product line facilitates drug discovery and development for pharmaceutical and biotechnology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One way we measure our data business is based on the remaining total contract value (the “Remaining TCV”) that is contractually committed to be delivered in the future. As of December 31, 2022, we have signed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3"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contracts with a Remaining TCV of greater than $800.0 million. We expect to deliver a majority of this contract value over the next several years.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GlaxoSmithKline, which, although listed under the Data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18 of the 20 largest public pharmaceutical companies based on 2022 revenue.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2022, Net Revenue Retention was approximately 130% compared to the same cohort of customers for the period ended December 31, 2021.</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2429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(Data and other),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other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other in the Consolidated Statement of Operations. Cost of revenues, data and other were $11.9 million and $40.2 million for the years ended December 31, 2021 and 2022, respectively. These costs represent 19.2% and 32.8% of data and other revenue for the years ended December 31, 2021 and 2022, respectively.</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December 31, 2022, we generated $59.3 million of combined revenue from sequencing, data licensing of de-identified data derived from those records, analytical services, and clinical trials matching, which is approximately 6.6 times the revenue we received from sequencing at the onset.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December 31, 2022, the 2018 “Cohort Lifetime Value” for this cohort was $41.9 million. We maintained similar trends for the 2019, 2020, 2021, and 2022 cohorts. As of December 31, 2022, the 2019 “Cohort Lifetime Value” was $48.2 million, the 2020 “Cohort Lifetime Value” was $44.4 million, the 2021 “Cohort Lifetime Value” was $48.8 million, and the 2022 “Cohort Lifetime Value” was $58.0 million in its first year of existence.</w:t>
      </w:r>
    </w:p>
    <w:p>
      <w:pPr>
        <w:spacing w:after="0" w:line="3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“Cohort Lifetime Value” for the 2018, 2019, 2020, 2021, and 2022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6019165" cy="41852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1916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205105</wp:posOffset>
            </wp:positionV>
            <wp:extent cx="5043805" cy="65690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43805" cy="656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139"/>
          </w:cols>
          <w:pgMar w:left="320" w:top="44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Trials is our second offering within our Data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3" w:lineRule="auto"/>
        <w:rPr>
          <w:sz w:val="20"/>
          <w:szCs w:val="20"/>
          <w:color w:val="auto"/>
        </w:rPr>
      </w:pPr>
      <w:r>
        <w:rPr>
          <w:rFonts w:ascii="Times New Roman" w:cs="Times New Roman" w:eastAsia="Times New Roman" w:hAnsi="Times New Roman"/>
          <w:sz w:val="18"/>
          <w:szCs w:val="18"/>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December 31, 2022, more than 200 provider networks and research institutions have signed up to join the program. As of December 31, 2022, approximately 2,800 oncologists were fully enrolled, more than 200 clinical trials were signed into the network, and more than 19,000 patients were identified for potential enrollment into clinical trials in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152400</wp:posOffset>
            </wp:positionV>
            <wp:extent cx="5001895" cy="3059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01895" cy="305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10 days on average in 2022.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125095</wp:posOffset>
            </wp:positionV>
            <wp:extent cx="4951730" cy="264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51730"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over 2,500 tumor samples to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vastness of our dataset creates an opportunity to use data to algorithmically diagnose and treat patients. Our newest product line, AI Applications, is focused developing and providing diagnostics that are algorithmic in nature, implementing new software as a medical device, and building and deploying clinical decision support tools. We use data the same way legacy diagnostic companies use chemistry in the battle against disease, seeking to improve patient care by learning from all the patients who have come before, and tailoring test results based on each patient’s unique profile. The primary product of AI Applications is currently “Algos,” which are clinical tests that can be run without chemistry or biology; they are simply 0’s and 1’s running on digitized data derived from a laboratory test. Algos leverage AI-driven insights to produce clinically validated and actionable information for physicians.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Currently, we have three commercialized Algos in oncology, and more in various stages of development.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 Through December 31, 2022, our three oncology Algos were ordered and separately billed approximately 20,000 times and generated approximately $100 per test on average.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7" w:lineRule="exact"/>
        <w:rPr>
          <w:sz w:val="20"/>
          <w:szCs w:val="20"/>
          <w:color w:val="auto"/>
        </w:rPr>
      </w:pPr>
    </w:p>
    <w:p>
      <w:pPr>
        <w:jc w:val="both"/>
        <w:ind w:firstLine="454"/>
        <w:spacing w:after="0" w:line="230" w:lineRule="auto"/>
        <w:rPr>
          <w:sz w:val="20"/>
          <w:szCs w:val="20"/>
          <w:color w:val="auto"/>
        </w:rPr>
      </w:pPr>
      <w:r>
        <w:rPr>
          <w:rFonts w:ascii="Times New Roman" w:cs="Times New Roman" w:eastAsia="Times New Roman" w:hAnsi="Times New Roman"/>
          <w:sz w:val="18"/>
          <w:szCs w:val="18"/>
          <w:color w:val="auto"/>
        </w:rPr>
        <w:t>Our first cardiology products in development are a suite of algorithms that assess an individual’s risk of undiagnosed disease from an ECG, which are trained using a de-identified subset from approximately 3.2 million ECGs, across approximately 600,000 patients, with decades of longitudinal clinical data, including outcome and response data. The FDA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50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340" w:type="dxa"/>
            <w:vAlign w:val="bottom"/>
          </w:tcPr>
          <w:p>
            <w:pPr>
              <w:spacing w:after="0"/>
              <w:rPr>
                <w:sz w:val="13"/>
                <w:szCs w:val="13"/>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282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Cardiology</w:t>
            </w:r>
          </w:p>
        </w:tc>
        <w:tc>
          <w:tcPr>
            <w:tcW w:w="1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 We have developed an algorithm designed to predict AFib from a normal ECG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expected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certain populations.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9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launch</w:t>
            </w:r>
          </w:p>
        </w:tc>
        <w:tc>
          <w:tcPr>
            <w:tcW w:w="340" w:type="dxa"/>
            <w:vAlign w:val="bottom"/>
          </w:tcPr>
          <w:p>
            <w:pPr>
              <w:spacing w:after="0"/>
              <w:rPr>
                <w:sz w:val="19"/>
                <w:szCs w:val="19"/>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 About 3.5% of patients who receive ECGs appear not to have AFib but will develop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AFib, acute coronary syndrome, or similar condition within one year. This Algo 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designed to predict major cardiac trauma and stroke risk from these normal ECG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 The Tempus AFib test received FDA breakthrough designation in March 2021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patients 40 years of age and older, without pre-existing or concurrent AFib or atrial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flutter, and who are at elevated risk of stroke based on a commonly used clinical</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 We are also advancing Algos that are designed to predict aortic stenosis, and we 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working on other disease areas within cardiology, such as low ejection fraction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familial hypercholesterolemia.</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work in cardiology has been accelerated by a strategic collaboration with a multidisciplinary cardiovascular research team at Geisinger that leverages 25 years of valuable EHR data. We hold a perpetual, royalty-bearing license from Geisinger on the previously mentioned longitudinal data.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radiology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multi-year subscription; (iii) performing sequencing services for clinical trials on a bespoke basis or as part of a companion diagnostic, or CDx, claim;</w:t>
      </w:r>
    </w:p>
    <w:p>
      <w:pPr>
        <w:spacing w:after="0" w:line="21" w:lineRule="exact"/>
        <w:rPr>
          <w:sz w:val="20"/>
          <w:szCs w:val="20"/>
          <w:color w:val="auto"/>
        </w:rPr>
      </w:pPr>
    </w:p>
    <w:p>
      <w:pPr>
        <w:ind w:firstLine="5"/>
        <w:spacing w:after="0" w:line="247" w:lineRule="auto"/>
        <w:tabs>
          <w:tab w:leader="none" w:pos="30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6"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 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Trials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10 days on average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43805" cy="900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4380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Sermonix is a powerful example of the potential for our Trials product to expand access to clinical trials and identify hard-to-reach patients. Sermonix, a pharmaceutical company focused on women’s oncology, opened 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infectious diseases, in which there is over $4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product line operates within a market in which life sciences companies spent an estimated $219 billion in 2020 on research and development according to Evaluate Pharma, and addresses needs within the $38 billion clinical trial services market, the $46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2849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At present, we offer three main assays in cancer, including solid tumor profiling, liquid biopsy, and inherited cancer risk screening, and expect to commercialize our fourth assay for cancer recurrence monitoring and measuring minimal residual disease in 2023. We believe our assays provide a comprehensive and holistic range of options for physicians and patients. Over time, we anticipate being able to address other emerging NGS oncology markets, such as early disease screening, as our most recent cancer recurrence and MRD assay (xM) is based on a high coverage methylation sequencing for minimal residual disease in cancer, an approach that other companies have used in early detection and disease monitoring.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Therapy selection: </w:t>
      </w:r>
      <w:r>
        <w:rPr>
          <w:rFonts w:ascii="Times New Roman" w:cs="Times New Roman" w:eastAsia="Times New Roman" w:hAnsi="Times New Roman"/>
          <w:sz w:val="18"/>
          <w:szCs w:val="18"/>
          <w:color w:val="auto"/>
        </w:rPr>
        <w:t>We address the market for therapy selection with our current tissue and liquid biopsy assay offerings and immunohistochemistry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129540</wp:posOffset>
            </wp:positionV>
            <wp:extent cx="7002780" cy="3701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0278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2023.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2018.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16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2020, an estimated $219 billion was spent on clinical development in the United States. Within this market, our Data product line addresses the following spending categories for biotechnology and pharmaceutical researchers:</w:t>
      </w:r>
    </w:p>
    <w:p>
      <w:pPr>
        <w:spacing w:after="0" w:line="92" w:lineRule="exact"/>
        <w:rPr>
          <w:sz w:val="20"/>
          <w:szCs w:val="20"/>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$38 billion spend in 2020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$46 billion spend in 2021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 Product Line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2,000 employees, including hundreds with diverse expertise in genetics, molecular and computational biology, bioinformatics, regulatory affairs, medical, product and engineering, and data science. Roughly one-third of our team is technical, with approximately 200 PhDs and MDs on staff. In addition, as a testament to our balanced workforce, we have roughly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300 direct data connections, many of which supply us with data in near real time, across over 1,850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We have amassed an oncology database of multi-modal, de-identified records that is approximately 70 Petabytes in size and is approximately 28 times the size of The Cancer Genome Atlas, the largest public genomic dataset that we know of in oncology. We have also extended our Platform into neuropsychology, infectious disease, and cardiology. We believe each of the elements of our Platform is difficult for others to replicate.</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We are able to leverage multimodal data to deploy AI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neuropsychology in 2020 (MDD, bipolar disease, anxiety), infectious disease (COVID-19 testing) in 2020, and hope to enter cardiology in the near future (ECG-based algorithms starting with AFib and Aortic Stenosis).</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AI Applications at scale.</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currently offer three algorithmic tests in oncology, our TO test, our HRD test, and our DPYD test, and have ongoing development efforts in other disease areas, such as cardiology with our recent Afib algorithm that was awarded breakthrough designation by the FDA.</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more than 300 direct unique data connections, many of which supply us with complex multimodal data in near real time, across over 1,850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5,000 physicians in some way. Between our sequencing and data collection efforts, we are connected in some way to more than 40% of all oncologists practicing in the United States. The value of our products is further evidenced by our volume of repeat ordering from oncologists. Through December 2022, the 12-month retention rate for physicians ordering more than 5 oncology NGS tests was 85% and for physicians ordering more than 25 oncology NGS tests, it was 93%. We define an active physician as those that have placed an oncology NGS test in the last 365 days. The 2022 retention rates are calculated by dividing the number of active physicians in 2021 who have placed more than 5 or 25 oncology NGS tests and also placed an order in 2022 by the total number of active physicians in 2021 who placed more than 5 or 25 oncology NGS tests. As of December 31, 2021, the number of active physicians that had ordered more than 5 oncology NGS tests in the last 365 days was 2,547, and the number of physicians that had previously ordered more than 5 oncology NGS tests but did not order one in 2022 was 374. As of December 31, 2021, the number of active ordering physicians that had ordered more than 25 oncology NGS tests in the prior 365 days was 1,338, and the number of physicians that had previously ordered more than 25 oncology NGS tests but did not order one in 2022 was 98.</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more than 180 sales representatives focused on our Genomics offering, and intend to significantly add resources to the team over time.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As of December 31, 2022, we had 40 pharmaceutical and biotechnology customers licensing data through our Insights product, including 18 of the 20 largest public pharmaceutical companies based on 2022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Trials product, we aim to grow the number of</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AI Applications at scale.</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62"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infectious disease,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infectious diseases,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December 31, 2022, our clinical sales organization in the United States included more than 170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85%.</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2022,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total (40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total (66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we had approximately 45 sales executives in our Data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newest product line, AI Applications, is focused on developing and providing diagnostics that are algorithmic in nature, implementing new software as a medical device, and building and deploying clinical decision support tools. The primary product of AI Applications is currently “Algos,” which are clinical tests that can be run without chemistry or biology; they are simply 0’s and 1’s running on digitized data derived from a laboratory test, a pathology slide, or a radiomic image. Algos leverage AI-driven insights to produce clinically validated and actionable information for physicians.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commercialize AI Applications in multiple ways. With respect to Algos, historically, we have billed our Algos in oncology to third-party payers just like our other clinical tests. Beginning January 1, 2023, these three Algos will no longer be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to billing third-party payers, we also work with pharmaceutical companies and healthcare providers to deploy AI Applications that we bill directly to the customer.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products primarily face competition from companies that help pharmaceutical and biotechnology companies acquire data to inform drug discovery and development. Our main competitors in this area are Flatiron Health, Inc., IQVIA Holdings Inc., ConcertAI, and others. Our Data products also face competition from CROs, such as Covance,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received payment on approximately 45% of our clinical oncology NGS tests across all payors performed from January 1, 2020 through June 30, 2022. We calculated this metric on a trailing two-quarter basis based on payor adjudication timing. However, we continued to perform our NGS tests through December 31, 2022. For the years ended December 31, 2021 and 2022, our average reimbursement for NGS tests billed to insurance in oncology was approximately $1,100 and $1,500, respectively. Our strategy to improve reimbursement is as follows:</w:t>
      </w:r>
    </w:p>
    <w:p>
      <w:pPr>
        <w:spacing w:after="0" w:line="92" w:lineRule="exact"/>
        <w:rPr>
          <w:sz w:val="20"/>
          <w:szCs w:val="20"/>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improve coverage, and the amount they currently pay, for tests, through a reconsideration request for our main assays (xT, xF) and through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our new MAC, Palmetto, who will cover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 FDA approval of our main solid tumor assay, xT, for which we filed a PMA in early 2021, and once approved, work with CMS to apply a national coverage determination that covers our assay.</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commercial payers to both get in network and get our assay approved and reimbursement at a higher rate than it currently is.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Atlanta, and Raleigh. Our Chicago and Atlanta laboratories are CAP-accredited and CLIA-certified, and licensed in other states including New York, California, Maryland, Pennsylvania, and Rhode Island.</w:t>
      </w:r>
    </w:p>
    <w:p>
      <w:pPr>
        <w:spacing w:after="0" w:line="42" w:lineRule="exact"/>
        <w:rPr>
          <w:sz w:val="20"/>
          <w:szCs w:val="20"/>
          <w:color w:val="auto"/>
        </w:rPr>
      </w:pPr>
    </w:p>
    <w:p>
      <w:pPr>
        <w:jc w:val="both"/>
        <w:ind w:firstLine="454"/>
        <w:spacing w:after="0" w:line="263" w:lineRule="auto"/>
        <w:rPr>
          <w:sz w:val="20"/>
          <w:szCs w:val="20"/>
          <w:color w:val="auto"/>
        </w:rPr>
      </w:pPr>
      <w:r>
        <w:rPr>
          <w:rFonts w:ascii="Times New Roman" w:cs="Times New Roman" w:eastAsia="Times New Roman" w:hAnsi="Times New Roman"/>
          <w:sz w:val="17"/>
          <w:szCs w:val="17"/>
          <w:color w:val="auto"/>
        </w:rPr>
        <w:t xml:space="preserve">The scale our laboratories have been able to achieve in the approximately 4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17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2022, our average turnaround time for our xT assays was less than 12 days, and our average turnaround time for xF was eight days.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 As an example of this, Tempus was able to stand up our COVID testing assays in both Atlanta and Chicago, obtain EUA approvals, make necessary modifications to our laboratory information systems and provide connectivity integrations to our largest customers (who were each running thousands of tests per day for a period of time) efficiently delivering results to them with turn around times and error rates that met or exceeded industry standards, during the peak of the pandemic in 2020 and early 2021.</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determined based on the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initial public offering price in this offering ( shares of Class A common stock, assuming an initial public offering price of $ per share, the midpoint of the estimated price range set forth on the cover page of 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19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October 2022, we entered into a Master Services Agreement, or the MSA, with GlaxoSmithKline, or GSK. Under the MSA,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MSA, of which $70 million was paid upon execution. The term of the MSA will continue through December 31, 2025, unless terminated sooner. An additional commitment of up to $120 million may be triggered at GSK’s election for the years 2026 and 2027.</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implemented COVID-19 testing in May of 2020, and have run approximately 2.8 million tests in the last twelve months ended December 31, 2022.</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51517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March 31, 2023, our patent portfolio and patent applications included 71 issued U.S. patents or pending applications, 97 pending U.S. non-provisional patent applications, 6 pending U.S. provisional patent applications, 23 pending Patent Cooperation Treaty (international) patent applications, 33 issued foreign patents, and 130 pending foreign patent applications. Our issued patents are expected to begin expiring in December 2029, assuming payment of all appropriate maintenance, renewal, annuity or other governmental fees. These patents and applications generally fall into four broad categories:</w:t>
      </w:r>
    </w:p>
    <w:p>
      <w:pPr>
        <w:spacing w:after="0" w:line="92" w:lineRule="exact"/>
        <w:rPr>
          <w:sz w:val="20"/>
          <w:szCs w:val="20"/>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right="20"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oversight and reporting obligations, limitations to the sale of certain products or services, diminished profits and future earnings, and the curtailment or restructuring of our operations.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is expected to take effect on January 1, 2023 and create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its Consumer Data Protection Act, and Colorado passed the Colorado Privacy act, both of which differ from the CPRA and become effective in 2023.</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Although we are a participating provider with a limited number of commercial payers, certain other large, national commercial payers, including Anthem, Aetna and Humana, have issued non-coverage policies that consider tissue and liquid comprehensive genomic profile testing, including certain of our Genomics tests, as experimental or investigational.</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It is difficult to predict what CMS or the applicable MACs will decide with respect to reimbursement for novel diagnostic products such as ours.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94"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During the fourth quarter of 2021, we began receiving favorable results on outstanding level 2 claims that were adjudicated and have received payment on a subset of these claims as a result of the appeal process. As a result, beginning in the second quarter of 2021, we estimated the reimbursement rate for tests performed within our contractual allowances with a significantly reduced percent expected reimbursement for these tests, equating to $0 for the second quarter of 2021, $0.4 million for the third quarter of 2021, and $1.1 million for the fourth quarter of 2021. These estimates were guided by the updated Local MAC guidance and appeal outcomes through December 31, 2021. During the year ended December 31, 2022, Medicare claims represented 28% of our clinical testing volume.</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also have a new genomics lab in Raleigh, North Carolina, which became operational in 2022 and from which we began offering commercial laboratory tests in the second half of 2022.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2022, we had a total of 1,952 employees, of which 678 were technical and were engaged in product and engineering, and research and development. As of December 31, 2022, 839 employees were based at our headquarters in Chicago, Illinois, 76 employees were based in Atlanta, Georgia, and 71 employees were based in Raleigh, North Carolina.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December 31, 2022,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 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Tempus, Mr. Lefkofsky co-founded Groupon, Inc. in 2008, where he held various roles, including Executive Chairman (through August 2013), Chief Executive Officer (August 2013 to November 2015), and Chairman of the board of directors (November 2015 to June 2020). He continues to serve as a member of Groupon’s board of directors. Mr. Lefkofsky also co-founded Lightbank LLC in 2008, a private venture capital firm specializing in investments in technology companies, and has served as its managing member since inception. Mr. Lefkofsky also co-founded InnerWorkings, Inc., Mediaocean, LLC, Echo Global Logistics, Inc., and Pathos AI,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3"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 Entrepreneur-in-Residence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77"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We currently have nine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5540" w:right="340" w:hanging="5089"/>
        <w:spacing w:after="0" w:line="435" w:lineRule="auto"/>
        <w:tabs>
          <w:tab w:leader="none" w:pos="99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 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and Nadja West. The chair of our compensation committee will be Mr. Barris. Our board of directors has determined that each of Mr. Barris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2022:</w:t>
      </w:r>
    </w:p>
    <w:p>
      <w:pPr>
        <w:spacing w:after="0" w:line="25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60" w:type="dxa"/>
            <w:vAlign w:val="bottom"/>
            <w:vMerge w:val="restart"/>
          </w:tcPr>
          <w:p>
            <w:pPr>
              <w:spacing w:after="0"/>
              <w:rPr>
                <w:sz w:val="14"/>
                <w:szCs w:val="1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36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880" w:type="dxa"/>
            <w:vAlign w:val="bottom"/>
            <w:gridSpan w:val="3"/>
          </w:tcPr>
          <w:p>
            <w:pPr>
              <w:jc w:val="right"/>
              <w:ind w:right="1040"/>
              <w:spacing w:after="0" w:line="13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Jennifer A. Doudna, Ph.D.</w:t>
            </w:r>
            <w:r>
              <w:rPr>
                <w:rFonts w:ascii="Times New Roman" w:cs="Times New Roman" w:eastAsia="Times New Roman" w:hAnsi="Times New Roman"/>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8"/>
                <w:szCs w:val="18"/>
                <w:color w:val="auto"/>
              </w:rPr>
            </w:pPr>
          </w:p>
        </w:tc>
        <w:tc>
          <w:tcPr>
            <w:tcW w:w="1820" w:type="dxa"/>
            <w:vAlign w:val="bottom"/>
            <w:gridSpan w:val="2"/>
          </w:tcPr>
          <w:p>
            <w:pPr>
              <w:jc w:val="right"/>
              <w:ind w:right="880"/>
              <w:spacing w:after="0" w:line="210" w:lineRule="exact"/>
              <w:rPr>
                <w:sz w:val="20"/>
                <w:szCs w:val="20"/>
                <w:color w:val="auto"/>
              </w:rPr>
            </w:pPr>
            <w:r>
              <w:rPr>
                <w:rFonts w:ascii="Times New Roman" w:cs="Times New Roman" w:eastAsia="Times New Roman" w:hAnsi="Times New Roman"/>
                <w:sz w:val="16"/>
                <w:szCs w:val="16"/>
                <w:color w:val="auto"/>
              </w:rPr>
              <w:t>2,376,500</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2,501,500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79" w:lineRule="auto"/>
        <w:tabs>
          <w:tab w:leader="none" w:pos="4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directors during 2021 under our 2015 Plan, computed in accordance with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aggregate number of shares underlying outstanding RSUs under our 2015 Plan held by each of our non-employee directors was as follows: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6"/>
                <w:szCs w:val="16"/>
                <w:color w:val="auto"/>
              </w:rPr>
            </w:pPr>
          </w:p>
        </w:tc>
        <w:tc>
          <w:tcPr>
            <w:tcW w:w="3480" w:type="dxa"/>
            <w:vAlign w:val="bottom"/>
            <w:gridSpan w:val="3"/>
          </w:tcPr>
          <w:p>
            <w:pPr>
              <w:ind w:left="2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96"/>
        </w:trPr>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44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Dr. Jennifer A. Doudna</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Wayne A.I. Frederick</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(c)</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Gottlieb</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(d)</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Nadja West</w:t>
            </w:r>
            <w:r>
              <w:rPr>
                <w:rFonts w:ascii="Times New Roman" w:cs="Times New Roman" w:eastAsia="Times New Roman" w:hAnsi="Times New Roman"/>
                <w:sz w:val="26"/>
                <w:szCs w:val="26"/>
                <w:color w:val="auto"/>
                <w:vertAlign w:val="superscript"/>
              </w:rPr>
              <w:t>(5)</w:t>
            </w:r>
          </w:p>
        </w:tc>
        <w:tc>
          <w:tcPr>
            <w:tcW w:w="2440" w:type="dxa"/>
            <w:vAlign w:val="bottom"/>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(b)</w:t>
            </w:r>
          </w:p>
        </w:tc>
      </w:tr>
    </w:tbl>
    <w:p>
      <w:pPr>
        <w:jc w:val="both"/>
        <w:ind w:left="460" w:hanging="455"/>
        <w:spacing w:after="0" w:line="272" w:lineRule="auto"/>
        <w:tabs>
          <w:tab w:leader="none" w:pos="4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consummation of this offering and (ii) a change in control of our company.</w:t>
      </w:r>
    </w:p>
    <w:p>
      <w:pPr>
        <w:spacing w:after="0" w:line="3" w:lineRule="exact"/>
        <w:rPr>
          <w:rFonts w:ascii="Times New Roman" w:cs="Times New Roman" w:eastAsia="Times New Roman" w:hAnsi="Times New Roman"/>
          <w:sz w:val="16"/>
          <w:szCs w:val="16"/>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January 13, 2022,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October 13,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2019,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sz w:val="20"/>
          <w:szCs w:val="20"/>
          <w:color w:val="auto"/>
        </w:rPr>
      </w:pP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Gottlieb joined our board of directors in October 2019, in connection with which he was entitled to an award of 50,000 RSUs, which were granted and approved by our board of directors in July 2021. The amount shown represents the aggregate grant date fair value of such RSUs as of July 2021.</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w:t>
      </w:r>
    </w:p>
    <w:p>
      <w:pPr>
        <w:spacing w:after="0" w:line="103" w:lineRule="exact"/>
        <w:rPr>
          <w:sz w:val="20"/>
          <w:szCs w:val="20"/>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980" w:type="dxa"/>
            <w:vAlign w:val="bottom"/>
            <w:vMerge w:val="restart"/>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1500" w:type="dxa"/>
            <w:vAlign w:val="bottom"/>
            <w:gridSpan w:val="2"/>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62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740" w:type="dxa"/>
            <w:vAlign w:val="bottom"/>
            <w:tcBorders>
              <w:top w:val="single" w:sz="8" w:color="CCEEFF"/>
            </w:tcBorders>
            <w:shd w:val="clear" w:color="auto" w:fill="CCEEFF"/>
          </w:tcPr>
          <w:p>
            <w:pPr>
              <w:jc w:val="right"/>
              <w:ind w:right="534"/>
              <w:spacing w:after="0"/>
              <w:rPr>
                <w:sz w:val="20"/>
                <w:szCs w:val="20"/>
                <w:color w:val="auto"/>
              </w:rPr>
            </w:pPr>
            <w:r>
              <w:rPr>
                <w:rFonts w:ascii="Times New Roman" w:cs="Times New Roman" w:eastAsia="Times New Roman" w:hAnsi="Times New Roman"/>
                <w:sz w:val="13"/>
                <w:szCs w:val="13"/>
                <w:color w:val="auto"/>
                <w:w w:val="78"/>
              </w:rPr>
              <w:t>(2)</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207,486,240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207,488,340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450,000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2,975,250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88"/>
              </w:rPr>
              <w:t>335,188</w:t>
            </w:r>
            <w:r>
              <w:rPr>
                <w:rFonts w:ascii="Times New Roman" w:cs="Times New Roman" w:eastAsia="Times New Roman" w:hAnsi="Times New Roman"/>
                <w:sz w:val="26"/>
                <w:szCs w:val="26"/>
                <w:color w:val="auto"/>
                <w:w w:val="88"/>
                <w:vertAlign w:val="superscript"/>
              </w:rPr>
              <w:t>(3)</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3,871,600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4,208,888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499,858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5,550,870</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w w:val="92"/>
              </w:rPr>
              <w:t>422,396</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5,134,070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right"/>
              <w:ind w:right="534"/>
              <w:spacing w:after="0"/>
              <w:rPr>
                <w:sz w:val="20"/>
                <w:szCs w:val="20"/>
                <w:color w:val="auto"/>
              </w:rPr>
            </w:pPr>
            <w:r>
              <w:rPr>
                <w:rFonts w:ascii="Times New Roman" w:cs="Times New Roman" w:eastAsia="Times New Roman" w:hAnsi="Times New Roman"/>
                <w:sz w:val="18"/>
                <w:szCs w:val="18"/>
                <w:color w:val="auto"/>
              </w:rPr>
              <w:t>75,296</w:t>
            </w:r>
            <w:r>
              <w:rPr>
                <w:rFonts w:ascii="Times New Roman" w:cs="Times New Roman" w:eastAsia="Times New Roman" w:hAnsi="Times New Roman"/>
                <w:sz w:val="26"/>
                <w:szCs w:val="26"/>
                <w:color w:val="auto"/>
                <w:vertAlign w:val="superscript"/>
              </w:rPr>
              <w:t>(4)</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5,631,762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48"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pro-rated parking fees in the amount of $2,100.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appointed as our Chief Financial Officer in April 2021. The salary reported represents a pro-rata portion of his salary in 2021. His annualized base salary for 2021 was $450,000.</w:t>
      </w: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includes a housing stipend earned during 2022 and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4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jc w:val="center"/>
              <w:ind w:right="23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9"/>
                <w:szCs w:val="9"/>
                <w:color w:val="auto"/>
              </w:rPr>
            </w:pPr>
          </w:p>
        </w:tc>
        <w:tc>
          <w:tcPr>
            <w:tcW w:w="12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180" w:type="dxa"/>
            <w:vAlign w:val="bottom"/>
            <w:vMerge w:val="restart"/>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9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04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gridSpan w:val="2"/>
          </w:tcPr>
          <w:p>
            <w:pPr>
              <w:jc w:val="center"/>
              <w:ind w:right="23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26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320" w:type="dxa"/>
            <w:vAlign w:val="bottom"/>
            <w:tcBorders>
              <w:top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143,984,940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December 11, 2017</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15, 2020</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6"/>
                <w:szCs w:val="26"/>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March 13, 2018</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17, 2019</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October 16, 2019</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21, 2021</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January 3, 2022</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April 27, 2022</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as applicable,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$29.59 as of December 31, 2022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PSUs vest on the one-year anniversary of the vesting commencement date and 1/12 of the remaining PSUs vest quarterly thereafter, provided that the recipient remains in continuous service with us through each vesting date, and subject to the earlier to occur of (i) the consummation of this offering and (ii) a change in control of our company, which we refer to as a Liquidity Event. These PSUs shall only become settleable into our common stock if, on the date on which such Liquidity Event occurs, the valuation of our company equals or exceeds $6 billion, as determined by our board of directors in its sole discretion.</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8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2022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Plans—2022 Equity Incentive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January 2022, we entered into revised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January 2022. Mr. Lefkofsky’s employment agreement provides for an annual base salary of $0,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of a Change in Control (as defined in our 2015 Plan), 100% of Mr. Lefkofsky’s then-unvested equity will immediately accelerate, vest and become exercisable.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2022. Mr. Rogers’ employment agreement provides for an annual base salary of $450,000,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 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2022. Mr. Fukushima’s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board of directors has adopted the 2022 Equity Incentive Plan, or the 2022 Plan, that will become effective on the date of the underwriting agreement related to this offering. Our 2022 Plan will come into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existence upon its adoption by our board of directors, but no grants will be made under our 2022 Plan prior to its effectiveness. Once our 2022 Plan becomes effective, no further grants will be made under our 2015 Plan.</w:t>
      </w:r>
    </w:p>
    <w:p>
      <w:pPr>
        <w:spacing w:after="0" w:line="16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2022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2022 Plan is 10,000,000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2022 Plan will automatically increase on January 1 of each year, beginning on January 1, 2023, and continuing through and including January 1, 2032, by 3%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2022 Plan is 30,000,000 shares.</w:t>
      </w:r>
    </w:p>
    <w:p>
      <w:pPr>
        <w:spacing w:after="0" w:line="15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2022 Plan will be authorized but unissued or reacquired shares of Class A common stock. Shares subject to awards granted under our 2022 Plan that expire or terminate without being exercised in full, or that are paid out in cash rather than in shares, will not reduce the number of shares available for issuance under our 2022 Plan. Additionally, shares issued pursuant to awards under our 2022 Plan that we repurchase or that are forfeited, as well as shares used to pay the exercise price of an award or to satisfy the tax withholding obligations to an award, will become available for future grant under our 2022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2022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2022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2022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2022 Plan, the administrator also has the power to modify outstanding awards under our 2022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2022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2022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2022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2022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2022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2022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2022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2022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2022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2022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2022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2022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2022 Plan. No awards may be granted under our 2022 Plan while it is suspended or after it is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1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2023 and continuing through and including January 1, 2032, by the lesser of (1) 2% of the aggregate number of shares of common stock (both Class A and Class B) outstanding on December 31 of the preceding calendar year, (2) 6,000,000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The implementation of the ESPP and the terms of the offerings thereunder, if any, will be in the discretion of the administrator. The administrator does not currently have any intention to make offerings available under the ESPP.</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February 2022.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December 31, 2022, there were 16,339,419 shares of common stock issuable upon the vesting and settlement of RSUs and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2015 Plan, there were 4,250,000 shares of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1,098,364 shares of common stock were available for future issuance under the 2015 Plan. In February 2022, we increased the share reserve under the 2015 plan by 3,000,000 shares.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25,115,750 shares. The maximum number of shares of Class A common stock that may be issued pursuant to the exercise of ISOs under our 2015 Plan is 25,115,750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2020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26"/>
                <w:szCs w:val="26"/>
                <w:color w:val="auto"/>
                <w:vertAlign w:val="superscript"/>
              </w:rPr>
              <w:t>(2)</w:t>
            </w:r>
          </w:p>
        </w:tc>
        <w:tc>
          <w:tcPr>
            <w:tcW w:w="1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26"/>
                <w:szCs w:val="26"/>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April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The holders of our G-3 convertible preferred stock listed below are entitled to specified registration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See the section titled “Description of Capital Stock—Registration Rights” for additional information regarding these registration rights.</w:t>
      </w:r>
    </w:p>
    <w:p>
      <w:pPr>
        <w:spacing w:after="0" w:line="237"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00" w:type="dxa"/>
            <w:vAlign w:val="bottom"/>
            <w:vMerge w:val="restart"/>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00" w:type="dxa"/>
            <w:vAlign w:val="bottom"/>
            <w:vMerge w:val="continue"/>
          </w:tcPr>
          <w:p>
            <w:pPr>
              <w:spacing w:after="0"/>
              <w:rPr>
                <w:sz w:val="20"/>
                <w:szCs w:val="20"/>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61,074</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3,499,961.61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$0.9 million remains to be amortized. We currently sublease a portion of this office space to Lightbank LLC, Lefkofsky Family Foundation and 346 Investment Partners, each an entity affiliated with and controlled by Mr. Lefkofsky, on a month-to-month basis. As of December 31, 2022, we have received an aggregate of $0.6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December 31, 2022,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 written notice to the other party. In March 2022, Pathos paid us its first annual subscription fee of $0.4 million. As of the date of this prospectus, we have not exercised the warrant to purchase shares of Pathos common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2020 to February 2021, we repurchased an aggregate of 2,007,569 shares of various series of convertible preferred stock from entities affiliated with and controlled by Eric Lefkofsky at the original issue price for a total purchase price of approximately $26.9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December 31, 2022 by:</w:t>
      </w:r>
    </w:p>
    <w:p>
      <w:pPr>
        <w:spacing w:after="0" w:line="121" w:lineRule="exact"/>
        <w:rPr>
          <w:sz w:val="20"/>
          <w:szCs w:val="20"/>
          <w:color w:val="auto"/>
        </w:rPr>
      </w:pPr>
    </w:p>
    <w:p>
      <w:pPr>
        <w:ind w:left="1000" w:hanging="54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5,374,899 shares of Class B common stock outstanding as of December 31, 2022, after giving effect to the Series G-3 Financing and assuming the automatic conversion of all outstanding shares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redeemable convertible preferred stock, other than our Series B preferred stock, into shares of Class A common stock, assuming an initial public offering price of $ per share, the midpoint of the estimated price range set forth on the cover page of this prospectus, the issuance of Additional</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Class A Conversion Shares assuming an initial public offering price of $ per share, the midpoint of the estimated price range set forth on the cover page of this prospectus, the conversion of all outstanding shares of our Series B convertible preferred stock into 5,374,899 shares of Class B common stock, and the automatic conversion of all outstanding shares of our nonvoting common stock into 4,932,415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from the selling stockholders is not exercised is based on (1) shares of Class A common stock and (2) 5,374,899 shares of Class B common stock outstanding immediately after the closing of this offering. Applicable percentage ownership after this offering if the underwriters’ option to purchase additional</w:t>
      </w:r>
    </w:p>
    <w:p>
      <w:pPr>
        <w:spacing w:after="0"/>
        <w:tabs>
          <w:tab w:leader="none" w:pos="8640" w:val="left"/>
        </w:tabs>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w:t>
      </w:r>
      <w:r>
        <w:rPr>
          <w:sz w:val="20"/>
          <w:szCs w:val="20"/>
          <w:color w:val="auto"/>
        </w:rPr>
        <w:tab/>
      </w:r>
      <w:r>
        <w:rPr>
          <w:rFonts w:ascii="Times New Roman" w:cs="Times New Roman" w:eastAsia="Times New Roman" w:hAnsi="Times New Roman"/>
          <w:sz w:val="18"/>
          <w:szCs w:val="18"/>
          <w:color w:val="auto"/>
        </w:rPr>
        <w:t>shares of Class A common stock and</w:t>
      </w:r>
    </w:p>
    <w:p>
      <w:pPr>
        <w:spacing w:after="0" w:line="3" w:lineRule="exact"/>
        <w:rPr>
          <w:sz w:val="20"/>
          <w:szCs w:val="20"/>
          <w:color w:val="auto"/>
        </w:rPr>
      </w:pPr>
    </w:p>
    <w:p>
      <w:pPr>
        <w:jc w:val="both"/>
        <w:ind w:firstLine="5"/>
        <w:spacing w:after="0" w:line="244" w:lineRule="auto"/>
        <w:tabs>
          <w:tab w:leader="none" w:pos="2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December 31, 2022. However, except as described above, we did not deem such shares outstanding for the purpose of computing the percentage ownership of any other person.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Labs, Inc., 600 West Chicago Avenue, Suite 510 Chicago, Illinois 60654.</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Name of Beneficial</w:t>
      </w:r>
    </w:p>
    <w:p>
      <w:pPr>
        <w:spacing w:after="0" w:line="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Owner</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6"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0"/>
          <w:szCs w:val="10"/>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0"/>
          <w:szCs w:val="10"/>
          <w:color w:val="auto"/>
        </w:rPr>
        <w:t>(2)</w:t>
      </w:r>
    </w:p>
    <w:p>
      <w:pPr>
        <w:ind w:left="140" w:right="540" w:hanging="139"/>
        <w:spacing w:after="0" w:line="215" w:lineRule="auto"/>
        <w:rPr>
          <w:sz w:val="20"/>
          <w:szCs w:val="20"/>
          <w:color w:val="auto"/>
        </w:rPr>
      </w:pPr>
      <w:r>
        <w:rPr>
          <w:rFonts w:ascii="Times New Roman" w:cs="Times New Roman" w:eastAsia="Times New Roman" w:hAnsi="Times New Roman"/>
          <w:sz w:val="14"/>
          <w:szCs w:val="14"/>
          <w:b w:val="1"/>
          <w:bCs w:val="1"/>
          <w:color w:val="auto"/>
        </w:rPr>
        <w:t>Other Directors and Named 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0"/>
          <w:szCs w:val="10"/>
          <w:color w:val="auto"/>
        </w:rPr>
        <w:t>(3)</w:t>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0"/>
          <w:szCs w:val="10"/>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0"/>
          <w:szCs w:val="10"/>
          <w:color w:val="auto"/>
        </w:rPr>
        <w:t>(5)</w:t>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6"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0"/>
          <w:szCs w:val="10"/>
          <w:color w:val="auto"/>
        </w:rPr>
        <w:t>(6)</w:t>
      </w:r>
    </w:p>
    <w:p>
      <w:pPr>
        <w:spacing w:after="0" w:line="215"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0"/>
          <w:szCs w:val="10"/>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0"/>
          <w:szCs w:val="10"/>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0"/>
          <w:szCs w:val="10"/>
          <w:color w:val="auto"/>
        </w:rPr>
        <w:t>(9)</w:t>
      </w:r>
    </w:p>
    <w:p>
      <w:pPr>
        <w:spacing w:after="0" w:line="72" w:lineRule="exact"/>
        <w:rPr>
          <w:sz w:val="20"/>
          <w:szCs w:val="20"/>
          <w:color w:val="auto"/>
        </w:rPr>
      </w:pPr>
    </w:p>
    <w:p>
      <w:pPr>
        <w:ind w:left="140" w:hanging="139"/>
        <w:spacing w:after="0" w:line="227" w:lineRule="auto"/>
        <w:rPr>
          <w:sz w:val="20"/>
          <w:szCs w:val="20"/>
          <w:color w:val="auto"/>
        </w:rPr>
      </w:pPr>
      <w:r>
        <w:rPr>
          <w:rFonts w:ascii="Times New Roman" w:cs="Times New Roman" w:eastAsia="Times New Roman" w:hAnsi="Times New Roman"/>
          <w:sz w:val="14"/>
          <w:szCs w:val="14"/>
          <w:color w:val="auto"/>
        </w:rPr>
        <w:t>All directors and executive officers as a group (12 persons)</w:t>
      </w:r>
      <w:r>
        <w:rPr>
          <w:rFonts w:ascii="Times New Roman" w:cs="Times New Roman" w:eastAsia="Times New Roman" w:hAnsi="Times New Roman"/>
          <w:sz w:val="10"/>
          <w:szCs w:val="10"/>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7"/>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7"/>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w:t>
            </w:r>
          </w:p>
        </w:tc>
        <w:tc>
          <w:tcPr>
            <w:tcW w:w="0" w:type="dxa"/>
            <w:vAlign w:val="bottom"/>
          </w:tcPr>
          <w:p>
            <w:pPr>
              <w:spacing w:after="0"/>
              <w:rPr>
                <w:sz w:val="1"/>
                <w:szCs w:val="1"/>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 Full</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6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0"/>
                <w:szCs w:val="10"/>
                <w:color w:val="auto"/>
              </w:rPr>
            </w:pP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8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8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180" w:type="dxa"/>
            <w:vAlign w:val="bottom"/>
          </w:tcPr>
          <w:p>
            <w:pPr>
              <w:spacing w:after="0"/>
              <w:rPr>
                <w:sz w:val="9"/>
                <w:szCs w:val="9"/>
                <w:color w:val="auto"/>
              </w:rPr>
            </w:pP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Stock Being</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183515</wp:posOffset>
            </wp:positionV>
            <wp:extent cx="7197725" cy="914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458470</wp:posOffset>
            </wp:positionV>
            <wp:extent cx="7197725" cy="914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641985</wp:posOffset>
            </wp:positionV>
            <wp:extent cx="7197725" cy="914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825500</wp:posOffset>
            </wp:positionV>
            <wp:extent cx="7197725" cy="914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1009015</wp:posOffset>
            </wp:positionV>
            <wp:extent cx="7197725" cy="914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1191895</wp:posOffset>
            </wp:positionV>
            <wp:extent cx="7197725" cy="914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1442085</wp:posOffset>
            </wp:positionV>
            <wp:extent cx="7197725" cy="1835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7725" cy="18351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-7620</wp:posOffset>
            </wp:positionV>
            <wp:extent cx="7197725" cy="1003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878" w:lineRule="exact"/>
        <w:rPr>
          <w:sz w:val="20"/>
          <w:szCs w:val="20"/>
          <w:color w:val="auto"/>
        </w:rPr>
      </w:pPr>
    </w:p>
    <w:p>
      <w:pPr>
        <w:sectPr>
          <w:pgSz w:w="11900" w:h="16838" w:orient="portrait"/>
          <w:cols w:equalWidth="0" w:num="2">
            <w:col w:w="2220" w:space="220"/>
            <w:col w:w="8900"/>
          </w:cols>
          <w:pgMar w:left="320" w:top="448" w:right="239" w:bottom="1440" w:gutter="0" w:footer="0" w:header="0"/>
          <w:type w:val="continuous"/>
        </w:sectPr>
      </w:pPr>
    </w:p>
    <w:p>
      <w:pPr>
        <w:ind w:left="460" w:hanging="455"/>
        <w:spacing w:after="0"/>
        <w:tabs>
          <w:tab w:leader="none" w:pos="4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ind w:left="460" w:hanging="455"/>
        <w:spacing w:after="0" w:line="215" w:lineRule="auto"/>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180" w:type="dxa"/>
            <w:vAlign w:val="bottom"/>
          </w:tcPr>
          <w:p>
            <w:pPr>
              <w:spacing w:after="0"/>
              <w:rPr>
                <w:sz w:val="11"/>
                <w:szCs w:val="11"/>
                <w:color w:val="auto"/>
              </w:rPr>
            </w:pPr>
          </w:p>
        </w:tc>
        <w:tc>
          <w:tcPr>
            <w:tcW w:w="100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(1)</w:t>
            </w:r>
          </w:p>
        </w:tc>
        <w:tc>
          <w:tcPr>
            <w:tcW w:w="7160" w:type="dxa"/>
            <w:vAlign w:val="bottom"/>
            <w:gridSpan w:val="8"/>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3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Gray Media, LLC,</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26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Prior to this offering, consists of (a)</w:t>
            </w:r>
          </w:p>
        </w:tc>
        <w:tc>
          <w:tcPr>
            <w:tcW w:w="4520" w:type="dxa"/>
            <w:vAlign w:val="bottom"/>
            <w:gridSpan w:val="5"/>
          </w:tcPr>
          <w:p>
            <w:pPr>
              <w:ind w:left="4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3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w:t>
            </w:r>
          </w:p>
        </w:tc>
        <w:tc>
          <w:tcPr>
            <w:tcW w:w="5360" w:type="dxa"/>
            <w:vAlign w:val="bottom"/>
            <w:gridSpan w:val="6"/>
          </w:tcPr>
          <w:p>
            <w:pPr>
              <w:jc w:val="center"/>
              <w:ind w:right="17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Series 3, (d)</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 Series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1B, (e)</w:t>
            </w:r>
          </w:p>
        </w:tc>
        <w:tc>
          <w:tcPr>
            <w:tcW w:w="180" w:type="dxa"/>
            <w:vAlign w:val="bottom"/>
          </w:tcPr>
          <w:p>
            <w:pPr>
              <w:spacing w:after="0"/>
              <w:rPr>
                <w:sz w:val="12"/>
                <w:szCs w:val="12"/>
                <w:color w:val="auto"/>
              </w:rPr>
            </w:pPr>
          </w:p>
        </w:tc>
        <w:tc>
          <w:tcPr>
            <w:tcW w:w="518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(f)</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w:t>
            </w:r>
          </w:p>
        </w:tc>
        <w:tc>
          <w:tcPr>
            <w:tcW w:w="180" w:type="dxa"/>
            <w:vAlign w:val="bottom"/>
          </w:tcPr>
          <w:p>
            <w:pPr>
              <w:spacing w:after="0"/>
              <w:rPr>
                <w:sz w:val="12"/>
                <w:szCs w:val="12"/>
                <w:color w:val="auto"/>
              </w:rPr>
            </w:pPr>
          </w:p>
        </w:tc>
        <w:tc>
          <w:tcPr>
            <w:tcW w:w="48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B common stock held by Tempus Series B Investments, LLC, (h)</w:t>
            </w:r>
          </w:p>
        </w:tc>
        <w:tc>
          <w:tcPr>
            <w:tcW w:w="380" w:type="dxa"/>
            <w:vAlign w:val="bottom"/>
          </w:tcPr>
          <w:p>
            <w:pPr>
              <w:spacing w:after="0"/>
              <w:rPr>
                <w:sz w:val="12"/>
                <w:szCs w:val="12"/>
                <w:color w:val="auto"/>
              </w:rPr>
            </w:pP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w:t>
            </w:r>
          </w:p>
        </w:tc>
        <w:tc>
          <w:tcPr>
            <w:tcW w:w="180" w:type="dxa"/>
            <w:vAlign w:val="bottom"/>
          </w:tcPr>
          <w:p>
            <w:pPr>
              <w:spacing w:after="0"/>
              <w:rPr>
                <w:sz w:val="12"/>
                <w:szCs w:val="12"/>
                <w:color w:val="auto"/>
              </w:rPr>
            </w:pPr>
          </w:p>
        </w:tc>
        <w:tc>
          <w:tcPr>
            <w:tcW w:w="518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B-2 Investments, LLC, (j)</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(k)</w:t>
            </w:r>
          </w:p>
        </w:tc>
        <w:tc>
          <w:tcPr>
            <w:tcW w:w="180" w:type="dxa"/>
            <w:vAlign w:val="bottom"/>
          </w:tcPr>
          <w:p>
            <w:pPr>
              <w:spacing w:after="0"/>
              <w:rPr>
                <w:sz w:val="12"/>
                <w:szCs w:val="12"/>
                <w:color w:val="auto"/>
              </w:rPr>
            </w:pPr>
          </w:p>
        </w:tc>
        <w:tc>
          <w:tcPr>
            <w:tcW w:w="48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D Investments, LLC, (l)</w:t>
            </w:r>
          </w:p>
        </w:tc>
        <w:tc>
          <w:tcPr>
            <w:tcW w:w="380" w:type="dxa"/>
            <w:vAlign w:val="bottom"/>
          </w:tcPr>
          <w:p>
            <w:pPr>
              <w:spacing w:after="0"/>
              <w:rPr>
                <w:sz w:val="12"/>
                <w:szCs w:val="12"/>
                <w:color w:val="auto"/>
              </w:rPr>
            </w:pP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(m)</w:t>
            </w:r>
          </w:p>
        </w:tc>
        <w:tc>
          <w:tcPr>
            <w:tcW w:w="180" w:type="dxa"/>
            <w:vAlign w:val="bottom"/>
          </w:tcPr>
          <w:p>
            <w:pPr>
              <w:spacing w:after="0"/>
              <w:rPr>
                <w:sz w:val="12"/>
                <w:szCs w:val="12"/>
                <w:color w:val="auto"/>
              </w:rPr>
            </w:pPr>
          </w:p>
        </w:tc>
        <w:tc>
          <w:tcPr>
            <w:tcW w:w="518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F Investments, LLC, and (n)</w:t>
            </w:r>
          </w:p>
        </w:tc>
        <w:tc>
          <w:tcPr>
            <w:tcW w:w="488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Concurrently with, and contingent upon, the effectiveness of the registration statement of which this prospectus forms a part, shares of Class A common stock held by each of Tempus Series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B-1 Investments, LLC, Tempus Series B-2 Investments, LLC, Tempus Series C Investments, LLC, Tempus Series D Investments, LLC, Tempus Series 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F Investments, LLC and Tempus Series G Investments, LLC will be distributed pro rata to the members of each entity. Following the distributions, no other</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stockholder will be a beneficial owner of more than 5% of the company’s common stock. Mr. Lefkofsky’s beneficial ownership after the offering gives effect to the foregoing distributions, and</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consists of (i)</w:t>
            </w:r>
          </w:p>
        </w:tc>
        <w:tc>
          <w:tcPr>
            <w:tcW w:w="480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(ii)</w:t>
            </w:r>
          </w:p>
        </w:tc>
        <w:tc>
          <w:tcPr>
            <w:tcW w:w="37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(iii)</w:t>
            </w:r>
          </w:p>
        </w:tc>
        <w:tc>
          <w:tcPr>
            <w:tcW w:w="560" w:type="dxa"/>
            <w:vAlign w:val="bottom"/>
          </w:tcPr>
          <w:p>
            <w:pPr>
              <w:spacing w:after="0"/>
              <w:rPr>
                <w:sz w:val="12"/>
                <w:szCs w:val="12"/>
                <w:color w:val="auto"/>
              </w:rPr>
            </w:pP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w w:val="99"/>
              </w:rPr>
              <w:t>common stock held by Innovation Group Investors, L.P. - Series 1B, (iv)</w:t>
            </w:r>
          </w:p>
        </w:tc>
        <w:tc>
          <w:tcPr>
            <w:tcW w:w="320" w:type="dxa"/>
            <w:vAlign w:val="bottom"/>
          </w:tcPr>
          <w:p>
            <w:pPr>
              <w:spacing w:after="0"/>
              <w:rPr>
                <w:sz w:val="12"/>
                <w:szCs w:val="12"/>
                <w:color w:val="auto"/>
              </w:rPr>
            </w:pPr>
          </w:p>
        </w:tc>
        <w:tc>
          <w:tcPr>
            <w:tcW w:w="5460" w:type="dxa"/>
            <w:vAlign w:val="bottom"/>
            <w:gridSpan w:val="5"/>
          </w:tcPr>
          <w:p>
            <w:pPr>
              <w:ind w:left="280"/>
              <w:spacing w:after="0" w:line="145" w:lineRule="exact"/>
              <w:rPr>
                <w:sz w:val="20"/>
                <w:szCs w:val="20"/>
                <w:color w:val="auto"/>
              </w:rPr>
            </w:pPr>
            <w:r>
              <w:rPr>
                <w:rFonts w:ascii="Times New Roman" w:cs="Times New Roman" w:eastAsia="Times New Roman" w:hAnsi="Times New Roman"/>
                <w:sz w:val="14"/>
                <w:szCs w:val="14"/>
                <w:color w:val="auto"/>
                <w:w w:val="99"/>
              </w:rPr>
              <w:t>shares of Class A common stock held by Innovation Group Investors, L.P. - 2011 Series, (v)</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26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of Class A common stock held by Lightbank Global LLC, (vi)</w:t>
            </w:r>
          </w:p>
        </w:tc>
        <w:tc>
          <w:tcPr>
            <w:tcW w:w="5220" w:type="dxa"/>
            <w:vAlign w:val="bottom"/>
            <w:gridSpan w:val="5"/>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held by Tempus Series B Investments, LLC. Mr. Lefkofsky is the controlling member of, and may be deemed to have shared voting, investment and dispositive power with respect to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shares held by, the aforementioned entities. On the date that is 181 days following the effective date of the registration statement of which this prospectus forms a part, Blue Media LLC,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58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controlling member of Tempus Series B Investments, LLC, will exchange</w:t>
            </w:r>
          </w:p>
        </w:tc>
        <w:tc>
          <w:tcPr>
            <w:tcW w:w="64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for all interests in Tempus Series B Investments, LLC such that following</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004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the exchange, Mr. Lefkofsky will continue be the controlling member of, and may be deemed to have shared voting, investment and dispositive power with respect to the</w:t>
            </w: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4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Class B common stock held by, Tempus Series B Investments,</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LLC. Mr. Lefkofsky also holds</w:t>
            </w:r>
          </w:p>
        </w:tc>
        <w:tc>
          <w:tcPr>
            <w:tcW w:w="556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RSUs, for which the service-based vesting condition would be satisfied within 60 days of</w:t>
            </w:r>
          </w:p>
        </w:tc>
        <w:tc>
          <w:tcPr>
            <w:tcW w:w="3300" w:type="dxa"/>
            <w:vAlign w:val="bottom"/>
          </w:tcPr>
          <w:p>
            <w:pPr>
              <w:jc w:val="right"/>
              <w:ind w:right="2570"/>
              <w:spacing w:after="0"/>
              <w:rPr>
                <w:sz w:val="20"/>
                <w:szCs w:val="20"/>
                <w:color w:val="auto"/>
              </w:rPr>
            </w:pPr>
            <w:r>
              <w:rPr>
                <w:rFonts w:ascii="Times New Roman" w:cs="Times New Roman" w:eastAsia="Times New Roman" w:hAnsi="Times New Roman"/>
                <w:sz w:val="14"/>
                <w:szCs w:val="14"/>
                <w:color w:val="auto"/>
              </w:rPr>
              <w:t>, 2023.</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w:t>
            </w:r>
          </w:p>
        </w:tc>
        <w:tc>
          <w:tcPr>
            <w:tcW w:w="6740" w:type="dxa"/>
            <w:vAlign w:val="bottom"/>
            <w:gridSpan w:val="6"/>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w:t>
            </w:r>
          </w:p>
        </w:tc>
        <w:tc>
          <w:tcPr>
            <w:tcW w:w="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0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2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2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274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760" w:type="dxa"/>
            <w:vAlign w:val="bottom"/>
            <w:gridSpan w:val="2"/>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4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0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740" w:type="dxa"/>
            <w:vAlign w:val="bottom"/>
          </w:tcPr>
          <w:p>
            <w:pPr>
              <w:jc w:val="right"/>
              <w:ind w:right="1010"/>
              <w:spacing w:after="0"/>
              <w:rPr>
                <w:sz w:val="20"/>
                <w:szCs w:val="20"/>
                <w:color w:val="auto"/>
              </w:rPr>
            </w:pPr>
            <w:r>
              <w:rPr>
                <w:rFonts w:ascii="Times New Roman" w:cs="Times New Roman" w:eastAsia="Times New Roman" w:hAnsi="Times New Roman"/>
                <w:sz w:val="14"/>
                <w:szCs w:val="14"/>
                <w:color w:val="auto"/>
              </w:rPr>
              <w:t>, 2023.</w:t>
            </w:r>
          </w:p>
        </w:tc>
        <w:tc>
          <w:tcPr>
            <w:tcW w:w="9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932"/>
        <w:spacing w:after="0" w:line="247" w:lineRule="auto"/>
        <w:rPr>
          <w:sz w:val="20"/>
          <w:szCs w:val="20"/>
          <w:color w:val="auto"/>
        </w:rPr>
      </w:pPr>
      <w:r>
        <w:rPr>
          <w:rFonts w:ascii="Times New Roman" w:cs="Times New Roman" w:eastAsia="Times New Roman" w:hAnsi="Times New Roman"/>
          <w:sz w:val="18"/>
          <w:szCs w:val="18"/>
          <w:color w:val="auto"/>
        </w:rPr>
        <w:t>shares of Class A common stock, which gives effect to (1) the Series G-3 Financing, (2) the conversion of all outstanding shares of convertible preferred stock, other than Series B preferred stock, into shares of Class A common stock, including the issuance of the Additional Class A Conversion Shares (based on an assumed initial public offering price of $ per share, the midpoint of the estimated price range set forth on the cover page of this prospectus), (3) the conversion of all outstanding shares of nonvoting common stock into 4,932,415 shares of Class A common stock, and (4) the issuance of approximately shares of Class A common stock upon settlement of RSUs for which the service-based vesting condition was satisfied on or before the date of the offering and for which the performance-based vesting condition will be satisfied in connection with this offering, which settlement will occur upon the expiration of the lock-up period in connection with this offering;</w:t>
      </w:r>
    </w:p>
    <w:p>
      <w:pPr>
        <w:spacing w:after="0" w:line="94"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000" w:hanging="549"/>
        <w:spacing w:after="0" w:line="267"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which assumes the conversion of all outstanding shares of convertible Series B preferred stock into 5,374,899 shares of Class B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64 stockholders of record as of December 31, 2021.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10,000,000 shares of our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December 31, 2022,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$221.1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December 31, 2022, there were 62,692,927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 12,134,788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2022, we had outstanding 5,905,471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December 31, 2022, on the closing of this offering, a total of shares of Class A common stock and 5,374,899 shares of Class B common stock will be outstanding, assuming the automatic conversion of (1) all of our outstanding shares of convertible preferred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prospectus), (2) all of our outstanding shares of Series B convertible preferred stock into an aggregate of 5,374,899 shares of Class B common stock and (3) all of our outstanding shares of nonvoting common stock into 4,932,415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6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14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ind w:left="1000" w:hanging="549"/>
        <w:spacing w:after="0" w:line="267"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2022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1340"/>
          </w:cols>
          <w:pgMar w:left="320" w:top="448" w:right="239" w:bottom="1440" w:gutter="0" w:footer="0" w:header="0"/>
          <w:type w:val="continuous"/>
        </w:sectPr>
      </w:pP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Upon the closing of this offering, the holders of transferees, will be entitled to certain rights with respect to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380" w:lineRule="exact"/>
        <w:rPr>
          <w:sz w:val="20"/>
          <w:szCs w:val="20"/>
          <w:color w:val="auto"/>
        </w:rPr>
      </w:pPr>
    </w:p>
    <w:p>
      <w:pPr>
        <w:sectPr>
          <w:pgSz w:w="11900" w:h="16838" w:orient="portrait"/>
          <w:cols w:equalWidth="0" w:num="2">
            <w:col w:w="4380" w:space="340"/>
            <w:col w:w="66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231</w:t>
      </w:r>
    </w:p>
    <w:p>
      <w:pPr>
        <w:sectPr>
          <w:pgSz w:w="11900" w:h="16838" w:orient="portrait"/>
          <w:cols w:equalWidth="0" w:num="1">
            <w:col w:w="11340"/>
          </w:cols>
          <w:pgMar w:left="320" w:top="448" w:right="23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“TL.”</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180th day after the date of this prospectus, referred to as the restricted period:</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549"/>
        <w:spacing w:after="0" w:line="255"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(ii) to an immediate family member or to any trust for the direct or indirect benefit of the holder or an immediate family member of the holder, (iii) to any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the undersigned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the company of shares of common stock or any securities convertible into or exercisable or exchangeable for common stock to satisfy any tax, including estimated tax, remittance, or other payment obligations of the holder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 otherwise), in all such cases pursuant to equity awards granted under a stock incentive plan or other equity award plan of the company described in this prospectus, provided that (i) any remaining shares of common stock received upon such vesting, settlement or exercise are subject to the aforementioned restrictions, (ii)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the company’s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1"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5" w:lineRule="exact"/>
        <w:rPr>
          <w:sz w:val="20"/>
          <w:szCs w:val="20"/>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in Hong Kong by means of any document other than (i) in circumstances which do not constitute an offer to the public within the meaning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firstLine="5"/>
        <w:spacing w:after="0" w:line="247" w:lineRule="auto"/>
        <w:tabs>
          <w:tab w:leader="none" w:pos="31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2022 and 2021, and for each of the two years in the period ended December 31, 2022,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95"/>
        </w:trPr>
        <w:tc>
          <w:tcPr>
            <w:tcW w:w="926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2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6"/>
              </w:rPr>
              <w:t>Tempus Labs, Inc.</w:t>
            </w:r>
          </w:p>
        </w:tc>
        <w:tc>
          <w:tcPr>
            <w:tcW w:w="202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2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20" w:type="dxa"/>
            <w:vAlign w:val="bottom"/>
          </w:tcPr>
          <w:p>
            <w:pPr>
              <w:spacing w:after="0"/>
              <w:rPr>
                <w:sz w:val="19"/>
                <w:szCs w:val="19"/>
                <w:color w:val="auto"/>
              </w:rPr>
            </w:pPr>
          </w:p>
        </w:tc>
      </w:tr>
      <w:tr>
        <w:trPr>
          <w:trHeight w:val="407"/>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60" w:type="dxa"/>
            <w:vAlign w:val="bottom"/>
            <w:gridSpan w:val="3"/>
          </w:tcPr>
          <w:p>
            <w:pPr>
              <w:spacing w:after="0"/>
              <w:rPr>
                <w:sz w:val="18"/>
                <w:szCs w:val="18"/>
                <w:color w:val="auto"/>
              </w:rPr>
            </w:pPr>
          </w:p>
        </w:tc>
        <w:tc>
          <w:tcPr>
            <w:tcW w:w="202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220" w:type="dxa"/>
            <w:vAlign w:val="bottom"/>
            <w:gridSpan w:val="6"/>
          </w:tcPr>
          <w:p>
            <w:pPr>
              <w:spacing w:after="0"/>
              <w:rPr>
                <w:sz w:val="16"/>
                <w:szCs w:val="16"/>
                <w:color w:val="auto"/>
              </w:rPr>
            </w:pPr>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700" w:type="dxa"/>
            <w:vAlign w:val="bottom"/>
            <w:gridSpan w:val="2"/>
          </w:tcPr>
          <w:p>
            <w:pPr>
              <w:spacing w:after="0"/>
              <w:rPr>
                <w:sz w:val="16"/>
                <w:szCs w:val="16"/>
                <w:color w:val="auto"/>
              </w:rPr>
            </w:pP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60" w:type="dxa"/>
            <w:vAlign w:val="bottom"/>
            <w:gridSpan w:val="5"/>
          </w:tcPr>
          <w:p>
            <w:pPr>
              <w:spacing w:after="0"/>
              <w:rPr>
                <w:sz w:val="16"/>
                <w:szCs w:val="16"/>
                <w:color w:val="auto"/>
              </w:rPr>
            </w:pP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6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400" w:type="dxa"/>
            <w:vAlign w:val="bottom"/>
          </w:tcPr>
          <w:p>
            <w:pPr>
              <w:spacing w:after="0"/>
              <w:rPr>
                <w:sz w:val="16"/>
                <w:szCs w:val="16"/>
                <w:color w:val="auto"/>
              </w:rPr>
            </w:pPr>
          </w:p>
        </w:tc>
        <w:tc>
          <w:tcPr>
            <w:tcW w:w="20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F-9-F-43</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color w:val="auto"/>
                <w:w w:val="95"/>
              </w:rPr>
              <w:t>F-1</w:t>
            </w:r>
          </w:p>
        </w:tc>
        <w:tc>
          <w:tcPr>
            <w:tcW w:w="2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80"/>
          </w:cols>
          <w:pgMar w:left="320" w:top="443" w:right="2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Labs,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Labs, Inc. and its subsidiaries (the “Company”) as of December 31, 2022 and 2021,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6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277,686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$284 and $2,942 at December 31, 2021 and 2022, respectively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82,244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22,908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17,291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403,988</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35,395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37,286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31,067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531,354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631,364</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2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33,753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40,694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dividends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114,806</w:t>
            </w: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238,236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221,094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37,800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23,090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440,554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734,248</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2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$0.0001 par value, 64,760,746 and 65,441,289 shares authorized at</w:t>
            </w: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2021 and 2022, respectively; 61,078,813 and 62,692,927 shares issued and outstanding at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2021 and 2022, respectively; aggregate liquidation preference of $913,138 and $1,043,757 at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December 31, 2021 and 2022, respectively</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898,291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1,026,143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w w:val="99"/>
              </w:rPr>
              <w:t>Voting Common Stock, $0.0001 par value, 187,075,184 shares authorized at December 31, 2021 and 2022, respectively,</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58,367,961 shares issued and outstanding at December 31, 2021 and 2022, respectively</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w w:val="99"/>
              </w:rPr>
              <w:t>Non-voting Common Stock, $0.0001 par value, 63,946,627 and 66,946,627 shares authorized at December 31, 2021 and</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2022, respectively; 4,612,450 and 4,932,415 shares issued and outstanding at December 31, 2021 and 2022,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(807,486)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(1,138,302)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(807,491)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(1,129,027)</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531,354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2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197,984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122,684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150,255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79,093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199,004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233,377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9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(35,758)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(297,736)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62,975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63,032</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(259,202)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52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9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99"/>
              </w:rPr>
              <w:t>(259,192)</w:t>
            </w: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(289,811)</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39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4,700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5,234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warrant asset</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4,720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23,881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30,029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3,867</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1,938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595</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381</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6,427</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455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4,747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14,649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(30,474)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9,489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67,626</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(7,801)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(6,746)</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11,362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22,803</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payable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16,395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90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(11,767)</w:t>
            </w:r>
          </w:p>
        </w:tc>
        <w:tc>
          <w:tcPr>
            <w:tcW w:w="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(18,377)</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(5.957)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escrow related to AKESOgen purchase (Note 3)</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(39,562)</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8,894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92,199</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(3,380)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(1,132)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170,625</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251,391</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r>
      <w:tr>
        <w:trPr>
          <w:trHeight w:val="360"/>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F-6</w:t>
            </w: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(235,750)</w:t>
            </w:r>
          </w:p>
        </w:tc>
        <w:tc>
          <w:tcPr>
            <w:tcW w:w="5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278,466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277,686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278,466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2,727</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2,391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17,142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4,947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Non-voting common stock issued in connection with contingent consideration</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 from adoption of Topic 842</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Finance lease liabilities arising from obtaining right-of-use assets from adoption of Topic 842</w:t>
            </w: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COMMON STOCK AND STOCKHOLDERS’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6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80" w:type="dxa"/>
            <w:vAlign w:val="bottom"/>
            <w:gridSpan w:val="5"/>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680" w:type="dxa"/>
            <w:vAlign w:val="bottom"/>
            <w:gridSpan w:val="5"/>
            <w:vMerge w:val="restart"/>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Voting</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restart"/>
          </w:tcPr>
          <w:p>
            <w:pPr>
              <w:ind w:left="300"/>
              <w:spacing w:after="0" w:line="145" w:lineRule="exact"/>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0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restart"/>
          </w:tcPr>
          <w:p>
            <w:pPr>
              <w:jc w:val="right"/>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restart"/>
          </w:tcPr>
          <w:p>
            <w:pPr>
              <w:jc w:val="right"/>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14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40" w:type="dxa"/>
            <w:vAlign w:val="bottom"/>
            <w:vMerge w:val="restart"/>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440" w:type="dxa"/>
            <w:vAlign w:val="bottom"/>
            <w:tcBorders>
              <w:bottom w:val="single" w:sz="8" w:color="auto"/>
            </w:tcBorders>
            <w:gridSpan w:val="4"/>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7"/>
                <w:szCs w:val="7"/>
                <w:color w:val="auto"/>
              </w:rPr>
            </w:pPr>
          </w:p>
        </w:tc>
        <w:tc>
          <w:tcPr>
            <w:tcW w:w="1040" w:type="dxa"/>
            <w:vAlign w:val="bottom"/>
            <w:gridSpan w:val="3"/>
            <w:vMerge w:val="restart"/>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
                <w:szCs w:val="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vMerge w:val="restart"/>
          </w:tcPr>
          <w:p>
            <w:pPr>
              <w:spacing w:after="0"/>
              <w:rPr>
                <w:sz w:val="2"/>
                <w:szCs w:val="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60,921,767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859,156</w:t>
            </w: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5"/>
              </w:rPr>
              <w:t>58,367,961</w:t>
            </w: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4,595,000</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(512,989)</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(512,984)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 net of</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157,046</w:t>
            </w:r>
          </w:p>
        </w:tc>
        <w:tc>
          <w:tcPr>
            <w:tcW w:w="8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8,894</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issuance costs of $106</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559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w w:val="85"/>
              </w:rPr>
              <w:t>106</w:t>
            </w:r>
          </w:p>
        </w:tc>
        <w:tc>
          <w:tcPr>
            <w:tcW w:w="2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30,135</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(35,305)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(35,758)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0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61,078,813</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898,291</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95"/>
              </w:rPr>
              <w:t>58,367,961</w:t>
            </w:r>
          </w:p>
        </w:tc>
        <w:tc>
          <w:tcPr>
            <w:tcW w:w="5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6</w:t>
            </w:r>
          </w:p>
        </w:tc>
        <w:tc>
          <w:tcPr>
            <w:tcW w:w="7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4,612,450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(807,486)</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(807,491)</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Issuance of Series G-3 Preferred Stock, net of</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920" w:type="dxa"/>
            <w:vAlign w:val="bottom"/>
            <w:gridSpan w:val="2"/>
            <w:vMerge w:val="continue"/>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1,614,114</w:t>
            </w:r>
          </w:p>
        </w:tc>
        <w:tc>
          <w:tcPr>
            <w:tcW w:w="8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92,199</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issuance costs of $301</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 to</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85"/>
              </w:rPr>
              <w:t>301</w:t>
            </w:r>
          </w:p>
        </w:tc>
        <w:tc>
          <w:tcPr>
            <w:tcW w:w="2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35,352</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 connection</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145,466</w:t>
            </w:r>
          </w:p>
        </w:tc>
        <w:tc>
          <w:tcPr>
            <w:tcW w:w="460" w:type="dxa"/>
            <w:vAlign w:val="bottom"/>
            <w:shd w:val="clear" w:color="auto" w:fill="CCEEFF"/>
          </w:tcPr>
          <w:p>
            <w:pPr>
              <w:spacing w:after="0"/>
              <w:rPr>
                <w:sz w:val="10"/>
                <w:szCs w:val="10"/>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4,304</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contingent consideration</w:t>
            </w: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 connection</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174,499</w:t>
            </w:r>
          </w:p>
        </w:tc>
        <w:tc>
          <w:tcPr>
            <w:tcW w:w="46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4,947</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business combination</w:t>
            </w: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Impact of adoption of Topic 842</w:t>
            </w:r>
          </w:p>
        </w:tc>
        <w:tc>
          <w:tcPr>
            <w:tcW w:w="8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6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0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62,692,927</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96"/>
              </w:rPr>
              <w:t>1,026,143</w:t>
            </w: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w w:val="95"/>
              </w:rPr>
              <w:t>58,367,961</w:t>
            </w:r>
          </w:p>
        </w:tc>
        <w:tc>
          <w:tcPr>
            <w:tcW w:w="58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6</w:t>
            </w:r>
          </w:p>
        </w:tc>
        <w:tc>
          <w:tcPr>
            <w:tcW w:w="7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4,932,415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9,251</w:t>
            </w:r>
          </w:p>
        </w:tc>
        <w:tc>
          <w:tcPr>
            <w:tcW w:w="1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rPr>
              <w:t>(1,138,302)</w:t>
            </w:r>
          </w:p>
        </w:tc>
        <w:tc>
          <w:tcPr>
            <w:tcW w:w="14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Labs,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and, ultimately, to Tempus Labs, Inc. in October 2016.</w:t>
      </w:r>
    </w:p>
    <w:p>
      <w:pPr>
        <w:spacing w:after="0" w:line="327" w:lineRule="exact"/>
        <w:rPr>
          <w:sz w:val="20"/>
          <w:szCs w:val="20"/>
          <w:color w:val="auto"/>
        </w:rPr>
      </w:pPr>
    </w:p>
    <w:p>
      <w:pPr>
        <w:ind w:left="460" w:right="6320" w:hanging="455"/>
        <w:spacing w:after="0" w:line="412" w:lineRule="auto"/>
        <w:tabs>
          <w:tab w:leader="none" w:pos="453"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Labs,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at December 31, 2022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Revenue from COVID-19 testing accounted for $94.7 million, or 36.7%, of our revenue in the year ended December 31, 2021 and $22.2 million, or 6.9%, of our revenue in the year ended December 31, 2022.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ended completely in the first quarter of 2023, at which time we shifted resources from COVID-19 testing to other aspects of the business.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Company considers all highly-liquid investments with an original maturity of three months or less from the date of purchase to be cash equivalents. Restricted cash primarily represents amounts that the Company is unable to access for operational purposes pursuant to a letter of credit with a financial institution in connection with an equipment lease. The Company had $0.8 million of restricted cash as of December 31, 2021 and 2022, respectively.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historical loss experience and any specific risks identified in collection matters. The Company had an allowance for doubtful accounts of $0.3 million and $2.9 million as of December 31, 2021 and 2022,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Revenue from one customer accounted for 7.2% and 8.3% of the Company’s revenues for the years ended December 31, 2021 and 2022, respectively. The amount due from this customer was approximately $9.7 million or 11.8%, and $6.9 million or 7.8%, of accounts receivable as of December 31, 2021 and 2022, respectively.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Three additional customers did not represent a significant portion of total revenues for the years ended December 31, 2021 and 2022 but accounted for $10.1 million or 11.4%, $6.3 million or 7.1%, and $6.1 million or 6.8%, respectively, of accounts receivable as of December 31, 2022. These three customers did not represent a significant portion of accounts receivable as of December 31, 2021.</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$94.7 million and $22.2 million or 36.7% and 6.9% of the Company’s total revenues for the years ended December 31, 2021 and 2022,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For the year ended December 31, 2021, the Company recorded $5.1 million of inventory write-downs to Cost of revenues, genomics, primarily related to the expiration of COVID-19 testing kits and oncology lab supplies. For the year ended December 31, 2022, the Company increased its inventory reserve by $1.9 million related to the expiration of COVID-19 testing kits. As of December 31, 2021, the Company had approximately $22.2 million of inventory and $0.7 million of inventory in process in the labs. As of December 31, 2022, the Company had approximately $21.1 million of inventory and $1.2 million of inventory in process in the labs.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25% and 35% of total vendor payments for the year ended December 31, 2021 and 2022, respectively. Amounts due to this vendor approximated $0.9 million and $8.2 million at December 31, 2021 and 2022,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$17.3 million and $19.5 million at December 31, 2021 and 2022,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2021 and 2022.</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2021 and 2022.</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Company’s outstanding promissory note (see Note 11) is accounted for in accordance with ASC 470. The Company determined the embedded conversion options, redemption features, and acceleration of repayment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 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2022, the Company’s lease liabilities did not include any options to extend or terminate any of its leases.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other”)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customers in an amount that reflects the consideration the Company expects to be entitled to in exchange for such products. This principle is achieved by applying the five-step approach:</w:t>
      </w:r>
    </w:p>
    <w:p>
      <w:pPr>
        <w:spacing w:after="0" w:line="170" w:lineRule="exact"/>
        <w:rPr>
          <w:sz w:val="20"/>
          <w:szCs w:val="20"/>
          <w:color w:val="auto"/>
        </w:rPr>
      </w:pPr>
    </w:p>
    <w:p>
      <w:pPr>
        <w:jc w:val="both"/>
        <w:ind w:firstLine="459"/>
        <w:spacing w:after="0" w:line="255" w:lineRule="auto"/>
        <w:tabs>
          <w:tab w:leader="none" w:pos="67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other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$195.0 million and $198.0 million for the years ended December 31, 2021 and 2022, respectively.</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$151.1 million and $157.2 million for the years ended December 31, 2021 and 2022, respectively.</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$43.9 million and $40.8 million for the years ended December 31, 2021 and 2022,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other</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Data and other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Data and other product offering when it has met its performance obligation under the terms of the agreement with the customer. A description of the Company’s two product offerings are as follows: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76" w:lineRule="exact"/>
        <w:rPr>
          <w:sz w:val="20"/>
          <w:szCs w:val="20"/>
          <w:color w:val="auto"/>
        </w:rPr>
      </w:pPr>
    </w:p>
    <w:p>
      <w:pPr>
        <w:jc w:val="both"/>
        <w:ind w:left="1000" w:hanging="549"/>
        <w:spacing w:after="0" w:line="252"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 </w:t>
      </w:r>
      <w:r>
        <w:rPr>
          <w:rFonts w:ascii="Times New Roman" w:cs="Times New Roman" w:eastAsia="Times New Roman" w:hAnsi="Times New Roman"/>
          <w:sz w:val="18"/>
          <w:szCs w:val="18"/>
          <w:color w:val="auto"/>
        </w:rPr>
        <w:t>Customer licenses a specific dataset of records, and the Company accounts for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9"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 </w:t>
      </w:r>
      <w:r>
        <w:rPr>
          <w:rFonts w:ascii="Times New Roman" w:cs="Times New Roman" w:eastAsia="Times New Roman" w:hAnsi="Times New Roman"/>
          <w:sz w:val="18"/>
          <w:szCs w:val="18"/>
          <w:color w:val="auto"/>
        </w:rPr>
        <w:t>Customer licenses an interchangeable maximum number of de-identified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 as a right to access license and one performance obligation. Revenue is recognized as access to the dataset is provided, ratably over-time, with the measure of progress time-based.</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 </w:t>
      </w:r>
      <w:r>
        <w:rPr>
          <w:rFonts w:ascii="Times New Roman" w:cs="Times New Roman" w:eastAsia="Times New Roman" w:hAnsi="Times New Roman"/>
          <w:sz w:val="18"/>
          <w:szCs w:val="18"/>
          <w:color w:val="auto"/>
        </w:rPr>
        <w:t>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2"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 </w:t>
      </w:r>
      <w:r>
        <w:rPr>
          <w:rFonts w:ascii="Times New Roman" w:cs="Times New Roman" w:eastAsia="Times New Roman" w:hAnsi="Times New Roman"/>
          <w:sz w:val="18"/>
          <w:szCs w:val="18"/>
          <w:color w:val="auto"/>
        </w:rPr>
        <w:t>Customer licenses access to the Company’s enhanced Lens application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recognized revenue from Insights products of $56.0 million and $90.1 million for the years ended December 31, 2021 and 2022,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recognized revenue from Trials products of $6.0 million and $31.2 million for the years ended December 31, 2021 and 2022, respectively.</w:t>
      </w:r>
    </w:p>
    <w:p>
      <w:pPr>
        <w:spacing w:after="0" w:line="23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other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$62.8 million and $122.7 million for the years ended December 31, 2021 and 2022, respectively.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the fourth quarter of 2021, the Company entered into certain new multi-year contracts that did not contain early termination or customer opt-in clauses. These contracts contained defined, noncancelable performance obligations that will be fulfilled in future years. In August 2022, the Company entered into a multi-year strategic collaboration agreement with GlaxoSmithKline (“GSK”), under which GSK has committed to spend a minimum of $180 million, of which $70 million was paid upon execution. The Company’s remaining performance obligations related to multi-year contracts was $129.1 million as of December 31, 2022, respectively, of which the Company expects to recognize approximately 42% of its remaining performance obligations as revenue next year, and the remaining 39%, and 19%, of its remaining performance obligations as revenue in years two and three, and respectively.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January 2023, the Company entered its second amendment with AstraZenca to increase certain data licensing services by $1.25 million per quarter through December 31, 2024. Thereafter, AstraZeneca will have the option to continue these services for the duration of the remaining financial commitment period.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2021 and December 31, 2022 included contract assets of $18.5 million and $7.6 million,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Prepaids expenses and other current assets.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2021 and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98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4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31,067</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40" w:type="dxa"/>
            <w:vAlign w:val="bottom"/>
          </w:tcPr>
          <w:p>
            <w:pPr>
              <w:spacing w:after="0"/>
              <w:rPr>
                <w:sz w:val="18"/>
                <w:szCs w:val="18"/>
                <w:color w:val="auto"/>
              </w:rPr>
            </w:pPr>
          </w:p>
        </w:tc>
      </w:tr>
      <w:tr>
        <w:trPr>
          <w:trHeight w:val="21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3260" w:type="dxa"/>
            <w:vAlign w:val="bottom"/>
            <w:gridSpan w:val="2"/>
            <w:shd w:val="clear" w:color="auto" w:fill="CCEEFF"/>
          </w:tcPr>
          <w:p>
            <w:pPr>
              <w:ind w:left="30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31,563</w:t>
            </w:r>
          </w:p>
        </w:tc>
      </w:tr>
      <w:tr>
        <w:trPr>
          <w:trHeight w:val="20"/>
        </w:trPr>
        <w:tc>
          <w:tcPr>
            <w:tcW w:w="5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product offering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$7.0 million and $13.8 million during the years ended December 31, 2021 and 2022, respectively, that was included in deferred revenue at the beginning of the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Cost of revenues for Genomics consists of personnel lab expenses, including salaries, bonuses, employee benefits, amortization of intangible assets, cost of laboratory supplies and consumables,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other</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other includes data acquisition and royalty fees, and personnel costs related to our delivery of our data services and platform,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2021 and 2022, the Company did not match any employee contributions.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Company had tax effected federal and state net operating loss (“NOL”) carry forwards of approximately $164.0 million and $32.8 million, respectively, which may be available to offset future taxable income. The NOLs will begin to expire in 2037.</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2021 and 2022, there are no uncertain positions taken or expected to be taken that would require recognition of a liability in the financial statements.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2022, the Company was not under audit in any jurisdiction.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$3.9 million and $5.3 million of deferred offering costs as of December 31, 2021 and 2022,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14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and G-3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year beginning January 1, 2021, and interim periods within annual periods beginning after December 15, 2021. Early adoption is permitted. The Company adopted the guidance as of January 1, 2021 on a prospective basis. The adoption did not have a material effect on the Company’s consolidated financial statements.</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The Company adopted the guidance as of January 1, 2021. The adoption did not have a material effect on the Company’s consolidated financial statements.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(ASU 2016-02), in February 2016. ASU 2016-02 requires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Business Combinations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clarifies that an acquirer of a business should recognize and measure contract assets and contract liabilities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an emerging growth company, the Company is provided the option to adopt new or revised accounting guidance either (1) within the same periods as those otherwise applicable to public business entities or (2) within the same time periods as private companies, including early adoption when permissible.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as indicated below.</w:t>
      </w:r>
    </w:p>
    <w:p>
      <w:pPr>
        <w:spacing w:after="0" w:line="21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ASU No. 2016-13 requires the measurement and recognition of expected credit losses for financial assets that are held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including trade receivables. ASU No. 2016-13 replaces the previous incurred loss impairment model with an expected loss model which requires the use of forward-looking information to calculate credit loss estimates. The guidance is effective for the Company beginning January 1, 2023, with early adoption permitted. The Company is currently evaluating the effect that this guidance will have on the consolidated financial statements and related disclosures. The adoption of the standard is not expected to materially impact the Company’s financial statements.</w:t>
      </w:r>
    </w:p>
    <w:p>
      <w:pPr>
        <w:spacing w:after="0" w:line="331" w:lineRule="exact"/>
        <w:rPr>
          <w:sz w:val="20"/>
          <w:szCs w:val="20"/>
          <w:color w:val="auto"/>
        </w:rPr>
      </w:pPr>
    </w:p>
    <w:p>
      <w:pPr>
        <w:ind w:left="460" w:hanging="455"/>
        <w:spacing w:after="0"/>
        <w:tabs>
          <w:tab w:leader="none" w:pos="4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Arterys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due back to Tempus as of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other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estimated net working capital deficiency of $0.5 million.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195"/>
        </w:trPr>
        <w:tc>
          <w:tcPr>
            <w:tcW w:w="106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93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Acquisition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deemed to be a purchase of assets for tax purposes, the tax basis in goodwill is equal to the book basis in goodwill, and it will be amortized over a 15 year period for tax purposes. The trade names and customer relationships intangible assets were established with seven year and three year remaining useful lives, respectively.</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Company’s operations as though the acquisition had occurred as of the beginning of the comparable period, January 1,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44"/>
        </w:trPr>
        <w:tc>
          <w:tcPr>
            <w:tcW w:w="6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660" w:type="dxa"/>
            <w:vAlign w:val="bottom"/>
          </w:tcPr>
          <w:p>
            <w:pPr>
              <w:spacing w:after="0"/>
              <w:rPr>
                <w:sz w:val="14"/>
                <w:szCs w:val="14"/>
                <w:color w:val="auto"/>
              </w:rPr>
            </w:pPr>
          </w:p>
        </w:tc>
        <w:tc>
          <w:tcPr>
            <w:tcW w:w="4580" w:type="dxa"/>
            <w:vAlign w:val="bottom"/>
            <w:gridSpan w:val="2"/>
          </w:tcPr>
          <w:p>
            <w:pPr>
              <w:jc w:val="center"/>
              <w:ind w:left="37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3"/>
        </w:trPr>
        <w:tc>
          <w:tcPr>
            <w:tcW w:w="6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269,211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4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(263,134)</w:t>
            </w:r>
          </w:p>
        </w:tc>
      </w:tr>
    </w:tbl>
    <w:p>
      <w:pPr>
        <w:spacing w:after="0" w:line="17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pro forma results have been prepared for comparative purposes only and are not necessarily indicative of the actual results of operations had the acquisition taken place as of the beginning of the period presented, or the results that may occur in the future. The results were prepared utilizing the actual results of the business, adjusted to include $2.1 million of amortization expense and $2.5 million of selling, general and administrative expense related to the contingent payments.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2022, Highline contributed $19.8 million in net revenue within the Data and other revenue line and $5.0 million of net loss to the consolidated Tempus results.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Labs Inc. purchased 100% of the issued and outstanding shares of capital stock of AKESOgen for $30.3 million, with an adjustment for working capital. In accordance with the terms of the agreement, $4.0 million of the consideration was held back, which was subsequently paid in July 2021. The transaction also included a contingent consideration arrangement to transfer shares of non-voting common stock to the former owners with an acquisition date fair value of $3.4 million, which the company recognized under long-term liabilities. The consideration was to be paid out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3"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w:t>
      </w:r>
    </w:p>
    <w:p>
      <w:pPr>
        <w:spacing w:after="0" w:line="327" w:lineRule="exact"/>
        <w:rPr>
          <w:sz w:val="20"/>
          <w:szCs w:val="20"/>
          <w:color w:val="auto"/>
        </w:rPr>
      </w:pPr>
    </w:p>
    <w:p>
      <w:pPr>
        <w:ind w:right="8100" w:firstLine="5"/>
        <w:spacing w:after="0" w:line="412" w:lineRule="auto"/>
        <w:tabs>
          <w:tab w:leader="none" w:pos="446"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2021 and 2022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90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r>
      <w:tr>
        <w:trPr>
          <w:trHeight w:val="203"/>
        </w:trPr>
        <w:tc>
          <w:tcPr>
            <w:tcW w:w="9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47,750</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100" w:type="dxa"/>
            <w:vAlign w:val="bottom"/>
            <w:shd w:val="clear" w:color="auto" w:fill="CCEEFF"/>
          </w:tcPr>
          <w:p>
            <w:pPr>
              <w:spacing w:after="0"/>
              <w:rPr>
                <w:sz w:val="17"/>
                <w:szCs w:val="17"/>
                <w:color w:val="auto"/>
              </w:rPr>
            </w:pPr>
          </w:p>
        </w:tc>
      </w:tr>
      <w:tr>
        <w:trPr>
          <w:trHeight w:val="210"/>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30,390</w:t>
            </w: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102,350</w:t>
            </w:r>
          </w:p>
        </w:tc>
        <w:tc>
          <w:tcPr>
            <w:tcW w:w="100" w:type="dxa"/>
            <w:vAlign w:val="bottom"/>
          </w:tcPr>
          <w:p>
            <w:pPr>
              <w:spacing w:after="0"/>
              <w:rPr>
                <w:sz w:val="18"/>
                <w:szCs w:val="18"/>
                <w:color w:val="auto"/>
              </w:rPr>
            </w:pPr>
          </w:p>
        </w:tc>
      </w:tr>
      <w:tr>
        <w:trPr>
          <w:trHeight w:val="210"/>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(42,644)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(58,245)</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$35,395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10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2022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9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7,504</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7,133</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9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9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90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32,439</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40,694</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 The commercial partnership agreement includes committed payments for access to the data and additional payments contingent on the commercialization of such data. The annual license fee commitment is not materially significant.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1st. The changes in the carrying amount of goodwill for the years ended December 31, 2021 and 2022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Goodwill related to business combinations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53,100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2021 and 2022.</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 During the years ended December 31, 2021, the gross amount of intangible assets increased $3.0 million, resulting from the extension of a research collaboration agreement. 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5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9"/>
                <w:szCs w:val="9"/>
                <w:color w:val="auto"/>
              </w:rPr>
            </w:pPr>
          </w:p>
        </w:tc>
        <w:tc>
          <w:tcPr>
            <w:tcW w:w="118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9"/>
                <w:szCs w:val="9"/>
                <w:color w:val="auto"/>
              </w:rPr>
            </w:pPr>
          </w:p>
        </w:tc>
        <w:tc>
          <w:tcPr>
            <w:tcW w:w="1120" w:type="dxa"/>
            <w:vAlign w:val="bottom"/>
            <w:gridSpan w:val="3"/>
          </w:tcPr>
          <w:p>
            <w:pPr>
              <w:jc w:val="right"/>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1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$ 17,300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4,943</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12,357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20,550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8,581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53,535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28,625</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55,612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18,433</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2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9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$ 70,854</w:t>
            </w:r>
          </w:p>
        </w:tc>
        <w:tc>
          <w:tcPr>
            <w:tcW w:w="4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33,568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84,181</w:t>
            </w:r>
          </w:p>
        </w:tc>
        <w:tc>
          <w:tcPr>
            <w:tcW w:w="4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37,278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F-25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Amortization of intangible assets is recognized using the straight-line method over their estimated useful lives, which range from three to seven years. Amortization expense was $10.1 million and $13.3 million for the years ended December 31, 2021 and December 31, 2022, respectively, and is recorded in cost of revenues, technology research and development or research and development, depending on use of the asset. The weighted average life of our intangibles is approximately seven years. As of December 31, 2022, the estimated future amortization expense related to intangible assets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$ 13,724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7540" w:hanging="455"/>
        <w:spacing w:after="0" w:line="366" w:lineRule="auto"/>
        <w:tabs>
          <w:tab w:leader="none" w:pos="45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spacing w:after="0" w:line="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2021 and 2022, the Company recognized data licensing and cloud computing expenses of $39.3 million and $31.1 million, respectively, related to non-cancelable arrangements.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2022, future payments under these contractual obligations were as follows (in thousands):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with one of the third parties, which will reduce future purchase obligations by a total of $8 million.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 Company had no outstanding litigation as of December 31, 2022.</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components of total lease costs for the year ended December 31, 2022 are as follows: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Lease term and discount rate as of December 31, 2022 are as follows:</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80" w:type="dxa"/>
            <w:vAlign w:val="bottom"/>
          </w:tcPr>
          <w:p>
            <w:pPr>
              <w:spacing w:after="0"/>
              <w:rPr>
                <w:sz w:val="19"/>
                <w:szCs w:val="19"/>
                <w:color w:val="auto"/>
              </w:rPr>
            </w:pP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future payments under operating and finance leases for each of the next five years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4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88"/>
              </w:rPr>
              <w:t>294</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74"/>
              </w:rPr>
              <w:t>6</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4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40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8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F-27</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elected the modified retrospective approach and is required to present previously disclosed information under the prior accounting standards for leases. Rent expense recorded under ASC 840 for the year ended December 31, 2021 was $9.3 million. As of December 31, 2021, the future payments under operating and capital leases for each of the next five years and thereafter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2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454</w:t>
            </w:r>
          </w:p>
        </w:tc>
        <w:tc>
          <w:tcPr>
            <w:tcW w:w="9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color w:val="auto"/>
                <w:w w:val="77"/>
              </w:rPr>
              <w:t>55</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710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liabilities</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liabilities</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right="8640" w:hanging="455"/>
        <w:spacing w:after="0" w:line="366" w:lineRule="auto"/>
        <w:tabs>
          <w:tab w:leader="none" w:pos="45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has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 controlled entities hold, in the aggregate, fewer than 10,000,000 shares of the Company’s capital stock (as adjusted for stock splits, stock dividends, combinations, subdivisions and recapitalizations).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$200 million to $300 million through December 2026.</w:t>
      </w:r>
    </w:p>
    <w:p>
      <w:pPr>
        <w:spacing w:after="0" w:line="329" w:lineRule="exact"/>
        <w:rPr>
          <w:sz w:val="20"/>
          <w:szCs w:val="20"/>
          <w:color w:val="auto"/>
        </w:rPr>
      </w:pPr>
    </w:p>
    <w:p>
      <w:pPr>
        <w:ind w:left="460" w:hanging="455"/>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2021 and December 31, 2022,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80" w:type="dxa"/>
            <w:vAlign w:val="bottom"/>
            <w:gridSpan w:val="3"/>
          </w:tcPr>
          <w:p>
            <w:pPr>
              <w:ind w:left="88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000" w:type="dxa"/>
            <w:vAlign w:val="bottom"/>
            <w:gridSpan w:val="3"/>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80" w:type="dxa"/>
            <w:vAlign w:val="bottom"/>
            <w:gridSpan w:val="3"/>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95,855</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134,939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232,934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2020/2021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60" w:hanging="455"/>
        <w:spacing w:after="0"/>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20" w:type="dxa"/>
            <w:vAlign w:val="bottom"/>
            <w:gridSpan w:val="4"/>
          </w:tcPr>
          <w:p>
            <w:pPr>
              <w:ind w:left="90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60" w:type="dxa"/>
            <w:vAlign w:val="bottom"/>
          </w:tcPr>
          <w:p>
            <w:pPr>
              <w:spacing w:after="0"/>
              <w:rPr>
                <w:sz w:val="9"/>
                <w:szCs w:val="9"/>
                <w:color w:val="auto"/>
              </w:rPr>
            </w:pPr>
          </w:p>
        </w:tc>
        <w:tc>
          <w:tcPr>
            <w:tcW w:w="880" w:type="dxa"/>
            <w:vAlign w:val="bottom"/>
          </w:tcPr>
          <w:p>
            <w:pPr>
              <w:jc w:val="right"/>
              <w:ind w:right="15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2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100,347</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99,479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143,036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246,911</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246,911</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3,453,139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1,614,114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2021 and 2022,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and Series G-3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Except for the holders of Series G-2 and Series G-3 Preferred, the holders of Series Preferred are entitled to dividends at a rate of 5% or 6% of the original issue price (subject to adjustment in the event of any stock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With the exception of the Series B Preferred stockholders, Preferred stockholders are entitled to the number of votes equal to the product obtained by multiplying the number of shares of voting common stock into which their shares could be converted. Series B Preferred stockholders are entitled to the number of votes equal to the product obtained by multiplying the number of shares of voting common stock into which their shares could be converted by ten.</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G-3, Series G-2, Series G, Series F, Series E, Series D, Series C, Series B-2, Series B-1, Series B, Series A.</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G-3 Preferred, Series G-2 Preferred, Series G Preferred ,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G-3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2021 and December 31, 2022. In the event of an initial public offering (“IPO”),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Series G-3 Preferred conversion price is subject to a 10% discount off the lesser of price per share of Class A Common Stock, and Series G-3 original issue price, or, if this offering is completed after June 30, 2023, a 15% discount off of the public offering price (“Special IPO Adjustment”).</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the lesser of a 10% discount off the lesser of price per share of Class A Common Stock or the Series G-3 original issue price, or, if the offering is completed after June 30, 2023, a 15% discount off of the public offering price, less (b) the product of 287,923 and the price per share of Class A Common Stock sold in the IPO. The agreement was signed with only one investor as an incentive to invest in Series G-3 Preferred.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23" w:lineRule="exact"/>
        <w:rPr>
          <w:sz w:val="20"/>
          <w:szCs w:val="20"/>
          <w:color w:val="auto"/>
        </w:rPr>
      </w:pPr>
    </w:p>
    <w:p>
      <w:pPr>
        <w:ind w:left="460" w:right="8160" w:hanging="455"/>
        <w:spacing w:after="0" w:line="366" w:lineRule="auto"/>
        <w:tabs>
          <w:tab w:leader="none" w:pos="453"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Labs, Inc. 2015 Stock Plan (the Plan), which has been amended and restated numerous times to increase the aggregate shares authorized to be issued to employees, consultants, and directors of the Company. As of December 31, 2021, there were 22,115,750 shares authorized under the Plan. In February 2022, the Plan was amended to increase the aggregate shares authorized to be issued, and as of December 31, 2022, there were 25,115,750 authorized under the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2021 and 2022, 971,331 shares and 2,476,611 shares, respectively, were available for future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$0.6 million in the year ended December 31, 2021 within Selling, general, and administrative expense. No stock-based compensation expense was recorded in the year ended December 31, 2022. The Company accounts for forfeitures as they occur.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0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10,344,419</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2,808,742</w:t>
            </w:r>
          </w:p>
        </w:tc>
        <w:tc>
          <w:tcPr>
            <w:tcW w:w="360" w:type="dxa"/>
            <w:vAlign w:val="bottom"/>
          </w:tcPr>
          <w:p>
            <w:pPr>
              <w:spacing w:after="0"/>
              <w:rPr>
                <w:sz w:val="18"/>
                <w:szCs w:val="18"/>
                <w:color w:val="auto"/>
              </w:rPr>
            </w:pP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(741,740)</w:t>
            </w: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Redeemed</w:t>
            </w:r>
          </w:p>
        </w:tc>
        <w:tc>
          <w:tcPr>
            <w:tcW w:w="8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12,411,421</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and 2022, the Company granted 2,255,425 and 2,808,742 Restricted Stock Units (“RSUs”), respectively. There were no restricted stock units that vested during the years ended December 31, 2020 and 2021. As of December 31, 2021 and December 31, 2022, there was $115.6 million and $200.4 million of unrecognized stock compensation expense relating to RSUs, respectively. Because of the liquidity event requirement, the Company cannot estimate the weighted-average period over which this expense will be recognized.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The first condition is the achievement of a valuation target.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1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36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86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866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8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5,995,000</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(96,404)</w:t>
            </w:r>
          </w:p>
        </w:tc>
        <w:tc>
          <w:tcPr>
            <w:tcW w:w="58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the Company granted 6,000,000 PSUs. During the year ended December 31, 2022, the Company granted no PSUs. As of December 31, 2021 and December 31, 2022, there was $244.0 and $242.4 million of unrecognized compensation expense related to Performance Stock Units, respectively. Because of the liquidity event requirement, the Company cannot estimate the weighted-average period over which this expense will be recognized should the performance condition be met.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center"/>
              <w:ind w:left="31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center"/>
              <w:ind w:left="59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center"/>
              <w:ind w:left="31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center"/>
              <w:ind w:left="59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2021 and 2022,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4,250,000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8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compensation cost was recognized for the years ended December 31, 2021 and 2022, respectively, and as of December 31, 2021 and 2022, there was no unrecognized compensation cost related to non-vested restricted stock awards, respectively.</w:t>
      </w:r>
    </w:p>
    <w:p>
      <w:pPr>
        <w:spacing w:after="0" w:line="312" w:lineRule="exact"/>
        <w:rPr>
          <w:sz w:val="20"/>
          <w:szCs w:val="20"/>
          <w:color w:val="auto"/>
        </w:rPr>
      </w:pPr>
    </w:p>
    <w:p>
      <w:pPr>
        <w:ind w:left="460" w:hanging="455"/>
        <w:spacing w:after="0"/>
        <w:tabs>
          <w:tab w:leader="none" w:pos="4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After the first three months from the effective date, each quarter, the Company has the option to convert the borrowing type to either a Base Rate Borrowing, which bears interest based on a</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92" w:lineRule="exact"/>
        <w:rPr>
          <w:sz w:val="20"/>
          <w:szCs w:val="20"/>
          <w:color w:val="auto"/>
        </w:rPr>
      </w:pPr>
    </w:p>
    <w:p>
      <w:pPr>
        <w:ind w:left="1020" w:hanging="392"/>
        <w:spacing w:after="0" w:line="267"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41"/>
        <w:spacing w:after="0"/>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 per annum</w:t>
      </w:r>
    </w:p>
    <w:p>
      <w:pPr>
        <w:spacing w:after="0" w:line="121" w:lineRule="exact"/>
        <w:rPr>
          <w:rFonts w:ascii="Times New Roman" w:cs="Times New Roman" w:eastAsia="Times New Roman" w:hAnsi="Times New Roman"/>
          <w:sz w:val="18"/>
          <w:szCs w:val="18"/>
          <w:color w:val="auto"/>
        </w:rPr>
      </w:pPr>
    </w:p>
    <w:p>
      <w:pPr>
        <w:ind w:left="1020" w:hanging="490"/>
        <w:spacing w:after="0" w:line="267" w:lineRule="auto"/>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80"/>
        <w:spacing w:after="0"/>
        <w:tabs>
          <w:tab w:leader="none" w:pos="10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 per annum</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the Company is required to generate consolidated revenues of $342.7 million and $459.1 million, respectively. The Company was in compliance with all covenants of the Credit Agreement as of December 31, 2022.</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original issue discount of $4.4 million and deferred financing fees of $2.6 million are amortized over the term of the underlying debt and unamortized amounts have been offset against long-term debt in the consolidated balance sheets. As of December 31, 2022, the unamortized original issue discount was $4.2 million and the unamortized deferred financing fees were $2.4 million.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Through December 31, 2022, the Company has not made any principal repayments on the Term Loan Facility. Through December 31, 2022, the Company made a $4.6 million interest payment. As of December 31, 2022, the interest rate on the Term Loan Facility is 10.5%. The Company recognized interest expense of $5.1 million related to the Term Loan Facility during the year ended December 31,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$15.2 million and $16.4 million during the year ended December 31, 2021 and 2022, respectively.</w:t>
      </w:r>
    </w:p>
    <w:p>
      <w:pPr>
        <w:spacing w:after="0" w:line="327" w:lineRule="exact"/>
        <w:rPr>
          <w:sz w:val="20"/>
          <w:szCs w:val="20"/>
          <w:color w:val="auto"/>
        </w:rPr>
      </w:pPr>
    </w:p>
    <w:p>
      <w:pPr>
        <w:ind w:left="460" w:hanging="455"/>
        <w:spacing w:after="0"/>
        <w:tabs>
          <w:tab w:leader="none" w:pos="4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 ended December 31, 2021 and 2022, respectively, all potentially dilutive common stock equivalents have been excluded from the calculation of diluted net loss per share attributable to common stockholders as their effect is anti-dilutive.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33"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b w:val="1"/>
          <w:bCs w:val="1"/>
          <w:color w:val="auto"/>
        </w:rPr>
        <w:t>Year-Ended</w:t>
      </w:r>
    </w:p>
    <w:p>
      <w:pPr>
        <w:ind w:left="9840"/>
        <w:spacing w:after="0" w:line="227"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9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2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7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(259,192)</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(289,811)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6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(35,758)</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6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(297,736</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(333,928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shared outstanding, basic and diluted</w:t>
            </w:r>
          </w:p>
        </w:tc>
        <w:tc>
          <w:tcPr>
            <w:tcW w:w="1260" w:type="dxa"/>
            <w:vAlign w:val="bottom"/>
            <w:gridSpan w:val="2"/>
          </w:tcPr>
          <w:p>
            <w:pPr>
              <w:jc w:val="right"/>
              <w:ind w:right="458"/>
              <w:spacing w:after="0"/>
              <w:rPr>
                <w:sz w:val="20"/>
                <w:szCs w:val="20"/>
                <w:color w:val="auto"/>
              </w:rPr>
            </w:pPr>
            <w:r>
              <w:rPr>
                <w:rFonts w:ascii="Times New Roman" w:cs="Times New Roman" w:eastAsia="Times New Roman" w:hAnsi="Times New Roman"/>
                <w:sz w:val="18"/>
                <w:szCs w:val="18"/>
                <w:color w:val="auto"/>
              </w:rPr>
              <w:t>62,975</w:t>
            </w:r>
          </w:p>
        </w:tc>
        <w:tc>
          <w:tcPr>
            <w:tcW w:w="1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63,032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1260" w:type="dxa"/>
            <w:vAlign w:val="bottom"/>
            <w:gridSpan w:val="2"/>
            <w:shd w:val="clear" w:color="auto" w:fill="CCEEFF"/>
          </w:tcPr>
          <w:p>
            <w:pPr>
              <w:jc w:val="right"/>
              <w:ind w:right="458"/>
              <w:spacing w:after="0"/>
              <w:rPr>
                <w:sz w:val="20"/>
                <w:szCs w:val="20"/>
                <w:color w:val="auto"/>
              </w:rPr>
            </w:pPr>
            <w:r>
              <w:rPr>
                <w:rFonts w:ascii="Times New Roman" w:cs="Times New Roman" w:eastAsia="Times New Roman" w:hAnsi="Times New Roman"/>
                <w:sz w:val="18"/>
                <w:szCs w:val="18"/>
                <w:color w:val="auto"/>
              </w:rPr>
              <w:t>$   (4.73)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F-36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92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4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8"/>
        </w:trPr>
        <w:tc>
          <w:tcPr>
            <w:tcW w:w="20" w:type="dxa"/>
            <w:vAlign w:val="bottom"/>
          </w:tcPr>
          <w:p>
            <w:pPr>
              <w:spacing w:after="0"/>
              <w:rPr>
                <w:sz w:val="11"/>
                <w:szCs w:val="11"/>
                <w:color w:val="auto"/>
              </w:rPr>
            </w:pPr>
          </w:p>
        </w:tc>
        <w:tc>
          <w:tcPr>
            <w:tcW w:w="892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1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CEEFF"/>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89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10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61,078,813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62,692,927</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63,179,270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64,647,918</w:t>
            </w: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10, the Company’s RSUs include a triggering liquidation performance condition prior to vesting. As disclosed in Note 11,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84"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As disclosed in Note 9, the Company’s Series G-3 Preferred contains two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40"/>
          </w:cols>
          <w:pgMar w:left="320" w:top="448"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5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$ 163,656</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7"/>
              </w:rPr>
              <w:t>$ 196,643</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10,784</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37,590</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$ 174,769</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$ 260,487</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3"/>
              </w:rPr>
              <w:t>(161,749)</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(244,064)</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(16,423)</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2021 and 2022 (in thousands):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(44,698)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(59,141)</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(66,827)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58,769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F-38</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00" w:type="dxa"/>
            <w:vAlign w:val="bottom"/>
          </w:tcPr>
          <w:p>
            <w:pPr>
              <w:spacing w:after="0"/>
              <w:rPr>
                <w:sz w:val="14"/>
                <w:szCs w:val="14"/>
                <w:color w:val="auto"/>
              </w:rPr>
            </w:pP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9300" w:type="dxa"/>
            <w:vAlign w:val="bottom"/>
          </w:tcPr>
          <w:p>
            <w:pPr>
              <w:spacing w:after="0"/>
              <w:rPr>
                <w:sz w:val="11"/>
                <w:szCs w:val="11"/>
                <w:color w:val="auto"/>
              </w:rPr>
            </w:pPr>
          </w:p>
        </w:tc>
        <w:tc>
          <w:tcPr>
            <w:tcW w:w="780" w:type="dxa"/>
            <w:vAlign w:val="bottom"/>
            <w:tcBorders>
              <w:top w:val="single" w:sz="8" w:color="auto"/>
            </w:tcBorders>
          </w:tcPr>
          <w:p>
            <w:pPr>
              <w:jc w:val="right"/>
              <w:ind w:right="16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72"/>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r>
      <w:tr>
        <w:trPr>
          <w:trHeight w:val="203"/>
        </w:trPr>
        <w:tc>
          <w:tcPr>
            <w:tcW w:w="9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(258,770)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(289,556)</w:t>
            </w:r>
          </w:p>
        </w:tc>
        <w:tc>
          <w:tcPr>
            <w:tcW w:w="120" w:type="dxa"/>
            <w:vAlign w:val="bottom"/>
            <w:tcBorders>
              <w:top w:val="single" w:sz="8" w:color="CCEEFF"/>
            </w:tcBorders>
            <w:shd w:val="clear" w:color="auto" w:fill="CCEEFF"/>
          </w:tcPr>
          <w:p>
            <w:pPr>
              <w:spacing w:after="0"/>
              <w:rPr>
                <w:sz w:val="17"/>
                <w:szCs w:val="17"/>
                <w:color w:val="auto"/>
              </w:rPr>
            </w:pPr>
          </w:p>
        </w:tc>
      </w:tr>
      <w:tr>
        <w:trPr>
          <w:trHeight w:val="22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2021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860" w:type="dxa"/>
            <w:vAlign w:val="bottom"/>
            <w:gridSpan w:val="4"/>
            <w:shd w:val="clear" w:color="auto" w:fill="CCEEFF"/>
          </w:tcPr>
          <w:p>
            <w:pPr>
              <w:jc w:val="right"/>
              <w:ind w:right="121"/>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0"/>
              </w:rPr>
              <w:t>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(22.73)%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(23.11)%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0"/>
              </w:rPr>
              <w:t>0.00%</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4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102,981</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58,768</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2021 or 2022.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(“NOL”) carry forwards of $163.8 million (tax effected) and state NOL carry forwards of approximately $32.8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2021 and 2022,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2021.</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2022 and 2021,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2021 and 2022.</w:t>
      </w:r>
    </w:p>
    <w:p>
      <w:pPr>
        <w:spacing w:after="0" w:line="312" w:lineRule="exact"/>
        <w:rPr>
          <w:sz w:val="20"/>
          <w:szCs w:val="20"/>
          <w:color w:val="auto"/>
        </w:rPr>
      </w:pPr>
    </w:p>
    <w:p>
      <w:pPr>
        <w:ind w:left="460" w:hanging="455"/>
        <w:spacing w:after="0"/>
        <w:tabs>
          <w:tab w:leader="none" w:pos="4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is subject to a contingent consideration arrangement to transfer non-voting shares of common stock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owners of a business acquired in December 2019. See Note 3, Business Combinations, for further discussion of that acquisition.</w:t>
      </w:r>
    </w:p>
    <w:p>
      <w:pPr>
        <w:spacing w:after="0" w:line="6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8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8,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7"/>
              </w:rPr>
              <w:t>Initial Public</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Stay</w:t>
            </w:r>
          </w:p>
        </w:tc>
      </w:tr>
      <w:tr>
        <w:trPr>
          <w:trHeight w:val="169"/>
        </w:trPr>
        <w:tc>
          <w:tcPr>
            <w:tcW w:w="36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Private</w:t>
            </w:r>
          </w:p>
        </w:tc>
      </w:tr>
      <w:tr>
        <w:trPr>
          <w:trHeight w:val="203"/>
        </w:trPr>
        <w:tc>
          <w:tcPr>
            <w:tcW w:w="3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5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7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top w:val="single" w:sz="8" w:color="CCEEFF"/>
            </w:tcBorders>
            <w:shd w:val="clear" w:color="auto" w:fill="CCEEFF"/>
          </w:tcPr>
          <w:p>
            <w:pPr>
              <w:spacing w:after="0"/>
              <w:rPr>
                <w:sz w:val="17"/>
                <w:szCs w:val="17"/>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4.02%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0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0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70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354"/>
        </w:trPr>
        <w:tc>
          <w:tcPr>
            <w:tcW w:w="3620" w:type="dxa"/>
            <w:vAlign w:val="bottom"/>
          </w:tcPr>
          <w:p>
            <w:pPr>
              <w:spacing w:after="0"/>
              <w:rPr>
                <w:sz w:val="24"/>
                <w:szCs w:val="24"/>
                <w:color w:val="auto"/>
              </w:rPr>
            </w:pPr>
          </w:p>
        </w:tc>
        <w:tc>
          <w:tcPr>
            <w:tcW w:w="7080" w:type="dxa"/>
            <w:vAlign w:val="bottom"/>
            <w:gridSpan w:val="3"/>
          </w:tcPr>
          <w:p>
            <w:pPr>
              <w:jc w:val="right"/>
              <w:ind w:right="4860"/>
              <w:spacing w:after="0"/>
              <w:rPr>
                <w:sz w:val="20"/>
                <w:szCs w:val="20"/>
                <w:color w:val="auto"/>
              </w:rPr>
            </w:pPr>
            <w:r>
              <w:rPr>
                <w:rFonts w:ascii="Times New Roman" w:cs="Times New Roman" w:eastAsia="Times New Roman" w:hAnsi="Times New Roman"/>
                <w:sz w:val="18"/>
                <w:szCs w:val="18"/>
                <w:color w:val="auto"/>
              </w:rPr>
              <w:t>F-40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6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Convertible promissory note</w:t>
      </w:r>
      <w:r>
        <w:rPr>
          <w:rFonts w:ascii="Times New Roman" w:cs="Times New Roman" w:eastAsia="Times New Roman" w:hAnsi="Times New Roman"/>
          <w:sz w:val="18"/>
          <w:szCs w:val="18"/>
          <w:color w:val="auto"/>
        </w:rPr>
        <w:t>—The Company has a convertible promissory note with Google, which is reduced each year based on a formula taking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the aggregate value of the Google Cloud Platform services used by us. The carrying value of the note is equivalent to the fair value. See Note 11 for further discussion of the note. The Company classifies the convertible promissory note as Level 3 due to the lack of relevant observable market data over fair value inputs.</w:t>
      </w:r>
    </w:p>
    <w:p>
      <w:pPr>
        <w:spacing w:after="0" w:line="76"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—In September 2022, the Company entered into a Credit Agreement with Ares for a term loan facility. The principal balance is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the unamortized portion of the original issue discount and deferred financing fees. The carrying value of the note is equivalent to the fair value. See Note 11 for further discussion of the term loan facility. The Company classifies the term loan facility as Level 3 due to the lack of relevant observable market data over fair value inputs.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10"/>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jc w:val="center"/>
              <w:ind w:right="40"/>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2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82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568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8,005</w:t>
            </w:r>
          </w:p>
        </w:tc>
        <w:tc>
          <w:tcPr>
            <w:tcW w:w="24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37,800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28"/>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  238,236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238,236</w:t>
            </w:r>
          </w:p>
        </w:tc>
        <w:tc>
          <w:tcPr>
            <w:tcW w:w="0" w:type="dxa"/>
            <w:vAlign w:val="bottom"/>
          </w:tcPr>
          <w:p>
            <w:pPr>
              <w:spacing w:after="0"/>
              <w:rPr>
                <w:sz w:val="1"/>
                <w:szCs w:val="1"/>
                <w:color w:val="auto"/>
              </w:rPr>
            </w:pPr>
          </w:p>
        </w:tc>
      </w:tr>
      <w:tr>
        <w:trPr>
          <w:trHeight w:val="363"/>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11"/>
          </w:tcPr>
          <w:p>
            <w:pPr>
              <w:ind w:left="38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5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top w:val="single" w:sz="8" w:color="auto"/>
            </w:tcBorders>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6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Market for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5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640" w:type="dxa"/>
            <w:vAlign w:val="bottom"/>
          </w:tcPr>
          <w:p>
            <w:pPr>
              <w:spacing w:after="0"/>
              <w:rPr>
                <w:sz w:val="12"/>
                <w:szCs w:val="12"/>
                <w:color w:val="auto"/>
              </w:rPr>
            </w:pPr>
          </w:p>
        </w:tc>
        <w:tc>
          <w:tcPr>
            <w:tcW w:w="86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Inputs (Level</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568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42,500</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221,094</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221,094</w:t>
            </w:r>
          </w:p>
        </w:tc>
        <w:tc>
          <w:tcPr>
            <w:tcW w:w="0" w:type="dxa"/>
            <w:vAlign w:val="bottom"/>
          </w:tcPr>
          <w:p>
            <w:pPr>
              <w:spacing w:after="0"/>
              <w:rPr>
                <w:sz w:val="1"/>
                <w:szCs w:val="1"/>
                <w:color w:val="auto"/>
              </w:rPr>
            </w:pPr>
          </w:p>
        </w:tc>
      </w:tr>
      <w:tr>
        <w:trPr>
          <w:trHeight w:val="228"/>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168,452</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168,452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5"/>
              </w:rPr>
              <w:t>Contingent</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Convertible</w:t>
            </w:r>
          </w:p>
        </w:tc>
      </w:tr>
      <w:tr>
        <w:trPr>
          <w:trHeight w:val="169"/>
        </w:trPr>
        <w:tc>
          <w:tcPr>
            <w:tcW w:w="38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r>
      <w:tr>
        <w:trPr>
          <w:trHeight w:val="203"/>
        </w:trPr>
        <w:tc>
          <w:tcPr>
            <w:tcW w:w="3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3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paid in cash</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warrant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37,800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reduction</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(11,764)</w:t>
            </w: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5,234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6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2"/>
              </w:rPr>
              <w:t>37,800</w:t>
            </w:r>
          </w:p>
        </w:tc>
        <w:tc>
          <w:tcPr>
            <w:tcW w:w="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10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3840" w:type="dxa"/>
            <w:vAlign w:val="bottom"/>
          </w:tcPr>
          <w:p>
            <w:pPr>
              <w:spacing w:after="0"/>
              <w:rPr>
                <w:sz w:val="24"/>
                <w:szCs w:val="24"/>
                <w:color w:val="auto"/>
              </w:rPr>
            </w:pPr>
          </w:p>
        </w:tc>
        <w:tc>
          <w:tcPr>
            <w:tcW w:w="38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F-41</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169"/>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Promissory Note</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Facility</w:t>
            </w:r>
          </w:p>
        </w:tc>
      </w:tr>
      <w:tr>
        <w:trPr>
          <w:trHeight w:val="203"/>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8,005</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$37,800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238,236</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term loan facility</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168,075</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5"/>
              </w:rPr>
              <w:t>(3,701)</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reduction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non-voting common shares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(4,304)</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8"/>
                <w:szCs w:val="18"/>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88"/>
              </w:rPr>
              <w:t>139</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42,500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221,094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168,452</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expense of $5.2 million in selling, general and administrative expense due to the change in the fair value of the contingent consideration liability.</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323" w:lineRule="exact"/>
        <w:rPr>
          <w:sz w:val="20"/>
          <w:szCs w:val="20"/>
          <w:color w:val="auto"/>
        </w:rPr>
      </w:pPr>
    </w:p>
    <w:p>
      <w:pPr>
        <w:ind w:left="460" w:hanging="455"/>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$1.0 million and $0.9 million for the years ended December 31, 2021 and 2022, respectively. Upon the adoption of ASC 842, the liability is amortized through the right-of-use asset as a reduction of rent expense over the lease term.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2021 and 2022.</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and 2022, there was no amount due to related parties. As of December 31, 2021 and 2022, respectively, the amount due from related parties was $0.4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On August 19, 2021, the Company entered into a related party arrangement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 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Company recognized $0.4 million in revenue for this access fee in the year ended December 31, 2022, respectively.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2022, the Company entered into two additional related party arrangements with Pathos for both sequencing and other data services. The Company recognized less than $0.2 million in revenue for both arrangements for the year ended December 31, 2022.</w:t>
      </w:r>
    </w:p>
    <w:p>
      <w:pPr>
        <w:spacing w:after="0" w:line="312" w:lineRule="exact"/>
        <w:rPr>
          <w:sz w:val="20"/>
          <w:szCs w:val="20"/>
          <w:color w:val="auto"/>
        </w:rPr>
      </w:pPr>
    </w:p>
    <w:p>
      <w:pPr>
        <w:ind w:left="460" w:hanging="455"/>
        <w:spacing w:after="0"/>
        <w:tabs>
          <w:tab w:leader="none" w:pos="4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2022, the Company evaluated subsequent events through April 28, 2023, the date on which those financial statements were available to be issued.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April 25, 2023, the Company signed an amendment to its Credit Agreement with Ares which provided an additional $50 million in term debt. The Company received $48.7 million in cash, which is the aggregate principal amount of $50 million less debt issuance costs of $1.3 million. The amendment increased the interest rate on both the original $175 million borrowing as well as the additional $50 million.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100" w:lineRule="exact"/>
        <w:rPr>
          <w:sz w:val="20"/>
          <w:szCs w:val="20"/>
          <w:color w:val="auto"/>
        </w:rPr>
      </w:pPr>
    </w:p>
    <w:p>
      <w:pPr>
        <w:sectPr>
          <w:pgSz w:w="11900" w:h="16838" w:orient="portrait"/>
          <w:cols w:equalWidth="0" w:num="2">
            <w:col w:w="8000" w:space="720"/>
            <w:col w:w="262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 2023.</w:t>
      </w:r>
    </w:p>
    <w:p>
      <w:pPr>
        <w:sectPr>
          <w:pgSz w:w="11900" w:h="16838" w:orient="portrait"/>
          <w:cols w:equalWidth="0" w:num="1">
            <w:col w:w="11340"/>
          </w:cols>
          <w:pgMar w:left="320" w:top="448" w:right="239" w:bottom="1440" w:gutter="0" w:footer="0" w:header="0"/>
          <w:type w:val="continuous"/>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6"/>
          <w:szCs w:val="16"/>
          <w:color w:val="auto"/>
        </w:rPr>
        <w:t>Unless otherwise indicated, all references to “Tempus,” the “company,” “we,” “our,” “us” or similar terms refer to Tempus Labs, Inc. and its subsidiaries.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8"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9" w:hanging="489"/>
        <w:spacing w:after="0"/>
        <w:tabs>
          <w:tab w:leader="none" w:pos="48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61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 w:lineRule="exact"/>
        <w:rPr>
          <w:sz w:val="20"/>
          <w:szCs w:val="20"/>
          <w:color w:val="auto"/>
        </w:rPr>
      </w:pPr>
    </w:p>
    <w:p>
      <w:pPr>
        <w:ind w:left="489" w:hanging="489"/>
        <w:spacing w:after="0"/>
        <w:tabs>
          <w:tab w:leader="none" w:pos="489"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0861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3086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10011" w:space="720"/>
            <w:col w:w="609"/>
          </w:cols>
          <w:pgMar w:left="320" w:top="448"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Labs, Inc., provided that such director or executive officer acted in good faith and in a manner that the director or executive officer reasonably believed to be in, or not opposed to, the best interest of Tempus Labs, Inc. At present, there is no pending litigation or proceeding involving a director or executive officer of Tempus Labs,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8" w:right="239"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2020:</w:t>
      </w:r>
    </w:p>
    <w:p>
      <w:pPr>
        <w:spacing w:after="0" w:line="121" w:lineRule="exact"/>
        <w:rPr>
          <w:sz w:val="20"/>
          <w:szCs w:val="20"/>
          <w:color w:val="auto"/>
        </w:rPr>
      </w:pPr>
    </w:p>
    <w:p>
      <w:pPr>
        <w:ind w:left="1460" w:hanging="444"/>
        <w:spacing w:after="0" w:line="267"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8,893,083 shares of our Class A common stock to our employees, consultants, and directors, having a fair market value ranging from $8.26 to $54.97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 exercise price equal to the price per share at which our common stock is valued in connection with the consummation of this offering.</w:t>
      </w:r>
    </w:p>
    <w:p>
      <w:pPr>
        <w:spacing w:after="0" w:line="88" w:lineRule="exact"/>
        <w:rPr>
          <w:rFonts w:ascii="Times New Roman" w:cs="Times New Roman" w:eastAsia="Times New Roman" w:hAnsi="Times New Roman"/>
          <w:sz w:val="18"/>
          <w:szCs w:val="18"/>
          <w:color w:val="auto"/>
        </w:rPr>
      </w:pPr>
    </w:p>
    <w:p>
      <w:pPr>
        <w:jc w:val="both"/>
        <w:ind w:left="1460" w:hanging="444"/>
        <w:spacing w:after="0" w:line="288" w:lineRule="auto"/>
        <w:tabs>
          <w:tab w:leader="none" w:pos="14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in December 2019, we issued 145,466 shares of Class A common stock to former stockholders of AKESOgen, Inc. in December 2022 with a fair value of approximately $3.4 million.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60" w:hanging="444"/>
        <w:spacing w:after="0" w:line="267" w:lineRule="auto"/>
        <w:tabs>
          <w:tab w:leader="none" w:pos="1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in connection with our acquisition of Arterys, Inc., we issued 174,499 shares of Class A common stock to former stockholders of Arterys, Inc.</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in connection with an agreement and plan of merger to acquire Mpirik, Inc., we issued 130,874 shares of Class A common stock to former stockholders of Mpirik, Inc.</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2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4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Certificate of Incorporation of Tempus Labs, Inc., as amended,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Tempus Labs, Inc.,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Tempus Labs, Inc.,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Tempus Labs, Inc. dated November 17, 2021 (included in Exhibit 10.16).</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Tenth Amended and Restated Investor Rights Agreement, dated April 18,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10.2+**</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10.3+**</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Forms of Grant Notices and Award Agreements under the Tempus Labs, Inc.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10.4+**</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10.5+**</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10.6+**</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Tempus Labs, Inc.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10.7+**</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Tempus Labs, Inc. and each director and executive officer.</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10.8+**</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Eric Lefkofsky, dated January 1,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10.9+**</w:t>
            </w:r>
          </w:p>
        </w:tc>
        <w:tc>
          <w:tcPr>
            <w:tcW w:w="34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Erik Phelps,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Ryan Fukushima,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Tempus Labs, Inc. and James Rogers, dated January 1, 2022.</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Tempus Labs, Inc.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Tempus Labs, Inc.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Convertible Promissory Note, by and between Tempus Labs, Inc.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Tempus Labs, Inc. and Pathos AI, Inc., dated August 19,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Services Agreement, by and between Tempus Labs, Inc. and AstraZeneca AB, dated November 17,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Tempus Labs, Inc. 2022 Employee Stock Purchase Plan.</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0860"/>
          </w:cols>
          <w:pgMar w:left="320" w:top="448" w:right="71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18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Strategic Collaboration Agreement, by and between Tempus Labs, Inc. and Glaxosmithkline LLC, dated August 1,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10.19#**</w:t>
            </w: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Credit Agreement, by and among Tempus Labs, Inc., the lenders party thereto, Ares Capital Corporation and Ares Capital Management LLC,</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dated September 22, 2022.</w:t>
            </w:r>
          </w:p>
        </w:tc>
        <w:tc>
          <w:tcPr>
            <w:tcW w:w="0" w:type="dxa"/>
            <w:vAlign w:val="bottom"/>
          </w:tcPr>
          <w:p>
            <w:pPr>
              <w:spacing w:after="0"/>
              <w:rPr>
                <w:sz w:val="1"/>
                <w:szCs w:val="1"/>
                <w:color w:val="auto"/>
              </w:rPr>
            </w:pPr>
          </w:p>
        </w:tc>
      </w:tr>
      <w:tr>
        <w:trPr>
          <w:trHeight w:val="297"/>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Limited Waiver and First Amendment to Credit Agreement, by and among Tempus Labs, Inc., the loan party signatories and lenders party</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thereto, and Ares Capital Corporation as administrative agent, dated April 25, 2023.</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Tempus Labs, Inc.</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101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340"/>
          </w:cols>
          <w:pgMar w:left="320" w:top="448" w:right="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2023.</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900" w:type="dxa"/>
            <w:vAlign w:val="bottom"/>
          </w:tcPr>
          <w:p>
            <w:pPr>
              <w:spacing w:after="0"/>
              <w:rPr>
                <w:sz w:val="24"/>
                <w:szCs w:val="24"/>
                <w:color w:val="auto"/>
              </w:rPr>
            </w:pPr>
          </w:p>
        </w:tc>
        <w:tc>
          <w:tcPr>
            <w:tcW w:w="6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TEMPUS LABS, INC.</w:t>
            </w:r>
          </w:p>
        </w:tc>
      </w:tr>
      <w:tr>
        <w:trPr>
          <w:trHeight w:val="459"/>
        </w:trPr>
        <w:tc>
          <w:tcPr>
            <w:tcW w:w="49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900" w:type="dxa"/>
            <w:vAlign w:val="bottom"/>
          </w:tcPr>
          <w:p>
            <w:pPr>
              <w:spacing w:after="0"/>
              <w:rPr>
                <w:sz w:val="17"/>
                <w:szCs w:val="17"/>
                <w:color w:val="auto"/>
              </w:rPr>
            </w:pPr>
          </w:p>
        </w:tc>
        <w:tc>
          <w:tcPr>
            <w:tcW w:w="2440" w:type="dxa"/>
            <w:vAlign w:val="bottom"/>
          </w:tcPr>
          <w:p>
            <w:pPr>
              <w:ind w:left="192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9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040"/>
          </w:cols>
          <w:pgMar w:left="320" w:top="448" w:right="5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LIMITED WAIVER AND FIRST AMENDMENT TO CREDIT AGREEMENT</w:t>
      </w:r>
    </w:p>
    <w:p>
      <w:pPr>
        <w:spacing w:after="0" w:line="215" w:lineRule="exact"/>
        <w:rPr>
          <w:sz w:val="20"/>
          <w:szCs w:val="20"/>
          <w:color w:val="auto"/>
        </w:rPr>
      </w:pPr>
    </w:p>
    <w:p>
      <w:pPr>
        <w:ind w:right="200" w:firstLine="428"/>
        <w:spacing w:after="0" w:line="285" w:lineRule="auto"/>
        <w:rPr>
          <w:sz w:val="20"/>
          <w:szCs w:val="20"/>
          <w:color w:val="auto"/>
        </w:rPr>
      </w:pPr>
      <w:r>
        <w:rPr>
          <w:rFonts w:ascii="Times New Roman" w:cs="Times New Roman" w:eastAsia="Times New Roman" w:hAnsi="Times New Roman"/>
          <w:sz w:val="16"/>
          <w:szCs w:val="16"/>
          <w:color w:val="auto"/>
        </w:rPr>
        <w:t>This LIMITED WAIVER AND FIRST AMENDMENT TO CREDIT AGREEMENT, dated as of April 25, 2023 (this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by and among Tempus Labs, Inc., a Delaware corporation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6"/>
          <w:szCs w:val="16"/>
          <w:color w:val="auto"/>
        </w:rPr>
        <w:t>”), each other Loan Party signatory hereto, Ares Capital Corporation, as administrative agent for the Lenders party to the Credit Agreement referred to below (in such capacity, the “</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6"/>
          <w:szCs w:val="16"/>
          <w:color w:val="auto"/>
        </w:rPr>
        <w:t>”), and the Lenders signatory hereto, each in their individual capacity as a Lender under the Credit Agreement as in effect immediately prior to this Amendment (each, an “</w:t>
      </w:r>
      <w:r>
        <w:rPr>
          <w:rFonts w:ascii="Times New Roman" w:cs="Times New Roman" w:eastAsia="Times New Roman" w:hAnsi="Times New Roman"/>
          <w:sz w:val="16"/>
          <w:szCs w:val="16"/>
          <w:u w:val="single" w:color="auto"/>
          <w:color w:val="auto"/>
        </w:rPr>
        <w:t>Existing Lender</w:t>
      </w:r>
      <w:r>
        <w:rPr>
          <w:rFonts w:ascii="Times New Roman" w:cs="Times New Roman" w:eastAsia="Times New Roman" w:hAnsi="Times New Roman"/>
          <w:sz w:val="16"/>
          <w:szCs w:val="16"/>
          <w:color w:val="auto"/>
        </w:rPr>
        <w:t xml:space="preserve">”), and in their capacity, as applicable, as a provider of the First Amendment Effective Date Term Loan Commitments (as defined below) set forth opposite such Lender’s name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attached hereto (each, a “</w:t>
      </w:r>
      <w:r>
        <w:rPr>
          <w:rFonts w:ascii="Times New Roman" w:cs="Times New Roman" w:eastAsia="Times New Roman" w:hAnsi="Times New Roman"/>
          <w:sz w:val="16"/>
          <w:szCs w:val="16"/>
          <w:u w:val="single" w:color="auto"/>
          <w:color w:val="auto"/>
        </w:rPr>
        <w:t>First Amendment Effective Date Term Lender</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right="220" w:firstLine="428"/>
        <w:spacing w:after="0" w:line="251" w:lineRule="auto"/>
        <w:rPr>
          <w:sz w:val="20"/>
          <w:szCs w:val="20"/>
          <w:color w:val="auto"/>
        </w:rPr>
      </w:pPr>
      <w:r>
        <w:rPr>
          <w:rFonts w:ascii="Times New Roman" w:cs="Times New Roman" w:eastAsia="Times New Roman" w:hAnsi="Times New Roman"/>
          <w:sz w:val="18"/>
          <w:szCs w:val="18"/>
          <w:color w:val="auto"/>
        </w:rPr>
        <w:t>WHEREAS, reference is hereby made to the Credit Agreement, dated as of September 22, 2022 (as amended, restated, amended and restated, supplemented or otherwise modified from time to time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Lenders party thereto from time to time, the Administrative Agent, and Ares Capital Management LLC, as Lead Arranger and Bookrunner;</w:t>
      </w:r>
    </w:p>
    <w:p>
      <w:pPr>
        <w:spacing w:after="0" w:line="184" w:lineRule="exact"/>
        <w:rPr>
          <w:sz w:val="20"/>
          <w:szCs w:val="20"/>
          <w:color w:val="auto"/>
        </w:rPr>
      </w:pPr>
    </w:p>
    <w:p>
      <w:pPr>
        <w:ind w:right="140" w:firstLine="428"/>
        <w:spacing w:after="0" w:line="249" w:lineRule="auto"/>
        <w:rPr>
          <w:sz w:val="20"/>
          <w:szCs w:val="20"/>
          <w:color w:val="auto"/>
        </w:rPr>
      </w:pPr>
      <w:r>
        <w:rPr>
          <w:rFonts w:ascii="Times New Roman" w:cs="Times New Roman" w:eastAsia="Times New Roman" w:hAnsi="Times New Roman"/>
          <w:sz w:val="18"/>
          <w:szCs w:val="18"/>
          <w:color w:val="auto"/>
        </w:rPr>
        <w:t>WHEREAS, the Borrower has requested that (i) the First Amendment Effective Date Term Lenders provide additional Term Loan Commitments to fund additional Term Loans in the aggregate principal amount of $50,000,000.00 (the “</w:t>
      </w:r>
      <w:r>
        <w:rPr>
          <w:rFonts w:ascii="Times New Roman" w:cs="Times New Roman" w:eastAsia="Times New Roman" w:hAnsi="Times New Roman"/>
          <w:sz w:val="18"/>
          <w:szCs w:val="18"/>
          <w:u w:val="single" w:color="auto"/>
          <w:color w:val="auto"/>
        </w:rPr>
        <w:t>First Amendment Effective Date Term Loan Commitments</w:t>
      </w:r>
      <w:r>
        <w:rPr>
          <w:rFonts w:ascii="Times New Roman" w:cs="Times New Roman" w:eastAsia="Times New Roman" w:hAnsi="Times New Roman"/>
          <w:sz w:val="18"/>
          <w:szCs w:val="18"/>
          <w:color w:val="auto"/>
        </w:rPr>
        <w:t>”; the Term Loans provided pursuant to the First Amendment Effective Date Term Loan Commitments, the “</w:t>
      </w:r>
      <w:r>
        <w:rPr>
          <w:rFonts w:ascii="Times New Roman" w:cs="Times New Roman" w:eastAsia="Times New Roman" w:hAnsi="Times New Roman"/>
          <w:sz w:val="18"/>
          <w:szCs w:val="18"/>
          <w:u w:val="single" w:color="auto"/>
          <w:color w:val="auto"/>
        </w:rPr>
        <w:t>First Amendment Effective Date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in the amounts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for working capital and general corporate purposes and (ii) make certain other amendments the Existing Credit Agreement as set forth herein;</w:t>
      </w:r>
    </w:p>
    <w:p>
      <w:pPr>
        <w:spacing w:after="0" w:line="187" w:lineRule="exact"/>
        <w:rPr>
          <w:sz w:val="20"/>
          <w:szCs w:val="20"/>
          <w:color w:val="auto"/>
        </w:rPr>
      </w:pPr>
    </w:p>
    <w:p>
      <w:pPr>
        <w:jc w:val="both"/>
        <w:ind w:right="160" w:firstLine="428"/>
        <w:spacing w:after="0" w:line="255" w:lineRule="auto"/>
        <w:rPr>
          <w:sz w:val="20"/>
          <w:szCs w:val="20"/>
          <w:color w:val="auto"/>
        </w:rPr>
      </w:pPr>
      <w:r>
        <w:rPr>
          <w:rFonts w:ascii="Times New Roman" w:cs="Times New Roman" w:eastAsia="Times New Roman" w:hAnsi="Times New Roman"/>
          <w:sz w:val="18"/>
          <w:szCs w:val="18"/>
          <w:color w:val="auto"/>
        </w:rPr>
        <w:t xml:space="preserve">WHEREAS, the Borrower has advised the Administrative Agent and the Lenders that certain Defaults and Events of Default have occurred and are continuing under the Existing Credit Agreement as of the date hereof as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(such existing Defaults and Events of Default, collectively, the “</w:t>
      </w:r>
      <w:r>
        <w:rPr>
          <w:rFonts w:ascii="Times New Roman" w:cs="Times New Roman" w:eastAsia="Times New Roman" w:hAnsi="Times New Roman"/>
          <w:sz w:val="18"/>
          <w:szCs w:val="18"/>
          <w:u w:val="single" w:color="auto"/>
          <w:color w:val="auto"/>
        </w:rPr>
        <w:t>Designated Defaults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428"/>
        <w:spacing w:after="0" w:line="267" w:lineRule="auto"/>
        <w:rPr>
          <w:sz w:val="20"/>
          <w:szCs w:val="20"/>
          <w:color w:val="auto"/>
        </w:rPr>
      </w:pPr>
      <w:r>
        <w:rPr>
          <w:rFonts w:ascii="Times New Roman" w:cs="Times New Roman" w:eastAsia="Times New Roman" w:hAnsi="Times New Roman"/>
          <w:sz w:val="18"/>
          <w:szCs w:val="18"/>
          <w:color w:val="auto"/>
        </w:rPr>
        <w:t>WHEREAS, the Borrower has requested that the Administrative Agent and the Lenders signatory hereto (i) waive the Designated Defaults and (ii) agree to make certain other amendments to the Existing Credit Agreement as more fully set forth herein; and</w:t>
      </w:r>
    </w:p>
    <w:p>
      <w:pPr>
        <w:spacing w:after="0" w:line="170" w:lineRule="exact"/>
        <w:rPr>
          <w:sz w:val="20"/>
          <w:szCs w:val="20"/>
          <w:color w:val="auto"/>
        </w:rPr>
      </w:pPr>
    </w:p>
    <w:p>
      <w:pPr>
        <w:ind w:right="160" w:firstLine="428"/>
        <w:spacing w:after="0" w:line="25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Amendment, (i) the First Amendment Effective Date Term Lenders with a First Amendment Effective Date Term Loan Commitment have agreed to make the First Amendment Effective Date Term Loans and (ii) the Administrative Agent and the Lenders constituting Required Lenders signatory hereto have agreed to (A) waive the Designated Defaults and (B) make such amendments to the Existing Credit Agreement as more fully set forth herein.</w:t>
      </w:r>
    </w:p>
    <w:p>
      <w:pPr>
        <w:spacing w:after="0" w:line="184" w:lineRule="exact"/>
        <w:rPr>
          <w:sz w:val="20"/>
          <w:szCs w:val="20"/>
          <w:color w:val="auto"/>
        </w:rPr>
      </w:pPr>
    </w:p>
    <w:p>
      <w:pPr>
        <w:ind w:right="360" w:firstLine="428"/>
        <w:spacing w:after="0" w:line="267" w:lineRule="auto"/>
        <w:rPr>
          <w:sz w:val="20"/>
          <w:szCs w:val="20"/>
          <w:color w:val="auto"/>
        </w:rPr>
      </w:pPr>
      <w:r>
        <w:rPr>
          <w:rFonts w:ascii="Times New Roman" w:cs="Times New Roman" w:eastAsia="Times New Roman" w:hAnsi="Times New Roman"/>
          <w:sz w:val="18"/>
          <w:szCs w:val="18"/>
          <w:color w:val="auto"/>
        </w:rPr>
        <w:t>NOW, THEREFORE, in consideration of the premises and agreements, provisions and covenants herein contained, the parties hereto agree as follows:</w:t>
      </w:r>
    </w:p>
    <w:p>
      <w:pPr>
        <w:spacing w:after="0" w:line="170" w:lineRule="exact"/>
        <w:rPr>
          <w:sz w:val="20"/>
          <w:szCs w:val="20"/>
          <w:color w:val="auto"/>
        </w:rPr>
      </w:pPr>
    </w:p>
    <w:p>
      <w:pPr>
        <w:ind w:right="160" w:firstLine="428"/>
        <w:spacing w:after="0" w:line="267"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specifically defined herein, each capitalized term used herein has the meaning assigned to such term in the Credit Agreement.</w:t>
      </w:r>
    </w:p>
    <w:p>
      <w:pPr>
        <w:spacing w:after="0" w:line="170" w:lineRule="exact"/>
        <w:rPr>
          <w:sz w:val="20"/>
          <w:szCs w:val="20"/>
          <w:color w:val="auto"/>
        </w:rPr>
      </w:pPr>
    </w:p>
    <w:p>
      <w:pPr>
        <w:jc w:val="both"/>
        <w:ind w:right="40" w:firstLine="428"/>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Notwithstanding anything to the contrary set forth in the Existing Credit Agreement, the Administrative Agent and the Lenders hereby waive the Designated Defaults and their right to take any action under the Credit Agreement or the other Loan Documents that they may otherwise have had as a result of the occurrence of the Designated Defaults. This is a limited, one time</w:t>
      </w:r>
    </w:p>
    <w:p>
      <w:pPr>
        <w:sectPr>
          <w:pgSz w:w="11900" w:h="16838" w:orient="portrait"/>
          <w:cols w:equalWidth="0" w:num="1">
            <w:col w:w="10720"/>
          </w:cols>
          <w:pgMar w:left="580" w:top="119" w:right="599" w:bottom="1440" w:gutter="0" w:footer="0" w:header="0"/>
        </w:sectPr>
      </w:pPr>
    </w:p>
    <w:bookmarkStart w:id="302" w:name="page303"/>
    <w:bookmarkEnd w:id="302"/>
    <w:p>
      <w:pPr>
        <w:ind w:right="360"/>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waiver and, except as expressly set forth herein, shall not be deemed to: (a) constitute a waiver of any Default or Event of Default (other than the Designated Defaults) or any other breach of the Existing Credit Agreement or any of the other Loan Documents, whether now existing or hereafter arising, (b) constitute a waiver of any right or remedy of the Administrative Agent or any of the Lenders under the Loan Documents which does not arise as a result of the Designated Defaults (all such rights and remedies being expressly reserved by the Administrative Agent and the Lenders),</w:t>
      </w:r>
    </w:p>
    <w:p>
      <w:pPr>
        <w:spacing w:after="0" w:line="3" w:lineRule="exact"/>
        <w:rPr>
          <w:sz w:val="20"/>
          <w:szCs w:val="20"/>
          <w:color w:val="auto"/>
        </w:rPr>
      </w:pPr>
    </w:p>
    <w:p>
      <w:pPr>
        <w:ind w:right="260" w:firstLine="8"/>
        <w:spacing w:after="0" w:line="244" w:lineRule="auto"/>
        <w:tabs>
          <w:tab w:leader="none" w:pos="2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custom or course of dealing or conduct between the Administrative Agent and the Lenders, on the one hand, and the Borrower or any other Loan Party on the other hand, or (d) not be deemed to constitute a consent of any other act, omission or any breach of the Existing Credit Agreement or any of the other Loan Documents. Except to the extent otherwise provided herein, the Existing Credit Agreement and each of the other Loan Documents shall remain in full force and effect in accordance with their respective terms.</w:t>
      </w:r>
    </w:p>
    <w:p>
      <w:pPr>
        <w:spacing w:after="0" w:line="191" w:lineRule="exact"/>
        <w:rPr>
          <w:sz w:val="20"/>
          <w:szCs w:val="20"/>
          <w:color w:val="auto"/>
        </w:rPr>
      </w:pPr>
    </w:p>
    <w:p>
      <w:pPr>
        <w:jc w:val="both"/>
        <w:ind w:right="220" w:firstLine="428"/>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Amendments to Existing Credit Agreement</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herein, on and as of the First Amendment Effective Date (as defined below), and in reliance upon the representations and warranties of the Loan Parties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the Existing Credit Agreement is hereby amended as follows:</w:t>
      </w:r>
    </w:p>
    <w:p>
      <w:pPr>
        <w:spacing w:after="0" w:line="75" w:lineRule="exact"/>
        <w:rPr>
          <w:sz w:val="20"/>
          <w:szCs w:val="20"/>
          <w:color w:val="auto"/>
        </w:rPr>
      </w:pPr>
    </w:p>
    <w:p>
      <w:pPr>
        <w:ind w:left="440" w:right="60" w:firstLine="407"/>
        <w:spacing w:after="0" w:line="251" w:lineRule="auto"/>
        <w:tabs>
          <w:tab w:leader="none" w:pos="108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Credit Agreement (excluding the schedules, exhibits and signature pages thereto)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bold, double-underlined text (indicated textually in the same manner as the following example: </w:t>
      </w:r>
      <w:r>
        <w:rPr>
          <w:rFonts w:ascii="Times New Roman" w:cs="Times New Roman" w:eastAsia="Times New Roman" w:hAnsi="Times New Roman"/>
          <w:sz w:val="18"/>
          <w:szCs w:val="18"/>
          <w:b w:val="1"/>
          <w:bCs w:val="1"/>
          <w:u w:val="single" w:color="auto"/>
          <w:color w:val="0000FF"/>
        </w:rPr>
        <w:t>double-underlined text</w:t>
      </w:r>
      <w:r>
        <w:rPr>
          <w:rFonts w:ascii="Times New Roman" w:cs="Times New Roman" w:eastAsia="Times New Roman" w:hAnsi="Times New Roman"/>
          <w:sz w:val="18"/>
          <w:szCs w:val="18"/>
          <w:color w:val="auto"/>
        </w:rPr>
        <w:t xml:space="preserve">) as set forth in the pages of the Credit Agreement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100" w:hanging="253"/>
        <w:spacing w:after="0"/>
        <w:tabs>
          <w:tab w:leader="none" w:pos="11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Existing Credit Agreement is hereby amended by and restated in its entirety to read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-311150</wp:posOffset>
            </wp:positionV>
            <wp:extent cx="108394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93" w:lineRule="exact"/>
        <w:rPr>
          <w:sz w:val="20"/>
          <w:szCs w:val="20"/>
          <w:color w:val="auto"/>
        </w:rPr>
      </w:pPr>
    </w:p>
    <w:p>
      <w:pPr>
        <w:ind w:right="140" w:firstLine="428"/>
        <w:spacing w:after="0" w:line="267"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Loan Party hereby represents and warrants to the Administrative Agent and each Lender that on the date hereof:</w:t>
      </w:r>
    </w:p>
    <w:p>
      <w:pPr>
        <w:spacing w:after="0" w:line="65" w:lineRule="exact"/>
        <w:rPr>
          <w:sz w:val="20"/>
          <w:szCs w:val="20"/>
          <w:color w:val="auto"/>
        </w:rPr>
      </w:pPr>
    </w:p>
    <w:p>
      <w:pPr>
        <w:ind w:left="440" w:right="40" w:firstLine="407"/>
        <w:spacing w:after="0" w:line="279" w:lineRule="auto"/>
        <w:tabs>
          <w:tab w:leader="none" w:pos="1089"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Loan Party (i) is duly organized or formed, validly existing and in good standing under the laws of the jurisdiction of its incorporation or organization, (ii) has the power and authority and all governmental rights, qualifications, approvals, authorizations, permits, accreditations, licenses and franchises material to the business of such Loan Party taken as a whole that are necessary to own its assets, to carry on its business as now conducted and as proposed to be conducted and to execute, deliver and perform its obligations under this Amendment and</w:t>
      </w:r>
    </w:p>
    <w:p>
      <w:pPr>
        <w:spacing w:after="0" w:line="2" w:lineRule="exact"/>
        <w:rPr>
          <w:rFonts w:ascii="Times New Roman" w:cs="Times New Roman" w:eastAsia="Times New Roman" w:hAnsi="Times New Roman"/>
          <w:sz w:val="16"/>
          <w:szCs w:val="16"/>
          <w:color w:val="auto"/>
        </w:rPr>
      </w:pPr>
    </w:p>
    <w:p>
      <w:pPr>
        <w:ind w:left="440" w:hanging="4"/>
        <w:spacing w:after="0" w:line="247" w:lineRule="auto"/>
        <w:tabs>
          <w:tab w:leader="none" w:pos="7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81" w:lineRule="exact"/>
        <w:rPr>
          <w:rFonts w:ascii="Times New Roman" w:cs="Times New Roman" w:eastAsia="Times New Roman" w:hAnsi="Times New Roman"/>
          <w:sz w:val="18"/>
          <w:szCs w:val="18"/>
          <w:color w:val="auto"/>
        </w:rPr>
      </w:pPr>
    </w:p>
    <w:p>
      <w:pPr>
        <w:ind w:left="440" w:right="580" w:firstLine="407"/>
        <w:spacing w:after="0" w:line="267" w:lineRule="auto"/>
        <w:tabs>
          <w:tab w:leader="none" w:pos="1099"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Loan Party is duly authorized by all necessary corporate or other action and, if required, stockholder action to enter into this Amendment;</w:t>
      </w:r>
    </w:p>
    <w:p>
      <w:pPr>
        <w:spacing w:after="0" w:line="64" w:lineRule="exact"/>
        <w:rPr>
          <w:rFonts w:ascii="Times New Roman" w:cs="Times New Roman" w:eastAsia="Times New Roman" w:hAnsi="Times New Roman"/>
          <w:sz w:val="18"/>
          <w:szCs w:val="18"/>
          <w:color w:val="auto"/>
        </w:rPr>
      </w:pPr>
    </w:p>
    <w:p>
      <w:pPr>
        <w:ind w:left="440" w:right="240" w:firstLine="407"/>
        <w:spacing w:after="0" w:line="302" w:lineRule="auto"/>
        <w:tabs>
          <w:tab w:leader="none" w:pos="1089"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executed and delivered by such Loan Party, this Amendment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40" w:lineRule="exact"/>
        <w:rPr>
          <w:rFonts w:ascii="Times New Roman" w:cs="Times New Roman" w:eastAsia="Times New Roman" w:hAnsi="Times New Roman"/>
          <w:sz w:val="16"/>
          <w:szCs w:val="16"/>
          <w:color w:val="auto"/>
        </w:rPr>
      </w:pPr>
    </w:p>
    <w:p>
      <w:pPr>
        <w:ind w:left="440" w:right="260" w:firstLine="407"/>
        <w:spacing w:after="0" w:line="331" w:lineRule="auto"/>
        <w:tabs>
          <w:tab w:leader="none" w:pos="1099"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such Loan Party of this Amendment and each other Loan Document to which it is a party, and the Borrowings by the Borrower under the Credit Agreement (as amended by this Amendment) (i) do not require any consent or approval</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6" w:right="599" w:bottom="1440" w:gutter="0" w:footer="0" w:header="0"/>
        </w:sectPr>
      </w:pPr>
    </w:p>
    <w:bookmarkStart w:id="303" w:name="page304"/>
    <w:bookmarkEnd w:id="303"/>
    <w:p>
      <w:pPr>
        <w:ind w:left="44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of, registration or filing with, or any other action by, any Governmental Authority, except such as have been obtained or made and are in full force and effect and except those that are required or permitted to be obtained following consummation of the transactions contemplated by this Amendment, the absence of which individually or in the aggregate are not reasonably likely to result in a Material Adverse Effect and filings necessary to perfect Liens created under the Loan Documents, (ii) will not violate any Requirement of Law applicable to such Loan Party, (iii) will not violate or result in a default under any indenture or other material agreement or instrument binding upon such Loan Party or any of its assets, or give rise to a right thereunder to require any payment to be made by such Loan Party or give rise to a right of, or result in, termination, cancellation or acceleration of any material obligation thereunder, (iv) will not result in the creation or imposition of any Lien on any asset of such Loan Party, except Liens created under the Loan Documents and (v) will not violate any judgment, order, decree or injunction that is binding upon such Loan Party or any of their respective properties;</w:t>
      </w:r>
    </w:p>
    <w:p>
      <w:pPr>
        <w:spacing w:after="0" w:line="86" w:lineRule="exact"/>
        <w:rPr>
          <w:sz w:val="20"/>
          <w:szCs w:val="20"/>
          <w:color w:val="auto"/>
        </w:rPr>
      </w:pPr>
    </w:p>
    <w:p>
      <w:pPr>
        <w:ind w:left="440" w:right="20" w:firstLine="407"/>
        <w:spacing w:after="0" w:line="247" w:lineRule="auto"/>
        <w:tabs>
          <w:tab w:leader="none" w:pos="108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First Amendment Effective Date, (a) the fair value of 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after the First Amendment Effective Date.</w:t>
      </w:r>
    </w:p>
    <w:p>
      <w:pPr>
        <w:spacing w:after="0" w:line="81" w:lineRule="exact"/>
        <w:rPr>
          <w:rFonts w:ascii="Times New Roman" w:cs="Times New Roman" w:eastAsia="Times New Roman" w:hAnsi="Times New Roman"/>
          <w:sz w:val="18"/>
          <w:szCs w:val="18"/>
          <w:color w:val="auto"/>
        </w:rPr>
      </w:pPr>
    </w:p>
    <w:p>
      <w:pPr>
        <w:ind w:left="440" w:right="220" w:firstLine="407"/>
        <w:spacing w:after="0" w:line="331" w:lineRule="auto"/>
        <w:tabs>
          <w:tab w:leader="none" w:pos="107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Default or Event of Default (other than the Designated Defaults) has occurred and is continuing or would result from the funding of the First Amendment Effective Date Term Loans and the consummation of the other transactions contemplated by this Amendment; and</w:t>
      </w:r>
    </w:p>
    <w:p>
      <w:pPr>
        <w:spacing w:after="0" w:line="17" w:lineRule="exact"/>
        <w:rPr>
          <w:rFonts w:ascii="Times New Roman" w:cs="Times New Roman" w:eastAsia="Times New Roman" w:hAnsi="Times New Roman"/>
          <w:sz w:val="16"/>
          <w:szCs w:val="16"/>
          <w:color w:val="auto"/>
        </w:rPr>
      </w:pPr>
    </w:p>
    <w:p>
      <w:pPr>
        <w:ind w:left="440" w:right="80" w:firstLine="407"/>
        <w:spacing w:after="0" w:line="247" w:lineRule="auto"/>
        <w:tabs>
          <w:tab w:leader="none" w:pos="109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Loan Party set forth in the Credit Agreement and the other Loan Documents are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hereof (other than those representations and warranties breached as a result of the occurrence of the Designated Defaults),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189" w:lineRule="exact"/>
        <w:rPr>
          <w:sz w:val="20"/>
          <w:szCs w:val="20"/>
          <w:color w:val="auto"/>
        </w:rPr>
      </w:pPr>
    </w:p>
    <w:p>
      <w:pPr>
        <w:ind w:right="100" w:firstLine="42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and each First Amendment Effective Date Term Lender’s obligation to provide the First Amendment Effective Date Term Loan Commitments shall become effective on the first date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when, and only when, each of the applicable conditions set forth below have been satisfied (or waived) in accordance with the terms herein:</w:t>
      </w:r>
    </w:p>
    <w:p>
      <w:pPr>
        <w:spacing w:after="0" w:line="75" w:lineRule="exact"/>
        <w:rPr>
          <w:sz w:val="20"/>
          <w:szCs w:val="20"/>
          <w:color w:val="auto"/>
        </w:rPr>
      </w:pPr>
    </w:p>
    <w:p>
      <w:pPr>
        <w:ind w:left="440" w:right="480" w:firstLine="921"/>
        <w:spacing w:after="0" w:line="255" w:lineRule="auto"/>
        <w:tabs>
          <w:tab w:leader="none" w:pos="160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the Borrower, each other Loan Party, the Existing Lenders constituting Required Lenders and each First Amendment Effective Date Term Lender a counterpart to this Amendment, duly executed and delivered on behalf of such party;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5" w:right="599" w:bottom="1440" w:gutter="0" w:footer="0" w:header="0"/>
        </w:sectPr>
      </w:pPr>
    </w:p>
    <w:bookmarkStart w:id="304" w:name="page305"/>
    <w:bookmarkEnd w:id="304"/>
    <w:p>
      <w:pPr>
        <w:ind w:left="440" w:right="240" w:firstLine="921"/>
        <w:spacing w:after="0" w:line="267" w:lineRule="auto"/>
        <w:tabs>
          <w:tab w:leader="none" w:pos="16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Administrative Agent shall have received each of the items set forth on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attached hereto, in each case, in form and substance reasonably acceptable to the Administrative Agent;</w:t>
      </w:r>
    </w:p>
    <w:p>
      <w:pPr>
        <w:spacing w:after="0" w:line="64" w:lineRule="exact"/>
        <w:rPr>
          <w:rFonts w:ascii="Times New Roman" w:cs="Times New Roman" w:eastAsia="Times New Roman" w:hAnsi="Times New Roman"/>
          <w:sz w:val="18"/>
          <w:szCs w:val="18"/>
          <w:color w:val="auto"/>
        </w:rPr>
      </w:pPr>
    </w:p>
    <w:p>
      <w:pPr>
        <w:ind w:left="440" w:firstLine="921"/>
        <w:spacing w:after="0" w:line="249" w:lineRule="auto"/>
        <w:tabs>
          <w:tab w:leader="none" w:pos="160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in dollars and in immediately available funds, for the benefit of each First Amendment Effective Date Term Lender, based on its pro rata share of the aggregate amount of the First Amendment Effective Date Term Loan on the First Amendment Effective Date, a non-refundable closing fee in an aggregate amount equal to 2.50% ($1,250,000.00) of the aggregate principal amount of the First Amendment Effective Date Term Loan, which such fee shall be fully earned, due and payable on the date hereof and paid from the proceeds of the First Amendment Effective Date Term Loans;</w:t>
      </w:r>
    </w:p>
    <w:p>
      <w:pPr>
        <w:spacing w:after="0" w:line="81" w:lineRule="exact"/>
        <w:rPr>
          <w:rFonts w:ascii="Times New Roman" w:cs="Times New Roman" w:eastAsia="Times New Roman" w:hAnsi="Times New Roman"/>
          <w:sz w:val="18"/>
          <w:szCs w:val="18"/>
          <w:color w:val="auto"/>
        </w:rPr>
      </w:pPr>
    </w:p>
    <w:p>
      <w:pPr>
        <w:ind w:left="440" w:right="100" w:firstLine="921"/>
        <w:spacing w:after="0" w:line="255" w:lineRule="auto"/>
        <w:tabs>
          <w:tab w:leader="none" w:pos="16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required to be paid on the First Amendment Effective Date pursuant to the Loan Documents (in the case of expenses, to the extent invoiced at least one (1) Business Day prior to the First Amendment Effective Date) shall have been paid from the proceeds of the First Amendment Effective Date Term Loans;</w:t>
      </w:r>
    </w:p>
    <w:p>
      <w:pPr>
        <w:spacing w:after="0" w:line="75" w:lineRule="exact"/>
        <w:rPr>
          <w:rFonts w:ascii="Times New Roman" w:cs="Times New Roman" w:eastAsia="Times New Roman" w:hAnsi="Times New Roman"/>
          <w:sz w:val="18"/>
          <w:szCs w:val="18"/>
          <w:color w:val="auto"/>
        </w:rPr>
      </w:pPr>
    </w:p>
    <w:p>
      <w:pPr>
        <w:ind w:left="1600" w:hanging="239"/>
        <w:spacing w:after="0"/>
        <w:tabs>
          <w:tab w:leader="none" w:pos="16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truth and accuracy of the representations and warranties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w:t>
      </w:r>
    </w:p>
    <w:p>
      <w:pPr>
        <w:spacing w:after="0" w:line="108" w:lineRule="exact"/>
        <w:rPr>
          <w:rFonts w:ascii="Times New Roman" w:cs="Times New Roman" w:eastAsia="Times New Roman" w:hAnsi="Times New Roman"/>
          <w:sz w:val="18"/>
          <w:szCs w:val="18"/>
          <w:color w:val="auto"/>
        </w:rPr>
      </w:pPr>
    </w:p>
    <w:p>
      <w:pPr>
        <w:ind w:left="440" w:right="340" w:firstLine="921"/>
        <w:spacing w:after="0" w:line="255" w:lineRule="auto"/>
        <w:tabs>
          <w:tab w:leader="none" w:pos="158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giving effect to this Amendment, the funding of the First Amendment Effective Date Term Loans and the consummation of the other transactions contemplated by this Amendment, no Default or Event of Default (other than the Designated Defaults) shall have occurred and be continuing.</w:t>
      </w:r>
    </w:p>
    <w:p>
      <w:pPr>
        <w:spacing w:after="0" w:line="180" w:lineRule="exact"/>
        <w:rPr>
          <w:sz w:val="20"/>
          <w:szCs w:val="20"/>
          <w:color w:val="auto"/>
        </w:rPr>
      </w:pPr>
    </w:p>
    <w:p>
      <w:pPr>
        <w:ind w:right="20" w:firstLine="428"/>
        <w:spacing w:after="0" w:line="24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Effect of Amendment; Reaffirmation and Ratification of Obligations; Etc.</w:t>
      </w:r>
      <w:r>
        <w:rPr>
          <w:rFonts w:ascii="Times New Roman" w:cs="Times New Roman" w:eastAsia="Times New Roman" w:hAnsi="Times New Roman"/>
          <w:sz w:val="18"/>
          <w:szCs w:val="18"/>
          <w:color w:val="auto"/>
        </w:rPr>
        <w:t xml:space="preserve"> Except as expressly set forth herein or in the Credit Agreement, this Amendment shall not by implication or otherwise limit, impair, constitute a waiver of or otherwise affect the rights and remedies of the Lenders or the Administrative Agent under the Credit Agreement or under any other Loan Document or constitute a course of conduct or dealing among the parties, and shall not alter, modify, amend or in any way affect any of the terms, conditions, obligations, covenants or agreements contained in the Credit Agreement or any other provision of the Credit Agreement or of any Loan Document, all of which are ratified and affirmed in all respects and shall continue in full force and effect. Each Loan Party hereby acknowledges and agrees that the Credit Agreement and each other Loan Document to which it is a party is hereby confirmed and ratified and shall remain in full force and effect according to its respective terms. On and as of the First Amendment Effective Date, each reference in the Credit Agreement to “this Agreement”, “hereof”, “hereunder”, “herein” and “hereby” and each other similar reference, and each reference in any Loan Document to “the Credit Agreement”, “thereof”, “thereunder”, “therein” or “thereby” or any other similar reference to the Credit Agreement shall refer to the Credit Agreement as amended by this Amendment. This Amendment constitutes a Loan Document.</w:t>
      </w:r>
    </w:p>
    <w:p>
      <w:pPr>
        <w:spacing w:after="0" w:line="196"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agreements of the Administrative Agent and the Lenders contained in this Amendment, each Loan Party hereby irrevocably releases and forever discharges the Administrative Agent and the Lenders and their respective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Loan Party ever had or now has against the Administrative Agent, any Lender or any other Released Person which relates, directly or indirectly, to any acts or omissions of the Administrative Agent, any Lender or any other Released Person relating to the Credit Agreement or any other Loan Document on or prior to the date hereof.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5" w:right="619" w:bottom="1440" w:gutter="0" w:footer="0" w:header="0"/>
        </w:sectPr>
      </w:pPr>
    </w:p>
    <w:bookmarkStart w:id="305" w:name="page306"/>
    <w:bookmarkEnd w:id="305"/>
    <w:p>
      <w:pPr>
        <w:ind w:right="160" w:firstLine="428"/>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used in this Amendment are for convenience only and shall not affect the construction of this Amendment.</w:t>
      </w:r>
    </w:p>
    <w:p>
      <w:pPr>
        <w:spacing w:after="0" w:line="193"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Amendment shall be construed in accordance with and governed by the laws of the State of New York. The provisions of </w:t>
      </w:r>
      <w:r>
        <w:rPr>
          <w:rFonts w:ascii="Times New Roman" w:cs="Times New Roman" w:eastAsia="Times New Roman" w:hAnsi="Times New Roman"/>
          <w:sz w:val="18"/>
          <w:szCs w:val="18"/>
          <w:u w:val="single" w:color="auto"/>
          <w:color w:val="auto"/>
        </w:rPr>
        <w:t>Section 9.09(b)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(d) and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are incorporated herein by reference,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and the parties hereto agree to such terms.</w:t>
      </w:r>
    </w:p>
    <w:p>
      <w:pPr>
        <w:spacing w:after="0" w:line="180" w:lineRule="exact"/>
        <w:rPr>
          <w:sz w:val="20"/>
          <w:szCs w:val="20"/>
          <w:color w:val="auto"/>
        </w:rPr>
      </w:pPr>
    </w:p>
    <w:p>
      <w:pPr>
        <w:ind w:right="20" w:firstLine="428"/>
        <w:spacing w:after="0" w:line="249"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 which shall constitute an original, but all of which when taken together shall constitute a single contract. This Amendment constitutes the entire contract among the parties relating to the subject matter hereof and supersede any and all previous agreements and understandings, oral or written, relating to the subject matter hereof. Delivery of an executed counterpart of a signature page of this Amendment by facsimile or electronic transmission shall be effective as delivery of a manually executed counterpart of this Amendment.</w:t>
      </w:r>
    </w:p>
    <w:p>
      <w:pPr>
        <w:spacing w:after="0" w:line="187" w:lineRule="exact"/>
        <w:rPr>
          <w:sz w:val="20"/>
          <w:szCs w:val="20"/>
          <w:color w:val="auto"/>
        </w:rPr>
      </w:pPr>
    </w:p>
    <w:p>
      <w:pPr>
        <w:ind w:firstLine="428"/>
        <w:spacing w:after="0" w:line="24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Covenants of New Lenders</w:t>
      </w:r>
      <w:r>
        <w:rPr>
          <w:rFonts w:ascii="Times New Roman" w:cs="Times New Roman" w:eastAsia="Times New Roman" w:hAnsi="Times New Roman"/>
          <w:sz w:val="18"/>
          <w:szCs w:val="18"/>
          <w:color w:val="auto"/>
        </w:rPr>
        <w:t>. Each First Amendment Effective Date Term Lender that was not a Lender of record immediately prior to the First Amendment Effective Date (a) represents and warrants that (i) from and after the First Amendment Effective Date, it shall be bound by the provisions of the Credit Agreement, as amended by this Amendment, as a Lender thereunder and, to the extent of its respective First Amendment Effective Date Term Loan Commitments and First Amendment Effective Date Term Loans, shall have the obligations and rights of a Lender thereunder and (ii) it has independently and without reliance upon the Administrative Agent or any other Lender and based on such documents and information as it has deemed appropriate, made its own credit analysis and decision to enter into this Amendment and to make its respective First Amendment Effective Date Term Loans and (b) agrees that (i) it will, independently and without reliance on the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5" w:right="619" w:bottom="1440" w:gutter="0" w:footer="0" w:header="0"/>
        </w:sectPr>
      </w:pPr>
    </w:p>
    <w:bookmarkStart w:id="306" w:name="page307"/>
    <w:bookmarkEnd w:id="306"/>
    <w:p>
      <w:pPr>
        <w:ind w:right="12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TEMPUS LABS,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AKESOGEN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Vice President of Finance &amp; Treasurer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TEMPUS COMPASS, LLC</w:t>
      </w:r>
      <w:r>
        <w:rPr>
          <w:rFonts w:ascii="Times New Roman" w:cs="Times New Roman" w:eastAsia="Times New Roman" w:hAnsi="Times New Roman"/>
          <w:sz w:val="16"/>
          <w:szCs w:val="16"/>
          <w:color w:val="auto"/>
        </w:rPr>
        <w:t>, a California limited liability</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company (f/k/a HIGHLINE CONSULTING</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LLC)</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Tempus Labs, Inc., its Sole Member</w:t>
      </w:r>
    </w:p>
    <w:p>
      <w:pPr>
        <w:spacing w:after="0" w:line="213"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ARTERYS INC.</w:t>
      </w:r>
      <w:r>
        <w:rPr>
          <w:rFonts w:ascii="Times New Roman" w:cs="Times New Roman" w:eastAsia="Times New Roman" w:hAnsi="Times New Roman"/>
          <w:sz w:val="18"/>
          <w:szCs w:val="18"/>
          <w:color w:val="auto"/>
        </w:rPr>
        <w:t>, a Delaware corporation</w:t>
      </w:r>
    </w:p>
    <w:p>
      <w:pPr>
        <w:spacing w:after="0" w:line="21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James Rogers</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Waiver and First Amendment to Credit Agreement</w:t>
      </w:r>
    </w:p>
    <w:p>
      <w:pPr>
        <w:sectPr>
          <w:pgSz w:w="11900" w:h="16838" w:orient="portrait"/>
          <w:cols w:equalWidth="0" w:num="1">
            <w:col w:w="10540"/>
          </w:cols>
          <w:pgMar w:left="580" w:top="265" w:right="779" w:bottom="1440" w:gutter="0" w:footer="0" w:header="0"/>
        </w:sectPr>
      </w:pPr>
    </w:p>
    <w:bookmarkStart w:id="307" w:name="page308"/>
    <w:bookmarkEnd w:id="307"/>
    <w:p>
      <w:pPr>
        <w:ind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CAPITAL CORPORATION,</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as Administrative Agent, an Existing Lender and First</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Amendment Effective Date Term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M.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 Kort Schnabel</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Partner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Waiver and First Amendment to Credit Agreement</w:t>
      </w:r>
    </w:p>
    <w:p>
      <w:pPr>
        <w:sectPr>
          <w:pgSz w:w="11900" w:h="16838" w:orient="portrait"/>
          <w:cols w:equalWidth="0" w:num="1">
            <w:col w:w="10420"/>
          </w:cols>
          <w:pgMar w:left="580" w:top="265" w:right="899" w:bottom="1440" w:gutter="0" w:footer="0" w:header="0"/>
        </w:sectPr>
      </w:pPr>
    </w:p>
    <w:bookmarkStart w:id="308" w:name="page309"/>
    <w:bookmarkEnd w:id="308"/>
    <w:p>
      <w:pPr>
        <w:ind w:right="26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9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CREDIT STRATEGIES INSURANCE</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DEDICATED FUND SERIES INTERESTS OF THE</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SALI MULTI-SERIES FUND, L.P.</w:t>
      </w:r>
      <w:r>
        <w:rPr>
          <w:rFonts w:ascii="Times New Roman" w:cs="Times New Roman" w:eastAsia="Times New Roman" w:hAnsi="Times New Roman"/>
          <w:sz w:val="16"/>
          <w:szCs w:val="16"/>
          <w:color w:val="auto"/>
        </w:rPr>
        <w:t>, as an Existing Lender</w:t>
      </w:r>
    </w:p>
    <w:p>
      <w:pPr>
        <w:spacing w:after="0" w:line="2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and First Amendment Effective Date Term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Management LLC, its investment subadvisor</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Capital Management LLC, as subadvisor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SFERS CREDIT STRATEGIES FUND LLC</w:t>
      </w:r>
      <w:r>
        <w:rPr>
          <w:rFonts w:ascii="Times New Roman" w:cs="Times New Roman" w:eastAsia="Times New Roman" w:hAnsi="Times New Roman"/>
          <w:sz w:val="18"/>
          <w:szCs w:val="18"/>
          <w:color w:val="auto"/>
        </w:rPr>
        <w:t>, as</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an Existing Lender and First Amendment Effective Date</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Term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By: Ares Capital Management LLC, its investment manager</w:t>
      </w:r>
    </w:p>
    <w:p>
      <w:pPr>
        <w:spacing w:after="0" w:line="23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ARES DIRECT FINANCE I LP</w:t>
      </w:r>
      <w:r>
        <w:rPr>
          <w:rFonts w:ascii="Times New Roman" w:cs="Times New Roman" w:eastAsia="Times New Roman" w:hAnsi="Times New Roman"/>
          <w:sz w:val="18"/>
          <w:szCs w:val="18"/>
          <w:color w:val="auto"/>
        </w:rPr>
        <w:t>, as an Existing Lender</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and First Amendment Effective Date Term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By: Ares Capital Management LLC, its investment manager</w:t>
      </w:r>
    </w:p>
    <w:p>
      <w:pPr>
        <w:spacing w:after="0" w:line="236"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Waiver and First Amendment to Credit Agreement</w:t>
      </w:r>
    </w:p>
    <w:p>
      <w:pPr>
        <w:sectPr>
          <w:pgSz w:w="11900" w:h="16838" w:orient="portrait"/>
          <w:cols w:equalWidth="0" w:num="1">
            <w:col w:w="10680"/>
          </w:cols>
          <w:pgMar w:left="580" w:top="265" w:right="639" w:bottom="1440" w:gutter="0" w:footer="0" w:header="0"/>
        </w:sectPr>
      </w:pPr>
    </w:p>
    <w:bookmarkStart w:id="309" w:name="page310"/>
    <w:bookmarkEnd w:id="309"/>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LENDERS (continued):</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b w:val="1"/>
          <w:bCs w:val="1"/>
          <w:color w:val="auto"/>
        </w:rPr>
        <w:t>ARES DIVERSIFIED CREDIT STRATEGIES FUND</w:t>
      </w:r>
    </w:p>
    <w:p>
      <w:pPr>
        <w:spacing w:after="0" w:line="4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(S), L.P.</w:t>
      </w:r>
      <w:r>
        <w:rPr>
          <w:rFonts w:ascii="Times New Roman" w:cs="Times New Roman" w:eastAsia="Times New Roman" w:hAnsi="Times New Roman"/>
          <w:sz w:val="18"/>
          <w:szCs w:val="18"/>
          <w:color w:val="auto"/>
        </w:rPr>
        <w:t>, as an Existing Lender and First Amendment</w:t>
      </w:r>
    </w:p>
    <w:p>
      <w:pPr>
        <w:spacing w:after="0" w:line="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Effective Date Term Lender</w:t>
      </w:r>
    </w:p>
    <w:p>
      <w:pPr>
        <w:spacing w:after="0" w:line="19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Management LLC, its investment manager</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Ares Management LLC, its sub-advisor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Kort Schnabel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M. Kort Schnabel</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Waiver and First Amendment to Credit Agreement</w:t>
      </w:r>
    </w:p>
    <w:p>
      <w:pPr>
        <w:sectPr>
          <w:pgSz w:w="11900" w:h="16838" w:orient="portrait"/>
          <w:cols w:equalWidth="0" w:num="1">
            <w:col w:w="10500"/>
          </w:cols>
          <w:pgMar w:left="580" w:top="263" w:right="819" w:bottom="1440" w:gutter="0" w:footer="0" w:header="0"/>
        </w:sectPr>
      </w:pPr>
    </w:p>
    <w:bookmarkStart w:id="310" w:name="page311"/>
    <w:bookmarkEnd w:id="310"/>
    <w:p>
      <w:pPr>
        <w:ind w:left="6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AO MIDDLE MARKET CREDIT FINANCING L.P.,</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AO Middle Market Credit Financing GP Ltd., its</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195" w:lineRule="exact"/>
        <w:rPr>
          <w:sz w:val="20"/>
          <w:szCs w:val="20"/>
          <w:color w:val="auto"/>
        </w:rPr>
      </w:pPr>
    </w:p>
    <w:tbl>
      <w:tblPr>
        <w:tblLayout w:type="fixed"/>
        <w:tblInd w:w="644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Patel</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K. Patel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Ehrlich</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7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Jeremy Ehrlich</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Waiver and First Amendment to Credit Agreement</w:t>
      </w:r>
    </w:p>
    <w:p>
      <w:pPr>
        <w:sectPr>
          <w:pgSz w:w="11900" w:h="16838" w:orient="portrait"/>
          <w:cols w:equalWidth="0" w:num="1">
            <w:col w:w="10720"/>
          </w:cols>
          <w:pgMar w:left="580" w:top="263" w:right="599" w:bottom="1440" w:gutter="0" w:footer="0" w:header="0"/>
        </w:sectPr>
      </w:pPr>
    </w:p>
    <w:bookmarkStart w:id="311" w:name="page312"/>
    <w:bookmarkEnd w:id="311"/>
    <w:p>
      <w:pPr>
        <w:ind w:left="6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AO MIDDLE MARKET CREDIT L.P., </w:t>
      </w:r>
      <w:r>
        <w:rPr>
          <w:rFonts w:ascii="Times New Roman" w:cs="Times New Roman" w:eastAsia="Times New Roman" w:hAnsi="Times New Roman"/>
          <w:sz w:val="18"/>
          <w:szCs w:val="18"/>
          <w:color w:val="auto"/>
        </w:rPr>
        <w:t>as a Lender</w:t>
      </w:r>
    </w:p>
    <w:p>
      <w:pPr>
        <w:spacing w:after="0" w:line="21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by its general partner, OCM Middle Market Credit G.P. Inc.</w:t>
      </w:r>
    </w:p>
    <w:p>
      <w:pPr>
        <w:spacing w:after="0" w:line="236" w:lineRule="exact"/>
        <w:rPr>
          <w:sz w:val="20"/>
          <w:szCs w:val="20"/>
          <w:color w:val="auto"/>
        </w:rPr>
      </w:pPr>
    </w:p>
    <w:tbl>
      <w:tblPr>
        <w:tblLayout w:type="fixed"/>
        <w:tblInd w:w="6500" w:type="dxa"/>
        <w:tblCellMar>
          <w:top w:w="0" w:type="dxa"/>
          <w:left w:w="0" w:type="dxa"/>
          <w:bottom w:w="0" w:type="dxa"/>
          <w:right w:w="0" w:type="dxa"/>
        </w:tblCellMar>
      </w:tblP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Patel</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K. Patel</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2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Jeremy Ehrlich</w:t>
            </w:r>
          </w:p>
        </w:tc>
      </w:tr>
      <w:tr>
        <w:trPr>
          <w:trHeight w:val="198"/>
        </w:trPr>
        <w:tc>
          <w:tcPr>
            <w:tcW w:w="5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36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Jeremy Ehrlich</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Waiver and First Amendment to Credit Agreement</w:t>
      </w:r>
    </w:p>
    <w:p>
      <w:pPr>
        <w:sectPr>
          <w:pgSz w:w="11900" w:h="16838" w:orient="portrait"/>
          <w:cols w:equalWidth="0" w:num="1">
            <w:col w:w="10720"/>
          </w:cols>
          <w:pgMar w:left="580" w:top="263" w:right="599" w:bottom="1440" w:gutter="0" w:footer="0" w:header="0"/>
        </w:sectPr>
      </w:pPr>
    </w:p>
    <w:bookmarkStart w:id="312" w:name="page313"/>
    <w:bookmarkEnd w:id="312"/>
    <w:p>
      <w:pPr>
        <w:ind w:left="64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LENDERS (continued):</w:t>
      </w:r>
    </w:p>
    <w:p>
      <w:pPr>
        <w:spacing w:after="0" w:line="21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b w:val="1"/>
          <w:bCs w:val="1"/>
          <w:color w:val="auto"/>
        </w:rPr>
        <w:t>CDPQ REVENU FIXE AMÉRICAIN V INC</w:t>
      </w:r>
      <w:r>
        <w:rPr>
          <w:rFonts w:ascii="Times New Roman" w:cs="Times New Roman" w:eastAsia="Times New Roman" w:hAnsi="Times New Roman"/>
          <w:sz w:val="18"/>
          <w:szCs w:val="18"/>
          <w:color w:val="auto"/>
        </w:rPr>
        <w:t>., as an</w:t>
      </w:r>
    </w:p>
    <w:p>
      <w:pPr>
        <w:spacing w:after="0" w:line="2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Existing Lender and First Amendment Effective Date Term</w:t>
      </w:r>
    </w:p>
    <w:p>
      <w:pPr>
        <w:spacing w:after="0" w:line="2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Lender</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Pierre-Yves Cyr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Pierre-Yves Cyr</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95"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Nicolas Rouault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4448175</wp:posOffset>
            </wp:positionH>
            <wp:positionV relativeFrom="paragraph">
              <wp:posOffset>13335</wp:posOffset>
            </wp:positionV>
            <wp:extent cx="23590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Nicolas Rouault</w:t>
      </w:r>
    </w:p>
    <w:p>
      <w:pPr>
        <w:spacing w:after="0" w:line="21"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Waiver and First Amendment to Credit Agreement</w:t>
      </w:r>
    </w:p>
    <w:p>
      <w:pPr>
        <w:sectPr>
          <w:pgSz w:w="11900" w:h="16838" w:orient="portrait"/>
          <w:cols w:equalWidth="0" w:num="1">
            <w:col w:w="10600"/>
          </w:cols>
          <w:pgMar w:left="580" w:top="263" w:right="719" w:bottom="1440" w:gutter="0" w:footer="0" w:header="0"/>
        </w:sectPr>
      </w:pPr>
    </w:p>
    <w:bookmarkStart w:id="313" w:name="page314"/>
    <w:bookmarkEnd w:id="3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First Amendment Effective Date Term Loan Commitments</w:t>
      </w:r>
    </w:p>
    <w:p>
      <w:pPr>
        <w:sectPr>
          <w:pgSz w:w="11900" w:h="16838" w:orient="portrait"/>
          <w:cols w:equalWidth="0" w:num="1">
            <w:col w:w="9019"/>
          </w:cols>
          <w:pgMar w:left="1440" w:top="263" w:right="1440"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Designated Defaults</w:t>
      </w:r>
    </w:p>
    <w:p>
      <w:pPr>
        <w:sectPr>
          <w:pgSz w:w="11900" w:h="16838" w:orient="portrait"/>
          <w:cols w:equalWidth="0" w:num="1">
            <w:col w:w="9019"/>
          </w:cols>
          <w:pgMar w:left="1440" w:top="263" w:right="1440" w:bottom="1440" w:gutter="0" w:footer="0" w:header="0"/>
        </w:sectPr>
      </w:pPr>
    </w:p>
    <w:bookmarkStart w:id="315" w:name="page316"/>
    <w:bookmarkEnd w:id="31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ANNEX 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3" w:right="1440" w:bottom="1440" w:gutter="0" w:footer="0" w:header="0"/>
        </w:sectPr>
      </w:pPr>
    </w:p>
    <w:bookmarkStart w:id="316" w:name="page317"/>
    <w:bookmarkEnd w:id="316"/>
    <w:p>
      <w:pPr>
        <w:ind w:left="5660"/>
        <w:spacing w:after="0"/>
        <w:rPr>
          <w:sz w:val="20"/>
          <w:szCs w:val="20"/>
          <w:color w:val="auto"/>
        </w:rPr>
      </w:pPr>
      <w:r>
        <w:rPr>
          <w:rFonts w:ascii="Times New Roman" w:cs="Times New Roman" w:eastAsia="Times New Roman" w:hAnsi="Times New Roman"/>
          <w:sz w:val="16"/>
          <w:szCs w:val="16"/>
          <w:b w:val="1"/>
          <w:bCs w:val="1"/>
          <w:i w:val="1"/>
          <w:iCs w:val="1"/>
          <w:color w:val="FF0000"/>
          <w:strike w:val="1"/>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w:t>
      </w:r>
      <w:r>
        <w:rPr>
          <w:rFonts w:ascii="Times New Roman" w:cs="Times New Roman" w:eastAsia="Times New Roman" w:hAnsi="Times New Roman"/>
          <w:sz w:val="13"/>
          <w:szCs w:val="13"/>
          <w:b w:val="1"/>
          <w:bCs w:val="1"/>
          <w:i w:val="1"/>
          <w:iCs w:val="1"/>
          <w:color w:val="FF0000"/>
          <w:strike w:val="1"/>
        </w:rPr>
        <w:t>XECUTION</w:t>
      </w:r>
      <w:r>
        <w:rPr>
          <w:rFonts w:ascii="Times New Roman" w:cs="Times New Roman" w:eastAsia="Times New Roman" w:hAnsi="Times New Roman"/>
          <w:sz w:val="16"/>
          <w:szCs w:val="16"/>
          <w:b w:val="1"/>
          <w:bCs w:val="1"/>
          <w:i w:val="1"/>
          <w:iCs w:val="1"/>
          <w:color w:val="FF0000"/>
        </w:rPr>
        <w:t xml:space="preserve"> V</w:t>
      </w:r>
      <w:r>
        <w:rPr>
          <w:rFonts w:ascii="Times New Roman" w:cs="Times New Roman" w:eastAsia="Times New Roman" w:hAnsi="Times New Roman"/>
          <w:sz w:val="13"/>
          <w:szCs w:val="13"/>
          <w:b w:val="1"/>
          <w:bCs w:val="1"/>
          <w:i w:val="1"/>
          <w:iCs w:val="1"/>
          <w:color w:val="FF0000"/>
          <w:strike w:val="1"/>
        </w:rPr>
        <w:t>ERSION</w:t>
      </w:r>
      <w:r>
        <w:rPr>
          <w:rFonts w:ascii="Times New Roman" w:cs="Times New Roman" w:eastAsia="Times New Roman" w:hAnsi="Times New Roman"/>
          <w:sz w:val="16"/>
          <w:szCs w:val="16"/>
          <w:i w:val="1"/>
          <w:iCs w:val="1"/>
          <w:u w:val="single" w:color="auto"/>
          <w:color w:val="0000FF"/>
        </w:rPr>
        <w:t>Annex A to First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-43815</wp:posOffset>
            </wp:positionV>
            <wp:extent cx="1016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1600" cy="8255"/>
                    </a:xfrm>
                    <a:prstGeom prst="rect">
                      <a:avLst/>
                    </a:prstGeom>
                    <a:noFill/>
                  </pic:spPr>
                </pic:pic>
              </a:graphicData>
            </a:graphic>
          </wp:anchor>
        </w:drawing>
        <w:drawing>
          <wp:anchor simplePos="0" relativeHeight="251657728" behindDoc="1" locked="0" layoutInCell="0" allowOverlap="1">
            <wp:simplePos x="0" y="0"/>
            <wp:positionH relativeFrom="column">
              <wp:posOffset>4598035</wp:posOffset>
            </wp:positionH>
            <wp:positionV relativeFrom="paragraph">
              <wp:posOffset>39370</wp:posOffset>
            </wp:positionV>
            <wp:extent cx="220916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CREDIT AGREEMENT</w:t>
      </w:r>
      <w:r>
        <w:rPr>
          <w:rFonts w:ascii="Times New Roman" w:cs="Times New Roman" w:eastAsia="Times New Roman" w:hAnsi="Times New Roman"/>
          <w:sz w:val="11"/>
          <w:szCs w:val="11"/>
          <w:u w:val="single" w:color="auto"/>
          <w:color w:val="0000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13335</wp:posOffset>
            </wp:positionV>
            <wp:extent cx="336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22, 2022</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the Borrower</w:t>
      </w:r>
      <w:r>
        <w:rPr>
          <w:rFonts w:ascii="Times New Roman" w:cs="Times New Roman" w:eastAsia="Times New Roman" w:hAnsi="Times New Roman"/>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3747770</wp:posOffset>
            </wp:positionH>
            <wp:positionV relativeFrom="paragraph">
              <wp:posOffset>10795</wp:posOffset>
            </wp:positionV>
            <wp:extent cx="247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0000"/>
          <w:strike w:val="1"/>
        </w:rPr>
        <w:t>The</w:t>
      </w:r>
      <w:r>
        <w:rPr>
          <w:rFonts w:ascii="Times New Roman" w:cs="Times New Roman" w:eastAsia="Times New Roman" w:hAnsi="Times New Roman"/>
          <w:sz w:val="18"/>
          <w:szCs w:val="18"/>
          <w:u w:val="single" w:color="auto"/>
          <w:color w:val="0000FF"/>
        </w:rPr>
        <w:t>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Party Hereto</w:t>
      </w:r>
      <w:r>
        <w:rPr>
          <w:rFonts w:ascii="Times New Roman" w:cs="Times New Roman" w:eastAsia="Times New Roman" w:hAnsi="Times New Roman"/>
          <w:sz w:val="18"/>
          <w:szCs w:val="18"/>
          <w:u w:val="single" w:color="auto"/>
          <w:color w:val="0000FF"/>
        </w:rPr>
        <w:t>party hereto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from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Time</w:t>
      </w:r>
      <w:r>
        <w:rPr>
          <w:rFonts w:ascii="Times New Roman" w:cs="Times New Roman" w:eastAsia="Times New Roman" w:hAnsi="Times New Roman"/>
          <w:sz w:val="18"/>
          <w:szCs w:val="18"/>
          <w:u w:val="single" w:color="auto"/>
          <w:color w:val="0000FF"/>
        </w:rPr>
        <w:t>time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Time</w:t>
      </w:r>
      <w:r>
        <w:rPr>
          <w:rFonts w:ascii="Times New Roman" w:cs="Times New Roman" w:eastAsia="Times New Roman" w:hAnsi="Times New Roman"/>
          <w:sz w:val="18"/>
          <w:szCs w:val="18"/>
          <w:u w:val="single" w:color="auto"/>
          <w:color w:val="0000FF"/>
        </w:rPr>
        <w:t>time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2022475</wp:posOffset>
            </wp:positionH>
            <wp:positionV relativeFrom="paragraph">
              <wp:posOffset>22225</wp:posOffset>
            </wp:positionV>
            <wp:extent cx="1333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3350" cy="8255"/>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22225</wp:posOffset>
            </wp:positionV>
            <wp:extent cx="5334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3340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22225</wp:posOffset>
            </wp:positionV>
            <wp:extent cx="19177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9177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22225</wp:posOffset>
            </wp:positionV>
            <wp:extent cx="2000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ARES CAPITAL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219075</wp:posOffset>
            </wp:positionV>
            <wp:extent cx="251777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1777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ARES CAPITAL MANAGEMENT LLC,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505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162" w:lineRule="exact"/>
        <w:rPr>
          <w:sz w:val="20"/>
          <w:szCs w:val="20"/>
          <w:color w:val="auto"/>
        </w:rPr>
      </w:pPr>
    </w:p>
    <w:p>
      <w:pPr>
        <w:ind w:left="420" w:hanging="412"/>
        <w:spacing w:after="0"/>
        <w:tabs>
          <w:tab w:leader="none" w:pos="420" w:val="left"/>
        </w:tabs>
        <w:numPr>
          <w:ilvl w:val="0"/>
          <w:numId w:val="154"/>
        </w:numPr>
        <w:rPr>
          <w:rFonts w:ascii="Times New Roman" w:cs="Times New Roman" w:eastAsia="Times New Roman" w:hAnsi="Times New Roman"/>
          <w:sz w:val="11"/>
          <w:szCs w:val="11"/>
          <w:u w:val="single" w:color="auto"/>
          <w:color w:val="0000FF"/>
        </w:rPr>
      </w:pPr>
      <w:r>
        <w:rPr>
          <w:rFonts w:ascii="Times New Roman" w:cs="Times New Roman" w:eastAsia="Times New Roman" w:hAnsi="Times New Roman"/>
          <w:sz w:val="18"/>
          <w:szCs w:val="18"/>
          <w:u w:val="single" w:color="auto"/>
          <w:color w:val="0000FF"/>
        </w:rPr>
        <w:t>Amended to reflect changes through the First Amendment to Credit Agreement, dated as of April 25, 2023.</w:t>
      </w:r>
    </w:p>
    <w:p>
      <w:pPr>
        <w:sectPr>
          <w:pgSz w:w="11900" w:h="16838" w:orient="portrait"/>
          <w:cols w:equalWidth="0" w:num="1">
            <w:col w:w="10720"/>
          </w:cols>
          <w:pgMar w:left="580" w:top="261" w:right="59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89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40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3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I</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9"/>
        </w:trPr>
        <w:tc>
          <w:tcPr>
            <w:tcW w:w="1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SECTION 1. 02.</w:t>
            </w:r>
          </w:p>
        </w:tc>
        <w:tc>
          <w:tcPr>
            <w:tcW w:w="892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Classification of Loans and Borrowings</w:t>
            </w:r>
          </w:p>
        </w:tc>
        <w:tc>
          <w:tcPr>
            <w:tcW w:w="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FF0000"/>
                <w:strike w:val="1"/>
                <w:w w:val="88"/>
              </w:rPr>
              <w:t>31</w:t>
            </w:r>
          </w:p>
        </w:tc>
        <w:tc>
          <w:tcPr>
            <w:tcW w:w="18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w w:val="77"/>
              </w:rPr>
              <w:t>33</w:t>
            </w: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1. 03.</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Terms Generally</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1. 04.</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Accounting Terms; GAAP</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31</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1. 06.</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Divisions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Credits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2. 01.</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32</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35</w:t>
            </w: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02.</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03.</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Requests for Borrowings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04.</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05.</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06.</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Funding of Borrowings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07.</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Interest Elections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08.</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Termination of Commitments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09.</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Evidence of Debt</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10.</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Repayment of Loans; Amortization of Term Loans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11.</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Prepayment of Loans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12.</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Fees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13.</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Interest</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39</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14.</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Benchmark Replacement Setting</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40</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15.</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Increased Costs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41</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16.</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Break Funding Payments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43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17.</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43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18.</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2. 19.</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53</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3. 01.</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Power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88"/>
              </w:rPr>
              <w:t>50</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53</w:t>
            </w: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 02.</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Authorization; Enforceability</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 03.</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Governmental Approvals; No Conflicts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 04.</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Financial Condition; No Material Adverse Change; Projections; No Default</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50</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 05.</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Properties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 06.</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Litigation</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 07.</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Compliance with Laws and Agreements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 08.</w:t>
            </w:r>
          </w:p>
        </w:tc>
        <w:tc>
          <w:tcPr>
            <w:tcW w:w="8920" w:type="dxa"/>
            <w:vAlign w:val="bottom"/>
            <w:vMerge w:val="restart"/>
          </w:tcPr>
          <w:p>
            <w:pPr>
              <w:ind w:left="200"/>
              <w:spacing w:after="0" w:line="190" w:lineRule="exact"/>
              <w:rPr>
                <w:sz w:val="20"/>
                <w:szCs w:val="20"/>
                <w:color w:val="auto"/>
              </w:rPr>
            </w:pPr>
            <w:r>
              <w:rPr>
                <w:rFonts w:ascii="Times New Roman" w:cs="Times New Roman" w:eastAsia="Times New Roman" w:hAnsi="Times New Roman"/>
                <w:sz w:val="18"/>
                <w:szCs w:val="18"/>
                <w:color w:val="auto"/>
              </w:rPr>
              <w:t>Investment Company Status</w:t>
            </w:r>
          </w:p>
        </w:tc>
        <w:tc>
          <w:tcPr>
            <w:tcW w:w="1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400" w:type="dxa"/>
            <w:vAlign w:val="bottom"/>
            <w:vMerge w:val="continue"/>
          </w:tcPr>
          <w:p>
            <w:pPr>
              <w:spacing w:after="0"/>
              <w:rPr>
                <w:sz w:val="11"/>
                <w:szCs w:val="11"/>
                <w:color w:val="auto"/>
              </w:rPr>
            </w:pPr>
          </w:p>
        </w:tc>
        <w:tc>
          <w:tcPr>
            <w:tcW w:w="89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660"/>
          </w:cols>
          <w:pgMar w:left="580" w:top="265" w:right="659"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67"/>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9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4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4"/>
        </w:trPr>
        <w:tc>
          <w:tcPr>
            <w:tcW w:w="136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240" w:type="dxa"/>
            <w:vAlign w:val="bottom"/>
            <w:tcBorders>
              <w:top w:val="single" w:sz="8" w:color="auto"/>
            </w:tcBorders>
          </w:tcPr>
          <w:p>
            <w:pPr>
              <w:ind w:left="60"/>
              <w:spacing w:after="0" w:line="164"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160" w:type="dxa"/>
            <w:vAlign w:val="bottom"/>
            <w:tcBorders>
              <w:top w:val="single" w:sz="8" w:color="auto"/>
              <w:bottom w:val="single" w:sz="8" w:color="0000FF"/>
            </w:tcBorders>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0000FF"/>
                <w:w w:val="77"/>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3.10.</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ERISA</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52</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3.11.</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Reports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3.12.</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3.13.</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Insurance</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3.14.</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Labor Matters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3.15.</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Solvency</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53</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3.16.</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Margin Regulations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3.17.</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Patriot Act</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3.18.</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Anti-Corruption Laws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3.19.</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Intellectual Property; Licenses, Etc</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3.20.</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[Reserved]</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3.21.</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Environmental Compliance</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3.22.</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Health Care Regulatory Matters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56</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3.24.</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Use of Proceeds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3.25.</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Absence of Undisclosed Liabilities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61</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Date</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58</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61</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8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Affirmative Covenants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64</w:t>
            </w: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 and Other Information</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FF0000"/>
                <w:strike w:val="1"/>
                <w:w w:val="88"/>
              </w:rPr>
              <w:t>60</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64</w:t>
            </w: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5.02.</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Notices of Material Events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5.03.</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Information Regarding Collateral</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5.04.</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Existence; Conduct of Business; Public Health Laws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5.05.</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Payment of Taxes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5.06.</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Maintenance of Properties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64</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5.07.</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Insurance</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5.08.</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Casualty and Condemnation</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5.09.</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Books and Records; Inspection and Audit Rights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65</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5.10.</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Compliance with Laws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5.11.</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Use of Proceeds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5.12.</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Additional Subsidiaries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5.13.</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Further Assurances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66</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5.14.</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Environmental Matters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5.15.</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Annual Lender Meeting</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5.16.</w:t>
            </w:r>
          </w:p>
        </w:tc>
        <w:tc>
          <w:tcPr>
            <w:tcW w:w="8900" w:type="dxa"/>
            <w:vAlign w:val="bottom"/>
            <w:vMerge w:val="restart"/>
          </w:tcPr>
          <w:p>
            <w:pPr>
              <w:ind w:left="240"/>
              <w:spacing w:after="0" w:line="190" w:lineRule="exact"/>
              <w:rPr>
                <w:sz w:val="20"/>
                <w:szCs w:val="20"/>
                <w:color w:val="auto"/>
              </w:rPr>
            </w:pPr>
            <w:r>
              <w:rPr>
                <w:rFonts w:ascii="Times New Roman" w:cs="Times New Roman" w:eastAsia="Times New Roman" w:hAnsi="Times New Roman"/>
                <w:sz w:val="18"/>
                <w:szCs w:val="18"/>
                <w:color w:val="auto"/>
              </w:rPr>
              <w:t>Post-Closing Covenants</w:t>
            </w:r>
          </w:p>
        </w:tc>
        <w:tc>
          <w:tcPr>
            <w:tcW w:w="240" w:type="dxa"/>
            <w:vAlign w:val="bottom"/>
            <w:vMerge w:val="restart"/>
          </w:tcPr>
          <w:p>
            <w:pPr>
              <w:ind w:left="60"/>
              <w:spacing w:after="0" w:line="190" w:lineRule="exact"/>
              <w:rPr>
                <w:sz w:val="20"/>
                <w:szCs w:val="20"/>
                <w:color w:val="auto"/>
              </w:rPr>
            </w:pPr>
            <w:r>
              <w:rPr>
                <w:rFonts w:ascii="Times New Roman" w:cs="Times New Roman" w:eastAsia="Times New Roman" w:hAnsi="Times New Roman"/>
                <w:sz w:val="18"/>
                <w:szCs w:val="18"/>
                <w:color w:val="FF0000"/>
                <w:strike w:val="1"/>
                <w:w w:val="88"/>
              </w:rPr>
              <w:t>67</w:t>
            </w:r>
          </w:p>
        </w:tc>
        <w:tc>
          <w:tcPr>
            <w:tcW w:w="20" w:type="dxa"/>
            <w:vAlign w:val="bottom"/>
            <w:vMerge w:val="restart"/>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4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6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660"/>
          </w:cols>
          <w:pgMar w:left="580" w:top="261" w:right="65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Negative Covenants</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67</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71</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Indebtedness</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67</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71</w:t>
            </w: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6.02.</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Liens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69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6.03.</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Fundamental Changes; Line of Business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6.04.</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Investments, Loans, Advances, Guarantees and Acquisitions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6.05.</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Asset Sales</w:t>
            </w:r>
          </w:p>
        </w:tc>
        <w:tc>
          <w:tcPr>
            <w:tcW w:w="360" w:type="dxa"/>
            <w:vAlign w:val="bottom"/>
            <w:gridSpan w:val="3"/>
            <w:vMerge w:val="restart"/>
          </w:tcPr>
          <w:p>
            <w:pPr>
              <w:jc w:val="center"/>
              <w:ind w:left="53"/>
              <w:spacing w:after="0" w:line="190" w:lineRule="exact"/>
              <w:rPr>
                <w:sz w:val="20"/>
                <w:szCs w:val="20"/>
                <w:color w:val="auto"/>
              </w:rPr>
            </w:pPr>
            <w:r>
              <w:rPr>
                <w:rFonts w:ascii="Times New Roman" w:cs="Times New Roman" w:eastAsia="Times New Roman" w:hAnsi="Times New Roman"/>
                <w:sz w:val="18"/>
                <w:szCs w:val="18"/>
                <w:color w:val="FF0000"/>
                <w:strike w:val="1"/>
                <w:w w:val="99"/>
              </w:rPr>
              <w:t>74</w:t>
            </w:r>
          </w:p>
        </w:tc>
        <w:tc>
          <w:tcPr>
            <w:tcW w:w="20" w:type="dxa"/>
            <w:vAlign w:val="bottom"/>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20" w:type="dxa"/>
            <w:vAlign w:val="bottom"/>
            <w:tcBorders>
              <w:bottom w:val="single" w:sz="8" w:color="0000FF"/>
            </w:tcBorders>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6.06.</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Sale and Leaseback Transactions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6.07.</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[Reserved]</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6.08.</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Restricted Payments; Certain Payments of Indebtedness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6.09.</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6.10.</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Restrictive Agreements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78</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6.11.</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Amendment of Material Documents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6.12.</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Financial Performance Covenants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79</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6.14.</w:t>
            </w:r>
          </w:p>
        </w:tc>
        <w:tc>
          <w:tcPr>
            <w:tcW w:w="220" w:type="dxa"/>
            <w:vAlign w:val="bottom"/>
            <w:vMerge w:val="restart"/>
          </w:tcPr>
          <w:p>
            <w:pPr>
              <w:spacing w:after="0"/>
              <w:rPr>
                <w:sz w:val="2"/>
                <w:szCs w:val="2"/>
                <w:color w:val="auto"/>
              </w:rPr>
            </w:pPr>
          </w:p>
        </w:tc>
        <w:tc>
          <w:tcPr>
            <w:tcW w:w="62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FF0000"/>
                <w:strike w:val="1"/>
                <w:w w:val="96"/>
              </w:rPr>
              <w:t>Hedging</w:t>
            </w:r>
          </w:p>
        </w:tc>
        <w:tc>
          <w:tcPr>
            <w:tcW w:w="7940" w:type="dxa"/>
            <w:vAlign w:val="bottom"/>
            <w:gridSpan w:val="3"/>
            <w:vMerge w:val="restart"/>
          </w:tcPr>
          <w:p>
            <w:pPr>
              <w:spacing w:after="0" w:line="190" w:lineRule="exact"/>
              <w:rPr>
                <w:sz w:val="20"/>
                <w:szCs w:val="20"/>
                <w:color w:val="auto"/>
              </w:rPr>
            </w:pPr>
            <w:r>
              <w:rPr>
                <w:rFonts w:ascii="Times New Roman" w:cs="Times New Roman" w:eastAsia="Times New Roman" w:hAnsi="Times New Roman"/>
                <w:sz w:val="18"/>
                <w:szCs w:val="18"/>
                <w:color w:val="0000FF"/>
              </w:rPr>
              <w:t xml:space="preserve">Swap </w:t>
            </w:r>
            <w:r>
              <w:rPr>
                <w:rFonts w:ascii="Times New Roman" w:cs="Times New Roman" w:eastAsia="Times New Roman" w:hAnsi="Times New Roman"/>
                <w:sz w:val="18"/>
                <w:szCs w:val="18"/>
                <w:color w:val="000000"/>
              </w:rPr>
              <w:t>Agreements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940" w:type="dxa"/>
            <w:vAlign w:val="bottom"/>
            <w:gridSpan w:val="3"/>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1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6.15.</w:t>
            </w:r>
          </w:p>
        </w:tc>
        <w:tc>
          <w:tcPr>
            <w:tcW w:w="840" w:type="dxa"/>
            <w:vAlign w:val="bottom"/>
            <w:gridSpan w:val="2"/>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w w:val="96"/>
              </w:rPr>
              <w:t>Changes</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7520" w:type="dxa"/>
            <w:vAlign w:val="bottom"/>
          </w:tcPr>
          <w:p>
            <w:pPr>
              <w:spacing w:after="0"/>
              <w:rPr>
                <w:sz w:val="2"/>
                <w:szCs w:val="2"/>
                <w:color w:val="auto"/>
              </w:rPr>
            </w:pP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80</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9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5"/>
                <w:szCs w:val="15"/>
                <w:color w:val="auto"/>
              </w:rPr>
              <w:t>in Name</w:t>
            </w: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6.16.</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OFAC; Patriot Act</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6.17.</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Issuance or Repurchase of Equity Interests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6.18.</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80</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80</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85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80</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85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Agents</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84</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89</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Appointment</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84</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89</w:t>
            </w: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8.02.</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The Administrative Agent</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85</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8.03.</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Exculpatory Provisions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8.04.</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Reliance by Administrative Agent</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85</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8.05.</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Notice of Default</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8.06.</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Non-Reliance on Agents and Other Lenders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8.07.</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Indemnification</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86</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8.08.</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Agent in Its Individual Capacity</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8.09.</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Successor Administrative Agent</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8.10.</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Erroneous Payments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87</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IX</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89</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94</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7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34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FF0000"/>
                <w:strike w:val="1"/>
                <w:w w:val="99"/>
              </w:rPr>
              <w:t>89</w:t>
            </w:r>
          </w:p>
        </w:tc>
        <w:tc>
          <w:tcPr>
            <w:tcW w:w="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77"/>
              </w:rPr>
              <w:t>94</w:t>
            </w: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9.02.</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Waivers; Amendments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90</w:t>
            </w:r>
          </w:p>
        </w:tc>
        <w:tc>
          <w:tcPr>
            <w:tcW w:w="40" w:type="dxa"/>
            <w:vAlign w:val="bottom"/>
            <w:tcBorders>
              <w:top w:val="single" w:sz="8" w:color="0000FF"/>
              <w:bottom w:val="single" w:sz="8" w:color="0000FF"/>
            </w:tcBorders>
            <w:gridSpan w:val="2"/>
            <w:vMerge w:val="restart"/>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9.03.</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Expenses; Indemnity; Damage Waiver</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93</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9.04.</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Successors and Assigns</w:t>
            </w:r>
          </w:p>
        </w:tc>
        <w:tc>
          <w:tcPr>
            <w:tcW w:w="340" w:type="dxa"/>
            <w:vAlign w:val="bottom"/>
            <w:gridSpan w:val="2"/>
            <w:vMerge w:val="restart"/>
          </w:tcPr>
          <w:p>
            <w:pPr>
              <w:jc w:val="center"/>
              <w:ind w:left="73"/>
              <w:spacing w:after="0" w:line="190" w:lineRule="exact"/>
              <w:rPr>
                <w:sz w:val="20"/>
                <w:szCs w:val="20"/>
                <w:color w:val="auto"/>
              </w:rPr>
            </w:pPr>
            <w:r>
              <w:rPr>
                <w:rFonts w:ascii="Times New Roman" w:cs="Times New Roman" w:eastAsia="Times New Roman" w:hAnsi="Times New Roman"/>
                <w:sz w:val="18"/>
                <w:szCs w:val="18"/>
                <w:color w:val="FF0000"/>
                <w:strike w:val="1"/>
                <w:w w:val="99"/>
              </w:rPr>
              <w:t>94</w:t>
            </w:r>
          </w:p>
        </w:tc>
        <w:tc>
          <w:tcPr>
            <w:tcW w:w="40" w:type="dxa"/>
            <w:vAlign w:val="bottom"/>
            <w:gridSpan w:val="2"/>
            <w:vMerge w:val="restart"/>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40" w:type="dxa"/>
            <w:vAlign w:val="bottom"/>
            <w:tcBorders>
              <w:bottom w:val="single" w:sz="8" w:color="0000FF"/>
            </w:tcBorders>
            <w:gridSpan w:val="2"/>
            <w:vMerge w:val="continue"/>
          </w:tcPr>
          <w:p>
            <w:pPr>
              <w:spacing w:after="0"/>
              <w:rPr>
                <w:sz w:val="11"/>
                <w:szCs w:val="11"/>
                <w:color w:val="auto"/>
              </w:rPr>
            </w:pPr>
          </w:p>
        </w:tc>
        <w:tc>
          <w:tcPr>
            <w:tcW w:w="12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4"/>
                <w:szCs w:val="14"/>
                <w:color w:val="0000FF"/>
                <w:w w:val="71"/>
              </w:rPr>
              <w:t>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9.05.</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Survival</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24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FF0000"/>
                <w:strike w:val="1"/>
              </w:rPr>
              <w:t>98</w:t>
            </w:r>
          </w:p>
        </w:tc>
        <w:tc>
          <w:tcPr>
            <w:tcW w:w="260" w:type="dxa"/>
            <w:vAlign w:val="bottom"/>
            <w:tcBorders>
              <w:bottom w:val="single" w:sz="8" w:color="0000FF"/>
            </w:tcBorders>
            <w:gridSpan w:val="4"/>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9.06.</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Counterparts; Integration; Effectiveness</w:t>
            </w:r>
          </w:p>
        </w:tc>
        <w:tc>
          <w:tcPr>
            <w:tcW w:w="24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98</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60" w:type="dxa"/>
            <w:vAlign w:val="bottom"/>
            <w:tcBorders>
              <w:bottom w:val="single" w:sz="8" w:color="0000FF"/>
            </w:tcBorders>
            <w:gridSpan w:val="4"/>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9.07.</w:t>
            </w:r>
          </w:p>
        </w:tc>
        <w:tc>
          <w:tcPr>
            <w:tcW w:w="8780" w:type="dxa"/>
            <w:vAlign w:val="bottom"/>
            <w:gridSpan w:val="5"/>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Severability</w:t>
            </w:r>
          </w:p>
        </w:tc>
        <w:tc>
          <w:tcPr>
            <w:tcW w:w="24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rPr>
              <w:t>98</w:t>
            </w: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780" w:type="dxa"/>
            <w:vAlign w:val="bottom"/>
            <w:gridSpan w:val="5"/>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60" w:type="dxa"/>
            <w:vAlign w:val="bottom"/>
            <w:tcBorders>
              <w:bottom w:val="single" w:sz="8" w:color="0000FF"/>
            </w:tcBorders>
            <w:gridSpan w:val="4"/>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60"/>
          </w:cols>
          <w:pgMar w:left="580" w:top="261" w:right="659"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167"/>
        </w:trPr>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6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Right of Setoff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4"/>
        </w:trPr>
        <w:tc>
          <w:tcPr>
            <w:tcW w:w="1380" w:type="dxa"/>
            <w:vAlign w:val="bottom"/>
            <w:vMerge w:val="continue"/>
          </w:tcPr>
          <w:p>
            <w:pPr>
              <w:spacing w:after="0"/>
              <w:rPr>
                <w:sz w:val="14"/>
                <w:szCs w:val="14"/>
                <w:color w:val="auto"/>
              </w:rPr>
            </w:pPr>
          </w:p>
        </w:tc>
        <w:tc>
          <w:tcPr>
            <w:tcW w:w="8680" w:type="dxa"/>
            <w:vAlign w:val="bottom"/>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FF0000"/>
                <w:strike w:val="1"/>
                <w:w w:val="88"/>
              </w:rPr>
              <w:t>99</w:t>
            </w:r>
          </w:p>
        </w:tc>
        <w:tc>
          <w:tcPr>
            <w:tcW w:w="260" w:type="dxa"/>
            <w:vAlign w:val="bottom"/>
            <w:tcBorders>
              <w:top w:val="single" w:sz="8" w:color="auto"/>
              <w:bottom w:val="single" w:sz="8" w:color="0000FF"/>
            </w:tcBorders>
          </w:tcPr>
          <w:p>
            <w:pPr>
              <w:jc w:val="right"/>
              <w:spacing w:after="0" w:line="164" w:lineRule="exact"/>
              <w:rPr>
                <w:sz w:val="20"/>
                <w:szCs w:val="20"/>
                <w:color w:val="auto"/>
              </w:rPr>
            </w:pPr>
            <w:r>
              <w:rPr>
                <w:rFonts w:ascii="Times New Roman" w:cs="Times New Roman" w:eastAsia="Times New Roman" w:hAnsi="Times New Roman"/>
                <w:sz w:val="18"/>
                <w:szCs w:val="18"/>
                <w:color w:val="0000FF"/>
                <w:w w:val="88"/>
              </w:rPr>
              <w:t>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9.09.</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99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9.10.</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WAIVER OF JURY TRIAL</w:t>
            </w:r>
          </w:p>
        </w:tc>
        <w:tc>
          <w:tcPr>
            <w:tcW w:w="80" w:type="dxa"/>
            <w:vAlign w:val="bottom"/>
            <w:vMerge w:val="restart"/>
          </w:tcPr>
          <w:p>
            <w:pPr>
              <w:spacing w:after="0"/>
              <w:rPr>
                <w:sz w:val="2"/>
                <w:szCs w:val="2"/>
                <w:color w:val="auto"/>
              </w:rPr>
            </w:pPr>
          </w:p>
        </w:tc>
        <w:tc>
          <w:tcPr>
            <w:tcW w:w="260" w:type="dxa"/>
            <w:vAlign w:val="bottom"/>
            <w:gridSpan w:val="2"/>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9.11.</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Headings</w:t>
            </w:r>
          </w:p>
        </w:tc>
        <w:tc>
          <w:tcPr>
            <w:tcW w:w="80" w:type="dxa"/>
            <w:vAlign w:val="bottom"/>
            <w:vMerge w:val="restart"/>
          </w:tcPr>
          <w:p>
            <w:pPr>
              <w:spacing w:after="0"/>
              <w:rPr>
                <w:sz w:val="2"/>
                <w:szCs w:val="2"/>
                <w:color w:val="auto"/>
              </w:rPr>
            </w:pPr>
          </w:p>
        </w:tc>
        <w:tc>
          <w:tcPr>
            <w:tcW w:w="260" w:type="dxa"/>
            <w:vAlign w:val="bottom"/>
            <w:gridSpan w:val="2"/>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9.12.</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Confidentiality</w:t>
            </w:r>
          </w:p>
        </w:tc>
        <w:tc>
          <w:tcPr>
            <w:tcW w:w="80" w:type="dxa"/>
            <w:vAlign w:val="bottom"/>
            <w:vMerge w:val="restart"/>
          </w:tcPr>
          <w:p>
            <w:pPr>
              <w:spacing w:after="0"/>
              <w:rPr>
                <w:sz w:val="2"/>
                <w:szCs w:val="2"/>
                <w:color w:val="auto"/>
              </w:rPr>
            </w:pPr>
          </w:p>
        </w:tc>
        <w:tc>
          <w:tcPr>
            <w:tcW w:w="260" w:type="dxa"/>
            <w:vAlign w:val="bottom"/>
            <w:gridSpan w:val="2"/>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9.13.</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Interest Rate Limitation</w:t>
            </w:r>
          </w:p>
        </w:tc>
        <w:tc>
          <w:tcPr>
            <w:tcW w:w="80" w:type="dxa"/>
            <w:vAlign w:val="bottom"/>
            <w:vMerge w:val="restart"/>
          </w:tcPr>
          <w:p>
            <w:pPr>
              <w:spacing w:after="0"/>
              <w:rPr>
                <w:sz w:val="2"/>
                <w:szCs w:val="2"/>
                <w:color w:val="auto"/>
              </w:rPr>
            </w:pPr>
          </w:p>
        </w:tc>
        <w:tc>
          <w:tcPr>
            <w:tcW w:w="260" w:type="dxa"/>
            <w:vAlign w:val="bottom"/>
            <w:gridSpan w:val="2"/>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9.14.</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USA Patriot Act</w:t>
            </w:r>
          </w:p>
        </w:tc>
        <w:tc>
          <w:tcPr>
            <w:tcW w:w="80" w:type="dxa"/>
            <w:vAlign w:val="bottom"/>
            <w:vMerge w:val="restart"/>
          </w:tcPr>
          <w:p>
            <w:pPr>
              <w:spacing w:after="0"/>
              <w:rPr>
                <w:sz w:val="2"/>
                <w:szCs w:val="2"/>
                <w:color w:val="auto"/>
              </w:rPr>
            </w:pPr>
          </w:p>
        </w:tc>
        <w:tc>
          <w:tcPr>
            <w:tcW w:w="260" w:type="dxa"/>
            <w:vAlign w:val="bottom"/>
            <w:gridSpan w:val="2"/>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9.15.</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Release of Collateral</w:t>
            </w:r>
          </w:p>
        </w:tc>
        <w:tc>
          <w:tcPr>
            <w:tcW w:w="80" w:type="dxa"/>
            <w:vAlign w:val="bottom"/>
            <w:vMerge w:val="restart"/>
          </w:tcPr>
          <w:p>
            <w:pPr>
              <w:spacing w:after="0"/>
              <w:rPr>
                <w:sz w:val="2"/>
                <w:szCs w:val="2"/>
                <w:color w:val="auto"/>
              </w:rPr>
            </w:pPr>
          </w:p>
        </w:tc>
        <w:tc>
          <w:tcPr>
            <w:tcW w:w="260" w:type="dxa"/>
            <w:vAlign w:val="bottom"/>
            <w:gridSpan w:val="2"/>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SECTION 9.16.</w:t>
            </w:r>
          </w:p>
        </w:tc>
        <w:tc>
          <w:tcPr>
            <w:tcW w:w="8680" w:type="dxa"/>
            <w:vAlign w:val="bottom"/>
            <w:vMerge w:val="restart"/>
          </w:tcPr>
          <w:p>
            <w:pPr>
              <w:ind w:left="220"/>
              <w:spacing w:after="0" w:line="190"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80" w:type="dxa"/>
            <w:vAlign w:val="bottom"/>
            <w:vMerge w:val="restart"/>
          </w:tcPr>
          <w:p>
            <w:pPr>
              <w:spacing w:after="0"/>
              <w:rPr>
                <w:sz w:val="2"/>
                <w:szCs w:val="2"/>
                <w:color w:val="auto"/>
              </w:rPr>
            </w:pPr>
          </w:p>
        </w:tc>
        <w:tc>
          <w:tcPr>
            <w:tcW w:w="260" w:type="dxa"/>
            <w:vAlign w:val="bottom"/>
            <w:gridSpan w:val="2"/>
            <w:vMerge w:val="restart"/>
          </w:tcPr>
          <w:p>
            <w:pPr>
              <w:jc w:val="right"/>
              <w:spacing w:after="0" w:line="190" w:lineRule="exact"/>
              <w:rPr>
                <w:sz w:val="20"/>
                <w:szCs w:val="20"/>
                <w:color w:val="auto"/>
              </w:rPr>
            </w:pPr>
            <w:r>
              <w:rPr>
                <w:rFonts w:ascii="Times New Roman" w:cs="Times New Roman" w:eastAsia="Times New Roman" w:hAnsi="Times New Roman"/>
                <w:sz w:val="18"/>
                <w:szCs w:val="18"/>
                <w:color w:val="FF0000"/>
                <w:strike w:val="1"/>
                <w:w w:val="88"/>
              </w:rPr>
              <w:t>101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380" w:type="dxa"/>
            <w:vAlign w:val="bottom"/>
            <w:vMerge w:val="continue"/>
          </w:tcPr>
          <w:p>
            <w:pPr>
              <w:spacing w:after="0"/>
              <w:rPr>
                <w:sz w:val="11"/>
                <w:szCs w:val="11"/>
                <w:color w:val="auto"/>
              </w:rPr>
            </w:pPr>
          </w:p>
        </w:tc>
        <w:tc>
          <w:tcPr>
            <w:tcW w:w="86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6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rPr>
              <w:t>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660"/>
          </w:cols>
          <w:pgMar w:left="580" w:top="261" w:right="6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SCHEDULES TO DISCLOSURE LETTER: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Commitments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3.03</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3.13</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3.23</w:t>
            </w:r>
          </w:p>
        </w:tc>
        <w:tc>
          <w:tcPr>
            <w:tcW w:w="4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Deposit Accounts and Securities Account</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5.16</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Post-Closing Covenants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6.01(iii)</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 Indebtedness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6.01(xiii)</w:t>
            </w:r>
          </w:p>
        </w:tc>
        <w:tc>
          <w:tcPr>
            <w:tcW w:w="4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   Effective Date Non-Loan Party Subsidiary Indebtedness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6.04(iii)</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 Investments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6.04(xvii)</w:t>
            </w:r>
          </w:p>
        </w:tc>
        <w:tc>
          <w:tcPr>
            <w:tcW w:w="4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Effective Date Non-Loan Party Subsidiary Investments</w:t>
            </w:r>
          </w:p>
        </w:tc>
      </w:tr>
      <w:tr>
        <w:trPr>
          <w:trHeight w:val="21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w:t>
            </w: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47"/>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Form of Assignment and Assumption</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Perfection Certificate</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F</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G</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Term Loan Note</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H</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0"/>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I-1-4</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Tax Compliance Certificates</w:t>
            </w:r>
          </w:p>
        </w:tc>
      </w:tr>
      <w:tr>
        <w:trPr>
          <w:trHeight w:val="22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J</w:t>
            </w:r>
          </w:p>
        </w:tc>
        <w:tc>
          <w:tcPr>
            <w:tcW w:w="10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354"/>
        </w:trPr>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9879"/>
          </w:cols>
          <w:pgMar w:left="580" w:top="265" w:right="1440" w:bottom="1440" w:gutter="0" w:footer="0" w:header="0"/>
        </w:sectPr>
      </w:pPr>
    </w:p>
    <w:bookmarkStart w:id="322" w:name="page323"/>
    <w:bookmarkEnd w:id="322"/>
    <w:p>
      <w:pPr>
        <w:ind w:right="32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CREDIT AGREEMENT is entered into as of September 22, 2022, by and among TEMPUS LABS,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Lenders party hereto from time to time, ARES CAPITAL CORPORATION, as Administrative Agent, and ARES CAPITAL MANAGEMENT LLC, as Lead Arranger and Bookrunner.</w:t>
      </w:r>
    </w:p>
    <w:p>
      <w:pPr>
        <w:spacing w:after="0" w:line="180" w:lineRule="exact"/>
        <w:rPr>
          <w:sz w:val="20"/>
          <w:szCs w:val="20"/>
          <w:color w:val="auto"/>
        </w:rPr>
      </w:pPr>
    </w:p>
    <w:p>
      <w:pPr>
        <w:ind w:right="2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The Borrower has requested that the Lenders extend credit to the Borrower in the form of </w:t>
      </w:r>
      <w:r>
        <w:rPr>
          <w:rFonts w:ascii="Times New Roman" w:cs="Times New Roman" w:eastAsia="Times New Roman" w:hAnsi="Times New Roman"/>
          <w:sz w:val="18"/>
          <w:szCs w:val="18"/>
          <w:color w:val="0000FF"/>
        </w:rPr>
        <w:t>(i) Effective Date</w:t>
      </w:r>
      <w:r>
        <w:rPr>
          <w:rFonts w:ascii="Times New Roman" w:cs="Times New Roman" w:eastAsia="Times New Roman" w:hAnsi="Times New Roman"/>
          <w:sz w:val="18"/>
          <w:szCs w:val="18"/>
          <w:color w:val="auto"/>
        </w:rPr>
        <w:t xml:space="preserve"> Term Loans in an aggregate principal amount not to exceed $175,000,000, upon and subject to the terms and conditions set forth in this Agreement </w:t>
      </w:r>
      <w:r>
        <w:rPr>
          <w:rFonts w:ascii="Times New Roman" w:cs="Times New Roman" w:eastAsia="Times New Roman" w:hAnsi="Times New Roman"/>
          <w:sz w:val="18"/>
          <w:szCs w:val="18"/>
          <w:color w:val="0000FF"/>
        </w:rPr>
        <w:t>and (ii) First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Effective Date Term Loans in an aggregate principal amount not to exceed $50,000,000, upon and subject to the terms and conditions set forth in the First Amendment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-395605</wp:posOffset>
            </wp:positionV>
            <wp:extent cx="8083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-429260</wp:posOffset>
            </wp:positionV>
            <wp:extent cx="80327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03275" cy="8255"/>
                    </a:xfrm>
                    <a:prstGeom prst="rect">
                      <a:avLst/>
                    </a:prstGeom>
                    <a:noFill/>
                  </pic:spPr>
                </pic:pic>
              </a:graphicData>
            </a:graphic>
          </wp:anchor>
        </w:drawing>
        <w:drawing>
          <wp:anchor simplePos="0" relativeHeight="251657728" behindDoc="1" locked="0" layoutInCell="0" allowOverlap="1">
            <wp:simplePos x="0" y="0"/>
            <wp:positionH relativeFrom="column">
              <wp:posOffset>5281930</wp:posOffset>
            </wp:positionH>
            <wp:positionV relativeFrom="paragraph">
              <wp:posOffset>-262255</wp:posOffset>
            </wp:positionV>
            <wp:extent cx="115887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158875"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-295910</wp:posOffset>
            </wp:positionV>
            <wp:extent cx="116014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160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661098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835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4"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The proceeds of the Term Loans will be used by the Borrower (i) for working capital and general corporate purposes, (ii) to finance growth initiatives, (iii) to pay for operating expenses and (iv) to pay the Transaction Costs.</w:t>
      </w:r>
    </w:p>
    <w:p>
      <w:pPr>
        <w:spacing w:after="0" w:line="170" w:lineRule="exact"/>
        <w:rPr>
          <w:sz w:val="20"/>
          <w:szCs w:val="20"/>
          <w:color w:val="auto"/>
        </w:rPr>
      </w:pPr>
    </w:p>
    <w:p>
      <w:pPr>
        <w:ind w:right="80" w:firstLine="964"/>
        <w:spacing w:after="0" w:line="267" w:lineRule="auto"/>
        <w:rPr>
          <w:sz w:val="20"/>
          <w:szCs w:val="20"/>
          <w:color w:val="auto"/>
        </w:rPr>
      </w:pPr>
      <w:r>
        <w:rPr>
          <w:rFonts w:ascii="Times New Roman" w:cs="Times New Roman" w:eastAsia="Times New Roman" w:hAnsi="Times New Roman"/>
          <w:sz w:val="18"/>
          <w:szCs w:val="18"/>
          <w:color w:val="auto"/>
        </w:rPr>
        <w:t>The Lenders are willing to extend such credit to the Borrower, on the terms and subject to the conditions set forth herein. Accordingly, the parties hereto agree as follows: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13" w:lineRule="exact"/>
        <w:rPr>
          <w:sz w:val="20"/>
          <w:szCs w:val="20"/>
          <w:color w:val="auto"/>
        </w:rPr>
      </w:pPr>
    </w:p>
    <w:p>
      <w:pPr>
        <w:ind w:right="8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Ares Capital Corporation, in its capacity as administrative agent for the Lenders under the Loan Documents, and any successor administrative agent.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13" w:lineRule="exact"/>
        <w:rPr>
          <w:sz w:val="20"/>
          <w:szCs w:val="20"/>
          <w:color w:val="auto"/>
        </w:rPr>
      </w:pPr>
    </w:p>
    <w:p>
      <w:pPr>
        <w:ind w:right="4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any other Person that directly, or indirectly through one or more intermediaries, Controls, is Controlled by or is under common Control with the Person specified.</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has the meaning set forth in Section 8.07.</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as applicable, the Administrative Agent and the Collateral Agent.</w:t>
      </w:r>
    </w:p>
    <w:p>
      <w:pPr>
        <w:spacing w:after="0" w:line="213"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w:t>
      </w:r>
      <w:r>
        <w:rPr>
          <w:rFonts w:ascii="Times New Roman" w:cs="Times New Roman" w:eastAsia="Times New Roman" w:hAnsi="Times New Roman"/>
          <w:sz w:val="18"/>
          <w:szCs w:val="18"/>
          <w:color w:val="auto"/>
        </w:rPr>
        <w:t>” means with respect to any Lender at any time, an amount equal to (a) until the Effective Date, the aggregate amount of such Lender’s Commitments at such time and (b) thereafter, the aggregate then unpaid principal amount of such Lender’s Term Loans.</w:t>
      </w:r>
    </w:p>
    <w:p>
      <w:pPr>
        <w:spacing w:after="0" w:line="170"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Exposure Percentage</w:t>
      </w:r>
      <w:r>
        <w:rPr>
          <w:rFonts w:ascii="Times New Roman" w:cs="Times New Roman" w:eastAsia="Times New Roman" w:hAnsi="Times New Roman"/>
          <w:sz w:val="18"/>
          <w:szCs w:val="18"/>
          <w:color w:val="auto"/>
        </w:rPr>
        <w:t>” means with respect to any Lender at any time, the ratio (expressed as a percentage) of such Lender’s Aggregate Exposure at such time to the Aggregate Exposure of all Lenders at such time.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265" w:right="599" w:bottom="1440" w:gutter="0" w:footer="0" w:header="0"/>
        </w:sectPr>
      </w:pPr>
    </w:p>
    <w:bookmarkStart w:id="323" w:name="page324"/>
    <w:bookmarkEnd w:id="3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as the same may be renewed, extended, modified, supplemented or amended from time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95" w:lineRule="exact"/>
        <w:rPr>
          <w:sz w:val="20"/>
          <w:szCs w:val="20"/>
          <w:color w:val="auto"/>
        </w:rPr>
      </w:pPr>
    </w:p>
    <w:p>
      <w:pPr>
        <w:ind w:right="9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means the audited consolidated financial statements of the Borrower for the fiscal years ended December 31, 2019, December 31, 2020 and December 31, 2021.</w:t>
      </w:r>
    </w:p>
    <w:p>
      <w:pPr>
        <w:spacing w:after="0" w:line="170" w:lineRule="exact"/>
        <w:rPr>
          <w:sz w:val="20"/>
          <w:szCs w:val="20"/>
          <w:color w:val="auto"/>
        </w:rPr>
      </w:pPr>
    </w:p>
    <w:p>
      <w:pPr>
        <w:ind w:right="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all laws, rules, and regulations of any jurisdiction applicable to the Borrower or any Subsidiary from time to time concerning or relating to bribery or corruption.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right="40" w:firstLine="964"/>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Rate</w:t>
      </w:r>
      <w:r>
        <w:rPr>
          <w:rFonts w:ascii="Times New Roman" w:cs="Times New Roman" w:eastAsia="Times New Roman" w:hAnsi="Times New Roman"/>
          <w:sz w:val="16"/>
          <w:szCs w:val="16"/>
          <w:color w:val="auto"/>
        </w:rPr>
        <w:t>” means</w:t>
      </w:r>
      <w:r>
        <w:rPr>
          <w:rFonts w:ascii="Times New Roman" w:cs="Times New Roman" w:eastAsia="Times New Roman" w:hAnsi="Times New Roman"/>
          <w:sz w:val="16"/>
          <w:szCs w:val="16"/>
          <w:u w:val="single" w:color="auto"/>
          <w:color w:val="0000FF"/>
        </w:rPr>
        <w:t>, (x) prior to the First Amendment Effective Date, the “Applicable Rate” as defined in this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immediately prior to giving effect to the First Amendment and (y) from and after the First Amendment Effective Date immediately after giving effect to the First Amendment</w:t>
      </w:r>
      <w:r>
        <w:rPr>
          <w:rFonts w:ascii="Times New Roman" w:cs="Times New Roman" w:eastAsia="Times New Roman" w:hAnsi="Times New Roman"/>
          <w:sz w:val="16"/>
          <w:szCs w:val="16"/>
          <w:color w:val="000000"/>
        </w:rPr>
        <w:t>, for any day with respect to any Term Loans, (a) for any Interest Period for which the Borrower exercises the PIK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-256540</wp:posOffset>
            </wp:positionV>
            <wp:extent cx="45186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5186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676084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760845" cy="8255"/>
                    </a:xfrm>
                    <a:prstGeom prst="rect">
                      <a:avLst/>
                    </a:prstGeom>
                    <a:noFill/>
                  </pic:spPr>
                </pic:pic>
              </a:graphicData>
            </a:graphic>
          </wp:anchor>
        </w:drawing>
      </w:r>
    </w:p>
    <w:p>
      <w:pPr>
        <w:jc w:val="both"/>
        <w:ind w:right="260" w:firstLine="8"/>
        <w:spacing w:after="0" w:line="245" w:lineRule="auto"/>
        <w:tabs>
          <w:tab w:leader="none" w:pos="20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4.00% per annum in the case of a Base Rate Loan or (ii) 5.00% per annum in the case of a SOFR Loan or (b) for any Interest Period for which the Borrower exercises the Cash Election, (i) </w:t>
      </w:r>
      <w:r>
        <w:rPr>
          <w:rFonts w:ascii="Times New Roman" w:cs="Times New Roman" w:eastAsia="Times New Roman" w:hAnsi="Times New Roman"/>
          <w:sz w:val="18"/>
          <w:szCs w:val="18"/>
          <w:color w:val="FF0000"/>
          <w:strike w:val="1"/>
        </w:rPr>
        <w:t>6.00</w:t>
      </w:r>
      <w:r>
        <w:rPr>
          <w:rFonts w:ascii="Times New Roman" w:cs="Times New Roman" w:eastAsia="Times New Roman" w:hAnsi="Times New Roman"/>
          <w:sz w:val="18"/>
          <w:szCs w:val="18"/>
          <w:u w:val="single" w:color="auto"/>
          <w:color w:val="0000FF"/>
        </w:rPr>
        <w:t>6.25</w:t>
      </w:r>
      <w:r>
        <w:rPr>
          <w:rFonts w:ascii="Times New Roman" w:cs="Times New Roman" w:eastAsia="Times New Roman" w:hAnsi="Times New Roman"/>
          <w:sz w:val="18"/>
          <w:szCs w:val="18"/>
          <w:color w:val="auto"/>
        </w:rPr>
        <w:t xml:space="preserve">% per annum in the case of a Base Rate Loan or (ii) </w:t>
      </w:r>
      <w:r>
        <w:rPr>
          <w:rFonts w:ascii="Times New Roman" w:cs="Times New Roman" w:eastAsia="Times New Roman" w:hAnsi="Times New Roman"/>
          <w:sz w:val="18"/>
          <w:szCs w:val="18"/>
          <w:color w:val="FF0000"/>
          <w:strike w:val="1"/>
        </w:rPr>
        <w:t>7.00</w:t>
      </w:r>
      <w:r>
        <w:rPr>
          <w:rFonts w:ascii="Times New Roman" w:cs="Times New Roman" w:eastAsia="Times New Roman" w:hAnsi="Times New Roman"/>
          <w:sz w:val="18"/>
          <w:szCs w:val="18"/>
          <w:u w:val="single" w:color="auto"/>
          <w:color w:val="0000FF"/>
        </w:rPr>
        <w:t>7.25</w:t>
      </w:r>
      <w:r>
        <w:rPr>
          <w:rFonts w:ascii="Times New Roman" w:cs="Times New Roman" w:eastAsia="Times New Roman" w:hAnsi="Times New Roman"/>
          <w:sz w:val="18"/>
          <w:szCs w:val="18"/>
          <w:color w:val="auto"/>
        </w:rPr>
        <w:t xml:space="preserve"> % per annum in the case of a SOFR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9423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2055495</wp:posOffset>
            </wp:positionH>
            <wp:positionV relativeFrom="paragraph">
              <wp:posOffset>-126365</wp:posOffset>
            </wp:positionV>
            <wp:extent cx="2000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4806950</wp:posOffset>
            </wp:positionH>
            <wp:positionV relativeFrom="paragraph">
              <wp:posOffset>-126365</wp:posOffset>
            </wp:positionV>
            <wp:extent cx="1917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91770" cy="8255"/>
                    </a:xfrm>
                    <a:prstGeom prst="rect">
                      <a:avLst/>
                    </a:prstGeom>
                    <a:noFill/>
                  </pic:spPr>
                </pic:pic>
              </a:graphicData>
            </a:graphic>
          </wp:anchor>
        </w:drawing>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set forth in Section 9.04(b).</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has the meaning set forth in Section 9.04(b).</w:t>
      </w:r>
    </w:p>
    <w:p>
      <w:pPr>
        <w:spacing w:after="0" w:line="213" w:lineRule="exact"/>
        <w:rPr>
          <w:sz w:val="20"/>
          <w:szCs w:val="20"/>
          <w:color w:val="auto"/>
        </w:rPr>
      </w:pPr>
    </w:p>
    <w:p>
      <w:pPr>
        <w:jc w:val="both"/>
        <w:ind w:right="6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approved by the Administrative Agent.</w:t>
      </w:r>
    </w:p>
    <w:p>
      <w:pPr>
        <w:spacing w:after="0" w:line="180" w:lineRule="exact"/>
        <w:rPr>
          <w:sz w:val="20"/>
          <w:szCs w:val="20"/>
          <w:color w:val="auto"/>
        </w:rPr>
      </w:pPr>
    </w:p>
    <w:p>
      <w:pPr>
        <w:ind w:right="16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Basket Amount</w:t>
      </w:r>
      <w:r>
        <w:rPr>
          <w:rFonts w:ascii="Times New Roman" w:cs="Times New Roman" w:eastAsia="Times New Roman" w:hAnsi="Times New Roman"/>
          <w:sz w:val="18"/>
          <w:szCs w:val="18"/>
          <w:color w:val="auto"/>
        </w:rPr>
        <w:t xml:space="preserve">” means, as of any date of determination, (a) without duplication, the net cash proceeds of any issuance of Equity Interests of the Borrower (other than Disqualified Equity Interests) and 100% of the aggregate amount of cash contributions to the common capital of the Borrower, in each case after the Effective Date (in each case, to the extent not earmarked or for any other purposes under this Agreement or the other Loan Documents or Not Otherwise Applied),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amount of Investments (including Permitted Acquisitions and payments in respect of earnouts, milestone and other similar deferred purchase price obligations) and other payments made in respect of the Google Note, in each case, made using the Available Basket Amount on or prior to such date.</w:t>
      </w:r>
    </w:p>
    <w:p>
      <w:pPr>
        <w:spacing w:after="0" w:line="187"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clause (d) of Section 2.14.</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5" w:right="619" w:bottom="1440" w:gutter="0" w:footer="0" w:header="0"/>
        </w:sectPr>
      </w:pPr>
    </w:p>
    <w:bookmarkStart w:id="324" w:name="page325"/>
    <w:bookmarkEnd w:id="324"/>
    <w:p>
      <w:pPr>
        <w:ind w:right="4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12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195"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6" w:lineRule="exact"/>
        <w:rPr>
          <w:sz w:val="20"/>
          <w:szCs w:val="20"/>
          <w:color w:val="auto"/>
        </w:rPr>
      </w:pPr>
    </w:p>
    <w:p>
      <w:pPr>
        <w:ind w:right="1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the greatest of (a) the “Prime Rate” appearing in the “Money Rates” section of The Wall Street Journal or another national publication selected by Agent, (b) the Federal Funds Rate plus 0.50%, (c) Term SOFR for a one-month tenor in effect on such day plus 1.00%, in each instance as of such day and (d) 2.00%. Any change in the Base Rate due to a change in any of the foregoing shall be effective on the effective date of such change in the Prime Rate, the Federal Funds Rate or Term SOFR for an Interest Period of one month.</w:t>
      </w:r>
    </w:p>
    <w:p>
      <w:pPr>
        <w:spacing w:after="0" w:line="184"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Borrowing</w:t>
      </w:r>
      <w:r>
        <w:rPr>
          <w:rFonts w:ascii="Times New Roman" w:cs="Times New Roman" w:eastAsia="Times New Roman" w:hAnsi="Times New Roman"/>
          <w:sz w:val="18"/>
          <w:szCs w:val="18"/>
          <w:color w:val="auto"/>
        </w:rPr>
        <w:t>”, when used in reference to any Borrowing, refers to whether the Loans comprising such Borrowing are bearing interest at a rate determined by reference to the Base Rate.</w:t>
      </w:r>
    </w:p>
    <w:p>
      <w:pPr>
        <w:spacing w:after="0" w:line="170" w:lineRule="exact"/>
        <w:rPr>
          <w:sz w:val="20"/>
          <w:szCs w:val="20"/>
          <w:color w:val="auto"/>
        </w:rPr>
      </w:pPr>
    </w:p>
    <w:p>
      <w:pPr>
        <w:ind w:right="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when used in reference to any Loan, refers to whether such Loan is bearing interest at a rate determined by reference to the Base Rate.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13" w:lineRule="exact"/>
        <w:rPr>
          <w:sz w:val="20"/>
          <w:szCs w:val="20"/>
          <w:color w:val="auto"/>
        </w:rPr>
      </w:pPr>
    </w:p>
    <w:p>
      <w:pPr>
        <w:jc w:val="both"/>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Section 2.14.</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580" w:top="265" w:right="599" w:bottom="1440" w:gutter="0" w:footer="0" w:header="0"/>
        </w:sectPr>
      </w:pPr>
    </w:p>
    <w:bookmarkStart w:id="325" w:name="page326"/>
    <w:bookmarkEnd w:id="325"/>
    <w:p>
      <w:pPr>
        <w:ind w:right="40" w:firstLine="964"/>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-661035</wp:posOffset>
            </wp:positionV>
            <wp:extent cx="2476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167"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108" w:lineRule="exact"/>
        <w:rPr>
          <w:sz w:val="20"/>
          <w:szCs w:val="20"/>
          <w:color w:val="auto"/>
        </w:rPr>
      </w:pPr>
    </w:p>
    <w:p>
      <w:pPr>
        <w:ind w:right="220" w:firstLine="972"/>
        <w:spacing w:after="0" w:line="302" w:lineRule="auto"/>
        <w:tabs>
          <w:tab w:leader="none" w:pos="121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40" w:lineRule="exact"/>
        <w:rPr>
          <w:rFonts w:ascii="Times New Roman" w:cs="Times New Roman" w:eastAsia="Times New Roman" w:hAnsi="Times New Roman"/>
          <w:sz w:val="16"/>
          <w:szCs w:val="16"/>
          <w:color w:val="auto"/>
        </w:rPr>
      </w:pPr>
    </w:p>
    <w:p>
      <w:pPr>
        <w:ind w:right="140" w:firstLine="972"/>
        <w:spacing w:after="0" w:line="249" w:lineRule="auto"/>
        <w:tabs>
          <w:tab w:leader="none" w:pos="121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82" w:lineRule="exact"/>
        <w:rPr>
          <w:sz w:val="20"/>
          <w:szCs w:val="20"/>
          <w:color w:val="auto"/>
        </w:rPr>
      </w:pPr>
    </w:p>
    <w:p>
      <w:pPr>
        <w:ind w:right="240" w:firstLine="964"/>
        <w:spacing w:after="0" w:line="255"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auto"/>
        </w:rPr>
        <w:t>) with respect to any Benchmark upon the occurrence of the applicable event or events set forth therein with respect to all then-current Available Tenors of such Benchmark (or the published component used in the calculation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-264795</wp:posOffset>
            </wp:positionV>
            <wp:extent cx="5842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-264795</wp:posOffset>
            </wp:positionV>
            <wp:extent cx="5842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580" w:top="265" w:right="599" w:bottom="1440" w:gutter="0" w:footer="0" w:header="0"/>
        </w:sectPr>
      </w:pPr>
    </w:p>
    <w:bookmarkStart w:id="326" w:name="page327"/>
    <w:bookmarkEnd w:id="326"/>
    <w:p>
      <w:pPr>
        <w:ind w:left="9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Benchmark Transition Event</w:t>
      </w:r>
      <w:r>
        <w:rPr>
          <w:rFonts w:ascii="Times New Roman" w:cs="Times New Roman" w:eastAsia="Times New Roman" w:hAnsi="Times New Roman"/>
          <w:sz w:val="16"/>
          <w:szCs w:val="16"/>
          <w:color w:val="auto"/>
        </w:rPr>
        <w:t>” means the occurrence of one or more of the following events with respect to the then-current Benchmark:</w:t>
      </w:r>
    </w:p>
    <w:p>
      <w:pPr>
        <w:spacing w:after="0" w:line="131" w:lineRule="exact"/>
        <w:rPr>
          <w:sz w:val="20"/>
          <w:szCs w:val="20"/>
          <w:color w:val="auto"/>
        </w:rPr>
      </w:pPr>
    </w:p>
    <w:p>
      <w:pPr>
        <w:ind w:right="60" w:firstLine="972"/>
        <w:spacing w:after="0" w:line="251" w:lineRule="auto"/>
        <w:tabs>
          <w:tab w:leader="none" w:pos="120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9" w:lineRule="exact"/>
        <w:rPr>
          <w:rFonts w:ascii="Times New Roman" w:cs="Times New Roman" w:eastAsia="Times New Roman" w:hAnsi="Times New Roman"/>
          <w:sz w:val="18"/>
          <w:szCs w:val="18"/>
          <w:color w:val="auto"/>
        </w:rPr>
      </w:pPr>
    </w:p>
    <w:p>
      <w:pPr>
        <w:ind w:firstLine="972"/>
        <w:spacing w:after="0" w:line="247" w:lineRule="auto"/>
        <w:tabs>
          <w:tab w:leader="none" w:pos="12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4" w:lineRule="exact"/>
        <w:rPr>
          <w:rFonts w:ascii="Times New Roman" w:cs="Times New Roman" w:eastAsia="Times New Roman" w:hAnsi="Times New Roman"/>
          <w:sz w:val="18"/>
          <w:szCs w:val="18"/>
          <w:color w:val="auto"/>
        </w:rPr>
      </w:pPr>
    </w:p>
    <w:p>
      <w:pPr>
        <w:ind w:firstLine="972"/>
        <w:spacing w:after="0" w:line="255" w:lineRule="auto"/>
        <w:tabs>
          <w:tab w:leader="none" w:pos="120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0" w:lineRule="exact"/>
        <w:rPr>
          <w:sz w:val="20"/>
          <w:szCs w:val="20"/>
          <w:color w:val="auto"/>
        </w:rPr>
      </w:pPr>
    </w:p>
    <w:p>
      <w:pPr>
        <w:ind w:right="160" w:firstLine="964"/>
        <w:spacing w:after="0" w:line="255"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0" w:lineRule="exact"/>
        <w:rPr>
          <w:sz w:val="20"/>
          <w:szCs w:val="20"/>
          <w:color w:val="auto"/>
        </w:rPr>
      </w:pPr>
    </w:p>
    <w:p>
      <w:pPr>
        <w:ind w:right="20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4"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2.14 and (b) ending at the time that a Benchmark Replacement has replaced the then-current Benchmark for all purposes hereunder and under any Loan Document in accordance with Section 2.14.</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13"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with respect to any Person, (i) in the case of any corporation, the board of directors of such Person or any committee thereof duly authorized to act on behalf of such board, (ii) in the case of any limited liability company, the board of managers, board of directors, manager or managing member of such Person, (iii) in the case of any partnership, the board of directors or board of managers of the general partner of such Person and (iv) in any other case, the functional equivalent of the foregoing.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6" w:right="619" w:bottom="1440" w:gutter="0" w:footer="0" w:header="0"/>
        </w:sectPr>
      </w:pPr>
    </w:p>
    <w:bookmarkStart w:id="327" w:name="page328"/>
    <w:bookmarkEnd w:id="32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set forth in the preamble to this Agreement.</w:t>
      </w:r>
    </w:p>
    <w:p>
      <w:pPr>
        <w:spacing w:after="0" w:line="213" w:lineRule="exact"/>
        <w:rPr>
          <w:sz w:val="20"/>
          <w:szCs w:val="20"/>
          <w:color w:val="auto"/>
        </w:rPr>
      </w:pPr>
    </w:p>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made, converted or continued on the same date and, in the case of SOFR Loans, as to which a single Interest Period is in effect.</w:t>
      </w:r>
    </w:p>
    <w:p>
      <w:pPr>
        <w:spacing w:after="0" w:line="170" w:lineRule="exact"/>
        <w:rPr>
          <w:sz w:val="20"/>
          <w:szCs w:val="20"/>
          <w:color w:val="auto"/>
        </w:rPr>
      </w:pPr>
    </w:p>
    <w:p>
      <w:pPr>
        <w:ind w:right="2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written request by the Borrower for a Borrowing in accordance with Section 2.03;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Borrowing Request shall be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or such other form as shall be approved by the Administrative Agent.</w:t>
      </w:r>
    </w:p>
    <w:p>
      <w:pPr>
        <w:spacing w:after="0" w:line="170"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commercial banks are open for commercial banking business in Chicago, Illinois and New York, New York; provided, that for purposes of determining the rate of interest applicable to any Loan the reference rate for which utilizes Term SOFR and for any notice periods related to the borrowing or continuation of, or the conversion into, a SOFR Loan, “Business Day” shall exclude any day on which the Securities Industry and Financial Markets Association recommends that the fixed income departments of its members be closed for the entire day for purposes of trading in United States government securities.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 Carryover Amount</w:t>
      </w:r>
      <w:r>
        <w:rPr>
          <w:rFonts w:ascii="Times New Roman" w:cs="Times New Roman" w:eastAsia="Times New Roman" w:hAnsi="Times New Roman"/>
          <w:sz w:val="18"/>
          <w:szCs w:val="18"/>
          <w:color w:val="auto"/>
        </w:rPr>
        <w:t>” has the meaning specified in Section 6.18.</w:t>
      </w:r>
    </w:p>
    <w:p>
      <w:pPr>
        <w:spacing w:after="0" w:line="213" w:lineRule="exact"/>
        <w:rPr>
          <w:sz w:val="20"/>
          <w:szCs w:val="20"/>
          <w:color w:val="auto"/>
        </w:rPr>
      </w:pPr>
    </w:p>
    <w:p>
      <w:pPr>
        <w:ind w:right="18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should be capitalized on the balance sheet of such Person in accordance with GAAP.</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any lease of property which in accordance with GAAP is required to be capitalized on the balance sheet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w:t>
      </w:r>
    </w:p>
    <w:p>
      <w:pPr>
        <w:spacing w:after="0" w:line="195"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xml:space="preserve">” of any Person means the obligations of such Person to pay rent or other amounts under any lease of (or other arrangement conveying the right to use) real or tangible personal property, or a combination thereof, which obligations are, or are required to be, classified and accounted for as capital leases on the balance sheet of such Person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Election</w:t>
      </w:r>
      <w:r>
        <w:rPr>
          <w:rFonts w:ascii="Times New Roman" w:cs="Times New Roman" w:eastAsia="Times New Roman" w:hAnsi="Times New Roman"/>
          <w:sz w:val="18"/>
          <w:szCs w:val="18"/>
          <w:color w:val="auto"/>
        </w:rPr>
        <w:t>” has the meaning specified in Section 2.13(f).</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means the Comprehensive Environmental Response, Compensation and Liability Act of 1980, as subsequently amended.</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CERCLIS</w:t>
      </w:r>
      <w:r>
        <w:rPr>
          <w:rFonts w:ascii="Times New Roman" w:cs="Times New Roman" w:eastAsia="Times New Roman" w:hAnsi="Times New Roman"/>
          <w:sz w:val="16"/>
          <w:szCs w:val="16"/>
          <w:color w:val="auto"/>
        </w:rPr>
        <w:t>” means the Comprehensive Environmental Response, Compensation and Liability Information System maintained by the 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Protection Agency.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580" w:top="265" w:right="599" w:bottom="1440" w:gutter="0" w:footer="0" w:header="0"/>
        </w:sectPr>
      </w:pPr>
    </w:p>
    <w:bookmarkStart w:id="328" w:name="page329"/>
    <w:bookmarkEnd w:id="328"/>
    <w:p>
      <w:pPr>
        <w:ind w:right="100" w:firstLine="964"/>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Change in Law</w:t>
      </w:r>
      <w:r>
        <w:rPr>
          <w:rFonts w:ascii="Times New Roman" w:cs="Times New Roman" w:eastAsia="Times New Roman" w:hAnsi="Times New Roman"/>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for purposes of Section 2.15(b), by any lending office of such Lender or by such Lender’s holding company, if any) with any request, guideline or directive (whether or not having the force of law) of any Governmental Authority made or issued after the date of this Agreement.</w:t>
      </w:r>
    </w:p>
    <w:p>
      <w:pPr>
        <w:spacing w:after="0" w:line="2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right="120" w:firstLine="972"/>
        <w:spacing w:after="0" w:line="255" w:lineRule="auto"/>
        <w:tabs>
          <w:tab w:leader="none" w:pos="120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an IPO, the Permitted Holders, directly or indirectly, shall cease to beneficially own (within the meaning of Rule 13d-3 and Rule 13d-5 under the Exchange Act) Equity Interests representing more than 50.1% of the total voting power of all of the outstanding voting stock of the Borrower;</w:t>
      </w:r>
    </w:p>
    <w:p>
      <w:pPr>
        <w:spacing w:after="0" w:line="75" w:lineRule="exact"/>
        <w:rPr>
          <w:rFonts w:ascii="Times New Roman" w:cs="Times New Roman" w:eastAsia="Times New Roman" w:hAnsi="Times New Roman"/>
          <w:sz w:val="18"/>
          <w:szCs w:val="18"/>
          <w:color w:val="auto"/>
        </w:rPr>
      </w:pPr>
    </w:p>
    <w:p>
      <w:pPr>
        <w:ind w:right="40" w:firstLine="972"/>
        <w:spacing w:after="0" w:line="249" w:lineRule="auto"/>
        <w:tabs>
          <w:tab w:leader="none" w:pos="121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an IPO, the acquisition by any Person or group (within the meaning of Section 13(d)(3) or Section 14(d)(2) of the Exchange Act), but excluding any employee benefit plan and/or Person acting as the trustee, agent or other fiduciary or administrator therefor, other than one or more Permitted Holders, in a single transaction or in a related series of transactions, by way of merger, amalgamation, consolidation or other business combination or purchase of beneficial ownership (within the meaning of Rule 13d-3 under the Exchange Act) of Equity Interests representing more than 35.0% of the total voting power of all of the outstanding voting stock of the Borrower;</w:t>
      </w:r>
    </w:p>
    <w:p>
      <w:pPr>
        <w:spacing w:after="0" w:line="81" w:lineRule="exact"/>
        <w:rPr>
          <w:rFonts w:ascii="Times New Roman" w:cs="Times New Roman" w:eastAsia="Times New Roman" w:hAnsi="Times New Roman"/>
          <w:sz w:val="18"/>
          <w:szCs w:val="18"/>
          <w:color w:val="auto"/>
        </w:rPr>
      </w:pPr>
    </w:p>
    <w:p>
      <w:pPr>
        <w:ind w:right="100" w:firstLine="972"/>
        <w:spacing w:after="0" w:line="267" w:lineRule="auto"/>
        <w:tabs>
          <w:tab w:leader="none" w:pos="120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shall cease to have the right or ability by voting power, contract or otherwise to elect or designate for election at least a majority of the Board of Directors of the Borrower;</w:t>
      </w:r>
    </w:p>
    <w:p>
      <w:pPr>
        <w:spacing w:after="0" w:line="64" w:lineRule="exact"/>
        <w:rPr>
          <w:rFonts w:ascii="Times New Roman" w:cs="Times New Roman" w:eastAsia="Times New Roman" w:hAnsi="Times New Roman"/>
          <w:sz w:val="18"/>
          <w:szCs w:val="18"/>
          <w:color w:val="auto"/>
        </w:rPr>
      </w:pPr>
    </w:p>
    <w:p>
      <w:pPr>
        <w:jc w:val="both"/>
        <w:ind w:firstLine="972"/>
        <w:spacing w:after="0" w:line="331" w:lineRule="auto"/>
        <w:tabs>
          <w:tab w:leader="none" w:pos="1212"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Lefkofsky shall (i) cease to be the Chief Executive Officer of the Borrower and (ii) cease to be a member of the Board of Directors of the Borrower, in each case within three (3) years of the Effective Date and, in each case, except as a result of his death, disability or incapacitation; or</w:t>
      </w:r>
    </w:p>
    <w:p>
      <w:pPr>
        <w:spacing w:after="0" w:line="17" w:lineRule="exact"/>
        <w:rPr>
          <w:rFonts w:ascii="Times New Roman" w:cs="Times New Roman" w:eastAsia="Times New Roman" w:hAnsi="Times New Roman"/>
          <w:sz w:val="16"/>
          <w:szCs w:val="16"/>
          <w:color w:val="auto"/>
        </w:rPr>
      </w:pPr>
    </w:p>
    <w:p>
      <w:pPr>
        <w:ind w:left="1200" w:hanging="228"/>
        <w:spacing w:after="0"/>
        <w:tabs>
          <w:tab w:leader="none" w:pos="12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 as defined in any Material Indebtedness.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set forth in Section 9.13.</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and the rules and regulations promulgated thereunder, as amended from time to time.</w:t>
      </w:r>
    </w:p>
    <w:p>
      <w:pPr>
        <w:spacing w:after="0" w:line="236" w:lineRule="exact"/>
        <w:rPr>
          <w:sz w:val="20"/>
          <w:szCs w:val="20"/>
          <w:color w:val="auto"/>
        </w:rPr>
      </w:pPr>
    </w:p>
    <w:p>
      <w:pPr>
        <w:ind w:right="660" w:firstLine="964"/>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Collateral</w:t>
      </w:r>
      <w:r>
        <w:rPr>
          <w:rFonts w:ascii="Times New Roman" w:cs="Times New Roman" w:eastAsia="Times New Roman" w:hAnsi="Times New Roman"/>
          <w:sz w:val="16"/>
          <w:szCs w:val="16"/>
          <w:color w:val="auto"/>
        </w:rPr>
        <w:t>” means any and all “Collateral”, as defined in any applicable Security Document (which shall include the Mortgaged Properties) and all other property of whatever kind subject or purported to be subject from time to time to a Lien under any Security Document.</w:t>
      </w:r>
    </w:p>
    <w:p>
      <w:pPr>
        <w:spacing w:after="0" w:line="123" w:lineRule="exact"/>
        <w:rPr>
          <w:sz w:val="20"/>
          <w:szCs w:val="20"/>
          <w:color w:val="auto"/>
        </w:rPr>
      </w:pPr>
    </w:p>
    <w:p>
      <w:pPr>
        <w:ind w:right="5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means Ares Capital Corporation, in its capacity as collateral agent for the Lenders under this Agreement and any Security Document.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329" w:name="page330"/>
    <w:bookmarkEnd w:id="329"/>
    <w:p>
      <w:pPr>
        <w:ind w:right="16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3683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 Agreement</w:t>
      </w:r>
      <w:r>
        <w:rPr>
          <w:rFonts w:ascii="Times New Roman" w:cs="Times New Roman" w:eastAsia="Times New Roman" w:hAnsi="Times New Roman"/>
          <w:sz w:val="18"/>
          <w:szCs w:val="18"/>
          <w:color w:val="auto"/>
        </w:rPr>
        <w:t>” means the Guarantee and Collateral Agreement among the Loan Parties and the Collateral Agent, dated as of the Effective Date (as amended or supplemented from time to time).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the requirement that:</w:t>
      </w:r>
    </w:p>
    <w:p>
      <w:pPr>
        <w:spacing w:after="0" w:line="213" w:lineRule="exact"/>
        <w:rPr>
          <w:sz w:val="20"/>
          <w:szCs w:val="20"/>
          <w:color w:val="auto"/>
        </w:rPr>
      </w:pPr>
    </w:p>
    <w:p>
      <w:pPr>
        <w:ind w:right="220" w:firstLine="972"/>
        <w:spacing w:after="0" w:line="255" w:lineRule="auto"/>
        <w:tabs>
          <w:tab w:leader="none" w:pos="120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have received from each Loan Party either (i) a counterpart of the Collateral Agreement duly executed and delivered on behalf of such Loan Party or (ii) in the case of any Person that becomes a Loan Party after the Effective Date, a supplement to the Collateral Agreement, in the form specified therein, duly executed and delivered on behalf of such Loan Party;</w:t>
      </w:r>
    </w:p>
    <w:p>
      <w:pPr>
        <w:spacing w:after="0" w:line="75" w:lineRule="exact"/>
        <w:rPr>
          <w:rFonts w:ascii="Times New Roman" w:cs="Times New Roman" w:eastAsia="Times New Roman" w:hAnsi="Times New Roman"/>
          <w:sz w:val="18"/>
          <w:szCs w:val="18"/>
          <w:color w:val="auto"/>
        </w:rPr>
      </w:pPr>
    </w:p>
    <w:p>
      <w:pPr>
        <w:ind w:right="60" w:firstLine="972"/>
        <w:spacing w:after="0" w:line="245" w:lineRule="auto"/>
        <w:tabs>
          <w:tab w:leader="none" w:pos="121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 Interests of each wholly owned Subsidiary owned directly by any Loan Party shall have been pledged pursuant to the Collateral Agreement (except that the Loan Parties (i) shall not be required to pledge or otherwise grant security interests in (A) any assets of a direct or indirect Foreign Subsidiary or (B) any assets of any Domestic Subsidiary if substantially all of its assets consist of the Equity Interests or Equity Interests and Indebtedness of (x) one or more direct or indirect Foreign Subsidiaries that are “controlled foreign corporations” under Section 957 of the Code if any of the dividends of such controlled foreign corporation are not entitled to the dividends received deduction under Section 245A of the Code (as reasonably determined by the Borrower in good faith) or (y) other Domestic Subsidiaries otherwise described in this clause (B) (each, a “</w:t>
      </w:r>
      <w:r>
        <w:rPr>
          <w:rFonts w:ascii="Times New Roman" w:cs="Times New Roman" w:eastAsia="Times New Roman" w:hAnsi="Times New Roman"/>
          <w:sz w:val="18"/>
          <w:szCs w:val="18"/>
          <w:u w:val="single" w:color="auto"/>
          <w:color w:val="auto"/>
        </w:rPr>
        <w:t>FSHCO</w:t>
      </w:r>
      <w:r>
        <w:rPr>
          <w:rFonts w:ascii="Times New Roman" w:cs="Times New Roman" w:eastAsia="Times New Roman" w:hAnsi="Times New Roman"/>
          <w:sz w:val="18"/>
          <w:szCs w:val="18"/>
          <w:color w:val="auto"/>
        </w:rPr>
        <w:t>”) or (C) any equity interests (as determined for U.S. federal income tax purposes) of (1) a direct or indirect Domestic Subsidiary of a direct or indirect Foreign Subsidiary, (2) any direct or indirect Domestic Subsidiary that is treated as a disregarded entity for U.S. federal income tax purposes if substantially all of its assets consists of the Equity Interests or indebtedness (as determined for U.S. federal income tax purposes) of one or more direct or indirect Foreign Subsidiaries, and (3) that are voting equity interests of (x) any Foreign Subsidiary or (y) any FSHCO, in each case, in excess of 65% of the voting equity interests and 100% of the outstanding non-voting equity interests thereof, and (ii) shall not be required to make any pledge, the pledge of which would constitute a violation of law or any contract permitted under this Agreement) and the Collateral Agent shall have received certificates or other instruments (if any) representing all such Equity Interests, together with undated stock powers or other instruments of transfer with respect thereto endorsed in blank;</w:t>
      </w:r>
    </w:p>
    <w:p>
      <w:pPr>
        <w:spacing w:after="0" w:line="87" w:lineRule="exact"/>
        <w:rPr>
          <w:rFonts w:ascii="Times New Roman" w:cs="Times New Roman" w:eastAsia="Times New Roman" w:hAnsi="Times New Roman"/>
          <w:sz w:val="18"/>
          <w:szCs w:val="18"/>
          <w:color w:val="auto"/>
        </w:rPr>
      </w:pPr>
    </w:p>
    <w:p>
      <w:pPr>
        <w:ind w:right="120" w:firstLine="972"/>
        <w:spacing w:after="0" w:line="249" w:lineRule="auto"/>
        <w:tabs>
          <w:tab w:leader="none" w:pos="120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for borrowed money of a Subsidiary in excess of $250,000 that is owing to any Loan Party shall be evidenced by a promissory note and shall have been pledged pursuant to the Collateral Agreement, and the Collateral Agent shall have received all such promissory notes and other promissory notes required to be delivered pursuant to the Collateral Agreement, together with undated instruments of transfer with respect thereto; provided, however, that the foregoing delivery requirement with respect to any intercompany indebtedness may be satisfied by delivery of an omnibus or global intercompany note executed by all Loan Parties as payees and all such obligors as payors;</w:t>
      </w:r>
    </w:p>
    <w:p>
      <w:pPr>
        <w:spacing w:after="0" w:line="81" w:lineRule="exact"/>
        <w:rPr>
          <w:rFonts w:ascii="Times New Roman" w:cs="Times New Roman" w:eastAsia="Times New Roman" w:hAnsi="Times New Roman"/>
          <w:sz w:val="18"/>
          <w:szCs w:val="18"/>
          <w:color w:val="auto"/>
        </w:rPr>
      </w:pPr>
    </w:p>
    <w:p>
      <w:pPr>
        <w:ind w:firstLine="972"/>
        <w:spacing w:after="0" w:line="251" w:lineRule="auto"/>
        <w:tabs>
          <w:tab w:leader="none" w:pos="121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including Uniform Commercial Code financing statements and control agreements, required by law or reasonably requested by the Collateral Agent to be executed, filed, registered or recorded to create the Liens intended to be created by the Collateral Agreement and perfect such Liens to the extent required by the Collateral Agreement, shall have been executed, filed, registered or recorded or delivered to the Collateral Agent for filing, registration or recording;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330" w:name="page331"/>
    <w:bookmarkEnd w:id="330"/>
    <w:p>
      <w:pPr>
        <w:ind w:right="80" w:firstLine="972"/>
        <w:spacing w:after="0" w:line="285" w:lineRule="auto"/>
        <w:tabs>
          <w:tab w:leader="none" w:pos="120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Collateral Agent shall have received (i) counterparts of a Mortgage with respect to each Mortgaged Property duly executed and delivered by the record owner of such Mortgaged Property, (ii) a policy or policies of title insurance issued by a nationally recognized title insurance company insuring the Lien of each such Mortgage as a valid senior secured Lien on the Mortgaged Property described therein, free of any other Liens except as expressly permitted by Section 6.02, and such surveys and legal opinions (excluding zoning and land use opinions if the title insurance policy includes a zoning endorsement), completed Federal Emergency Management Agency Standard Flood Hazard Determination with respect to each Mortgaged Property and other documents as the Collateral Agent may reasonably request with respect to any such Mortgage or Mortgaged Property.</w:t>
      </w:r>
    </w:p>
    <w:p>
      <w:pPr>
        <w:spacing w:after="0" w:line="159"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or any Security Document, (i) no Loan Party shall be required to pledge or grant security interests in any Excluded Asset (as defined in the Collateral Agreement) and (ii) no perfection steps or other actions or filings outside of the United States shall be required. The Administrative Agent may grant extensions of time for the perfection of security interests in or the obtaining of title insurance or surveys with respect to particular assets (including extensions beyond the Effective Date for the perfection of security interests in the assets of the Loan Parties on such date) where it reasonably determines, in consultation with the Borrower, that perfection cannot be accomplished without undue effort or expense by the time or times at which it would otherwise be required by this Agreement or the Security Documents. Notwithstanding the foregoing provisions of this definition or anything in this Agreement or any other Loan Document to the contrary, Liens required to be granted from time to time pursuant to the Collateral and Guarantee Requirement shall be subject to exceptions and limitations set forth in the Security Documents.</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the Term Loan Commitment.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Commodity Exchange Act</w:t>
      </w:r>
      <w:r>
        <w:rPr>
          <w:rFonts w:ascii="Times New Roman" w:cs="Times New Roman" w:eastAsia="Times New Roman" w:hAnsi="Times New Roman"/>
          <w:sz w:val="16"/>
          <w:szCs w:val="16"/>
          <w:color w:val="auto"/>
        </w:rPr>
        <w:t>” means the Commodity Exchange Act (7 U.S.C. §1 et. seq.), as amended from time to time, and any successor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195" w:lineRule="exact"/>
        <w:rPr>
          <w:sz w:val="20"/>
          <w:szCs w:val="20"/>
          <w:color w:val="auto"/>
        </w:rPr>
      </w:pPr>
    </w:p>
    <w:p>
      <w:pPr>
        <w:ind w:right="3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Competitors</w:t>
      </w:r>
      <w:r>
        <w:rPr>
          <w:rFonts w:ascii="Times New Roman" w:cs="Times New Roman" w:eastAsia="Times New Roman" w:hAnsi="Times New Roman"/>
          <w:sz w:val="18"/>
          <w:szCs w:val="18"/>
          <w:color w:val="auto"/>
        </w:rPr>
        <w:t>” means any Person who is not an Affiliate of a Loan Party and who engages (or whose Affiliate engages), as its primary business, in the same or similar business as the Permitted Business.</w:t>
      </w:r>
    </w:p>
    <w:p>
      <w:pPr>
        <w:spacing w:after="0" w:line="170" w:lineRule="exact"/>
        <w:rPr>
          <w:sz w:val="20"/>
          <w:szCs w:val="20"/>
          <w:color w:val="auto"/>
        </w:rPr>
      </w:pPr>
    </w:p>
    <w:p>
      <w:pPr>
        <w:ind w:right="3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Disclosure Letter</w:t>
      </w:r>
      <w:r>
        <w:rPr>
          <w:rFonts w:ascii="Times New Roman" w:cs="Times New Roman" w:eastAsia="Times New Roman" w:hAnsi="Times New Roman"/>
          <w:sz w:val="18"/>
          <w:szCs w:val="18"/>
          <w:color w:val="auto"/>
        </w:rPr>
        <w:t>” means that certain Confidential Disclosure Letter, dated as of the Effective Date, and delivered by the Borrower to the Agents.</w:t>
      </w:r>
    </w:p>
    <w:p>
      <w:pPr>
        <w:spacing w:after="0" w:line="170"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00"/>
          </w:cols>
          <w:pgMar w:left="580" w:top="265" w:right="619" w:bottom="1440" w:gutter="0" w:footer="0" w:header="0"/>
        </w:sectPr>
      </w:pPr>
    </w:p>
    <w:bookmarkStart w:id="331" w:name="page332"/>
    <w:bookmarkEnd w:id="331"/>
    <w:p>
      <w:pPr>
        <w:ind w:right="38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2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 Agreement</w:t>
      </w:r>
      <w:r>
        <w:rPr>
          <w:rFonts w:ascii="Times New Roman" w:cs="Times New Roman" w:eastAsia="Times New Roman" w:hAnsi="Times New Roman"/>
          <w:sz w:val="18"/>
          <w:szCs w:val="18"/>
          <w:color w:val="auto"/>
        </w:rPr>
        <w:t>” has the meaning assigned to such term in the Collateral Agreement.</w:t>
      </w:r>
    </w:p>
    <w:p>
      <w:pPr>
        <w:spacing w:after="0" w:line="3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each of the Administrative Agent, the Collateral Agent and the Lenders.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Amount</w:t>
      </w:r>
      <w:r>
        <w:rPr>
          <w:rFonts w:ascii="Times New Roman" w:cs="Times New Roman" w:eastAsia="Times New Roman" w:hAnsi="Times New Roman"/>
          <w:sz w:val="18"/>
          <w:szCs w:val="18"/>
          <w:color w:val="auto"/>
        </w:rPr>
        <w:t>” has the meaning set forth in Section 7.02.</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Right</w:t>
      </w:r>
      <w:r>
        <w:rPr>
          <w:rFonts w:ascii="Times New Roman" w:cs="Times New Roman" w:eastAsia="Times New Roman" w:hAnsi="Times New Roman"/>
          <w:sz w:val="18"/>
          <w:szCs w:val="18"/>
          <w:color w:val="auto"/>
        </w:rPr>
        <w:t>” has the meaning set forth in Section 7.02.</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Declined Proceeds</w:t>
      </w:r>
      <w:r>
        <w:rPr>
          <w:rFonts w:ascii="Times New Roman" w:cs="Times New Roman" w:eastAsia="Times New Roman" w:hAnsi="Times New Roman"/>
          <w:sz w:val="18"/>
          <w:szCs w:val="18"/>
          <w:color w:val="auto"/>
        </w:rPr>
        <w:t>” has the meaning set forth in Section 2.11(l).</w:t>
      </w:r>
    </w:p>
    <w:p>
      <w:pPr>
        <w:spacing w:after="0" w:line="213" w:lineRule="exact"/>
        <w:rPr>
          <w:sz w:val="20"/>
          <w:szCs w:val="20"/>
          <w:color w:val="auto"/>
        </w:rPr>
      </w:pPr>
    </w:p>
    <w:p>
      <w:pPr>
        <w:ind w:right="3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which upon notice, lapse of time or both would, unless cured or waived, become an Event of Default.</w:t>
      </w:r>
    </w:p>
    <w:p>
      <w:pPr>
        <w:spacing w:after="0" w:line="170" w:lineRule="exact"/>
        <w:rPr>
          <w:sz w:val="20"/>
          <w:szCs w:val="20"/>
          <w:color w:val="auto"/>
        </w:rPr>
      </w:pPr>
    </w:p>
    <w:p>
      <w:pPr>
        <w:ind w:right="40" w:firstLine="964"/>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any Lender that (a) has failed, within two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Administrative Agent in writing, or has made a public statement to the effect, that it does not intend or expect to comply with any of its funding obligations under this Agreement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by notice to the Borrower and the other Lenders, declare that such Defaulting Lender is no longer a Defaulting Lender pursuant to this clause (c) upon the Administrative Agent’s receipt of such certification in form and substance satisfactory to it and the Administrative Agent, (d) has become the subject of a Bankruptcy Event or (e) has become the subject of a Bail-In Action.</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the meaning set forth in Section 6.05.</w:t>
      </w:r>
    </w:p>
    <w:p>
      <w:pPr>
        <w:spacing w:after="0" w:line="213"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any Equity Interest that, by its terms (or by the terms of any security into which it is convertible, or for which it is exchangeable, in each case, at the option of the holder of the Equity Interest), or upon the happening of any event, matures (excluding any maturity as the result of an optional redemption by the issuer thereof) or is mandatorily redeemable, pursuant to a sinking fund obligation or otherwise, or redeemable at the option of the holder of the Equity Interest, in whole or in part, other than in each case solely in exchange for Qualified Equity Interests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580" w:top="265" w:right="61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cash in lieu of fractional shares), on or prior to the date that is 91 days after the Term Loan Maturity Date. Notwithstanding the preceding sentence,</w:t>
      </w:r>
    </w:p>
    <w:p>
      <w:pPr>
        <w:spacing w:after="0" w:line="21" w:lineRule="exact"/>
        <w:rPr>
          <w:sz w:val="20"/>
          <w:szCs w:val="20"/>
          <w:color w:val="auto"/>
        </w:rPr>
      </w:pPr>
    </w:p>
    <w:p>
      <w:pPr>
        <w:ind w:firstLine="8"/>
        <w:spacing w:after="0" w:line="243" w:lineRule="auto"/>
        <w:tabs>
          <w:tab w:leader="none" w:pos="28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 that would constitute Disqualified Equity Interests solely because the holders of the Equity Interest have the right to require the Borrower or the Subsidiary that issued such Equity Interest to repurchase such Equity Interest upon the occurrence of a change of control or an asset sale will not constitute Disqualified Equity Interests if the terms of such Equity Interest provide that the Borrower may not repurchase such Equity Interest unless the Borrower would be permitted to do so in compliance with Section 6.08, (x) any Equity Interest that would constitute Disqualified Equity Interests solely as a result of any redemption feature that is conditioned upon, and subject to, compliance with Section 6.08 will not constitute Disqualified Equity Interests, (y) any Equity Interest issued to any plan for the benefit of employees will not constitute Disqualified Equity Interests solely because it may be required to be repurchased by the Borrower or the Subsidiary that issued such Equity Interest in order to satisfy applicable statutory or regulatory obligations and (z) any class of Equity Interests of such Person that by its terms requires such Person to satisfy its obligations thereunder by delivery of Qualified Equity Interests shall not be deemed to be Disqualified Equity Interests. The amount of Disqualified Equity Interests deemed to be outstanding at any time for purposes of this Agreement will be the maximum amount that the Borrower and its Subsidiaries may become obligated to pay upon the maturity of, or pursuant to any mandatory redemption provisions of, such Disqualified Equity Interests, exclusive of accrued dividends.</w:t>
      </w:r>
    </w:p>
    <w:p>
      <w:pPr>
        <w:spacing w:after="0" w:line="198" w:lineRule="exact"/>
        <w:rPr>
          <w:sz w:val="20"/>
          <w:szCs w:val="20"/>
          <w:color w:val="auto"/>
        </w:rPr>
      </w:pPr>
    </w:p>
    <w:p>
      <w:pPr>
        <w:ind w:right="40" w:firstLine="964"/>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Disqualified Institution</w:t>
      </w:r>
      <w:r>
        <w:rPr>
          <w:rFonts w:ascii="Times New Roman" w:cs="Times New Roman" w:eastAsia="Times New Roman" w:hAnsi="Times New Roman"/>
          <w:sz w:val="16"/>
          <w:szCs w:val="16"/>
          <w:color w:val="auto"/>
        </w:rPr>
        <w:t xml:space="preserve">” means (a) any competitor of the Borrower or its Subsidiaries identified in writing by or on behalf of the Borrower to (i) the Lead Arranger prior to the Effective Date or (ii) the Administrative Agent from time to time after the Effective Date with the written consent of the Administrative Agent (in its sole discretion), (b) those particular banks, financial institutions, other institutional lenders and other Persons identified by or on behalf of the Borrower to the Lead Arranger in writing (as provided herein) (x) prior to the Effective Date (or related funds of any such Persons) or (y) after the Effective Date with the written consent of the Administrative Agent (in its sole discretion) and (c) any Affiliate of the entities described in the preceding clauses (a) or (b) that are either (w) reasonably identifiable as such on the basis of their name or (x) are identified as such in writing by or on behalf of the Borrower to (i) the Lead Arranger prior to the Effective Date or (ii) the Administrative Agent from time to time after the Effective Date (other than, in each case, Affiliates that constitute bona fide debt funds primarily investing in loans);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Person that is a Lender or a Participant and subsequently becomes a Disqualified Institution (but was not a Disqualified Institution at the time it became a Lender or a Participant, as applicable) shall be deemed to not be a Disqualified Institution hereunder (in the case of any such Participant that is not a Lender, solely with respect to the participations held by such Participant). The identity of Disqualified Institutions may be disclosed (i) by the Administrative Agent to a Lender upon request and (ii) by any Lender to any prospective Lender, Participant or Eligible Assignee, subject to the acknowledgment and acceptance by such prospective Lender, Participant or Eligible Assignee that the identity of Disqualified Institutions is being disseminated on a confidential basis and that such prospective Lender, Participant or Eligible Assignee shall be bound by the same confidentiality restrictions as those applicable to the Lender making such communication, but will not be otherwise posted or distributed to any Person. Notwithstanding anything to the contrary contained in this Agreement, (a) the Administrative Agent shall not be responsible or have any liability for, or have any duty to ascertain, inquire into, monitor or enforce, compliance with the provisions hereof relating to Disqualified Institutions and (b) the Borrower (on behalf of themselves and the other Loan Parties) and the Lenders acknowledge and agree that the Administrative Agent shall have no responsibility or obligation to determine whether any Lender or potential Lender is a Disqualified Institution and that the Administrative Agent shall have no liability with respect to any assignment or participation made to a Disqualified Institution.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20"/>
          </w:cols>
          <w:pgMar w:left="580" w:top="265" w:right="599" w:bottom="1440" w:gutter="0" w:footer="0" w:header="0"/>
        </w:sectPr>
      </w:pPr>
    </w:p>
    <w:bookmarkStart w:id="333" w:name="page334"/>
    <w:bookmarkEnd w:id="3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13" w:lineRule="exact"/>
        <w:rPr>
          <w:sz w:val="20"/>
          <w:szCs w:val="20"/>
          <w:color w:val="auto"/>
        </w:rPr>
      </w:pPr>
    </w:p>
    <w:p>
      <w:pPr>
        <w:ind w:right="1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incorporated or organized under the laws of the United States of America, any State thereof or the District of Columbia.</w:t>
      </w:r>
    </w:p>
    <w:p>
      <w:pPr>
        <w:spacing w:after="0" w:line="170"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13"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September 22, 2022.</w:t>
      </w:r>
    </w:p>
    <w:p>
      <w:pPr>
        <w:spacing w:after="0" w:line="213" w:lineRule="exact"/>
        <w:rPr>
          <w:sz w:val="20"/>
          <w:szCs w:val="20"/>
          <w:color w:val="auto"/>
        </w:rPr>
      </w:pPr>
    </w:p>
    <w:p>
      <w:pPr>
        <w:ind w:right="500" w:firstLine="964"/>
        <w:spacing w:after="0" w:line="267" w:lineRule="auto"/>
        <w:rPr>
          <w:sz w:val="20"/>
          <w:szCs w:val="20"/>
          <w:color w:val="auto"/>
        </w:rPr>
      </w:pPr>
      <w:r>
        <w:rPr>
          <w:rFonts w:ascii="Times New Roman" w:cs="Times New Roman" w:eastAsia="Times New Roman" w:hAnsi="Times New Roman"/>
          <w:sz w:val="18"/>
          <w:szCs w:val="18"/>
          <w:u w:val="single" w:color="auto"/>
          <w:color w:val="0000FF"/>
        </w:rPr>
        <w:t>“Effective Date Term Lender” means, at any time, any Lender that has an Effective Date Term Loan Commitment or an outstanding Effective Date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-138430</wp:posOffset>
            </wp:positionV>
            <wp:extent cx="58686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68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118364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spacing w:after="0" w:line="150"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u w:val="single" w:color="auto"/>
          <w:color w:val="0000FF"/>
        </w:rPr>
        <w:t>“Effective Date Term Loan Commitments” means, with respect to each Effective Date Term Lender, such Effective Date Term Lender’s Term Loan Commitment to make an Effective Date Term Loan hereunder on the Effective Date as set forth on Schedule 2.01 opposite such Lender’s name under the heading “Effective Date Term Loan Commitment”, expressed as an amount representing the maximum principal amount of the Effective Date Term Loan to be made by such Lender hereunder, as such commitment may be reduced or increased from time to time pursuant to this Agreement and as amended to reflect assignments. Unless the context shall otherwise require, the term “Effective Date Term Loan Commitments” shall include any commitment to Replacement Term Loans of such Lender. The aggregate amount of the Effective Date Term Loan Commitments as of the Effective Date is $175,000,000.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-793115</wp:posOffset>
            </wp:positionV>
            <wp:extent cx="605218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66192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6192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6794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79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67360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736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67691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769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678624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786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416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41680" cy="8255"/>
                    </a:xfrm>
                    <a:prstGeom prst="rect">
                      <a:avLst/>
                    </a:prstGeom>
                    <a:noFill/>
                  </pic:spPr>
                </pic:pic>
              </a:graphicData>
            </a:graphic>
          </wp:anchor>
        </w:drawing>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“Effective Date Term Loans” has the meaning set forth in Section 2.01(a).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22225</wp:posOffset>
            </wp:positionV>
            <wp:extent cx="330136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01365" cy="8255"/>
                    </a:xfrm>
                    <a:prstGeom prst="rect">
                      <a:avLst/>
                    </a:prstGeom>
                    <a:noFill/>
                  </pic:spPr>
                </pic:pic>
              </a:graphicData>
            </a:graphic>
          </wp:anchor>
        </w:drawing>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has the meaning set forth in Section 9.04(a).</w:t>
      </w:r>
    </w:p>
    <w:p>
      <w:pPr>
        <w:spacing w:after="0" w:line="213" w:lineRule="exact"/>
        <w:rPr>
          <w:sz w:val="20"/>
          <w:szCs w:val="20"/>
          <w:color w:val="auto"/>
        </w:rPr>
      </w:pPr>
    </w:p>
    <w:p>
      <w:pPr>
        <w:ind w:right="1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(including the common law), rules, regulations, codes, ordinances, orders, decrees, judgments, injunctions, notices or binding agreements issued, promulgated or entered into by or with any Governmental Authority, relating in any way to pollution or the protection of the environment, preservation or reclamation of natural resources, the presence, management, Release or threatened Release of any Hazardous Material, or to health and safety matters relating to exposure to Hazardous Materials in the workplace.</w:t>
      </w:r>
    </w:p>
    <w:p>
      <w:pPr>
        <w:spacing w:after="0" w:line="184" w:lineRule="exact"/>
        <w:rPr>
          <w:sz w:val="20"/>
          <w:szCs w:val="20"/>
          <w:color w:val="auto"/>
        </w:rPr>
      </w:pPr>
    </w:p>
    <w:p>
      <w:pPr>
        <w:ind w:right="6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liabilities, obligations, damages, claims, actions, suits, judgments, orders, fines, penalties, fees, expenses and costs (including administrative oversight costs, natural resource damages and medical monitoring, investigation or remediation costs), whether contingent or otherwise, arising out of or relating to any actual or alleged failure to comply with Environmental Law, including with respect to (a) the generation, use, handling, transportation, storage, treatment or disposal of any Hazardous Materials, (b) exposure to any Hazardous Materials, or (c) the Release or threatened Release of any Hazardous Materials.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5" w:right="599" w:bottom="1440" w:gutter="0" w:footer="0" w:header="0"/>
        </w:sectPr>
      </w:pPr>
    </w:p>
    <w:bookmarkStart w:id="334" w:name="page335"/>
    <w:bookmarkEnd w:id="334"/>
    <w:p>
      <w:pPr>
        <w:ind w:right="88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 Law.</w:t>
      </w:r>
    </w:p>
    <w:p>
      <w:pPr>
        <w:spacing w:after="0" w:line="170" w:lineRule="exact"/>
        <w:rPr>
          <w:sz w:val="20"/>
          <w:szCs w:val="20"/>
          <w:color w:val="auto"/>
        </w:rPr>
      </w:pPr>
    </w:p>
    <w:p>
      <w:pPr>
        <w:ind w:right="22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from the issuer thereof, but excluding any debt securities convertible into such shares or other such equity interests unless such debt securities are converted into such shares or other such equity interests.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and the regulations promulgated thereunder, as amended from</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195" w:lineRule="exact"/>
        <w:rPr>
          <w:sz w:val="20"/>
          <w:szCs w:val="20"/>
          <w:color w:val="auto"/>
        </w:rPr>
      </w:pPr>
    </w:p>
    <w:p>
      <w:pPr>
        <w:ind w:right="28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including Section 414(m) and (o) of the Code solely for purposes of Section 412 of the Code and Section 302 of ERISA.</w:t>
      </w:r>
    </w:p>
    <w:p>
      <w:pPr>
        <w:spacing w:after="0" w:line="180" w:lineRule="exact"/>
        <w:rPr>
          <w:sz w:val="20"/>
          <w:szCs w:val="20"/>
          <w:color w:val="auto"/>
        </w:rPr>
      </w:pPr>
    </w:p>
    <w:p>
      <w:pPr>
        <w:ind w:firstLine="964"/>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Event</w:t>
      </w:r>
      <w:r>
        <w:rPr>
          <w:rFonts w:ascii="Times New Roman" w:cs="Times New Roman" w:eastAsia="Times New Roman" w:hAnsi="Times New Roman"/>
          <w:sz w:val="16"/>
          <w:szCs w:val="16"/>
          <w:color w:val="auto"/>
        </w:rPr>
        <w:t>” means (a) any “reportable event”, as defined in Section 4043 of ERISA or the regulations issued thereunder, with respect to a Plan (other than an event for which the 30 day notice period is waived), (b) a failure to satisfy the minimum funding standard under Section 412 of the Code or Section 302 of ERISA, whether or not waived, (c) the filing pursuant to Section 412(c) of the Code or Section 302(c) of ERISA of an application for a waiver of the minimum funding standard with respect to any Plan, (d) the incurrence by the Borrower or any of its ERISA Affiliates of any liability under Title IV of ERISA, other than for PBGC premiums due but not delinquent under Section 4007 of ERISA, with respect to the termination of any Plan, (e) the receipt by the Borrower or any ERISA Affiliate from the PBGC or a plan administrator of any written notice relating to an intention to terminate any Plan or Plans or to appoint a trustee to administer any Plan, (f) the receipt by the Borrower or any ERISA Affiliate of any written notice relating to the incurrence by the Borrower or any of its ERISA Affiliates of any liability with respect to the withdrawal or partial withdrawal from any Plan or Multiemployer Plan, (g) the receipt by the Borrower or any ERISA Affiliate of any written notice, or the receipt by any Multiemployer Plan from the Borrower or any ERISA Affiliate of any written notice, concerning a determination that a Multiemployer Plan is, or is expected to be, insolvent or in reorganization, within the meaning of Title IV of ERISA or that a Multiemployer Plan is in “critical” status within the meaning of Section 432 of the Code or Section 305 of ERISA; or (h) the occurrence of a nonexempt prohibited transaction (within the meaning of Section 4975 of the Code or Section 406 of ERISA) which is reasonably likely to result in a Material Adverse Effect.</w:t>
      </w:r>
    </w:p>
    <w:p>
      <w:pPr>
        <w:spacing w:after="0" w:line="3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has the meaning specified in Section 8.11(a).</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has the meaning specified in Section 8.11(d).</w:t>
      </w:r>
    </w:p>
    <w:p>
      <w:pPr>
        <w:spacing w:after="0" w:line="14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40"/>
          </w:cols>
          <w:pgMar w:left="580" w:top="265" w:right="679" w:bottom="1440" w:gutter="0" w:footer="0" w:header="0"/>
        </w:sectPr>
      </w:pPr>
    </w:p>
    <w:bookmarkStart w:id="335" w:name="page336"/>
    <w:bookmarkEnd w:id="335"/>
    <w:p>
      <w:pPr>
        <w:ind w:right="66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Section 7.01.</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Net Proceeds</w:t>
      </w:r>
      <w:r>
        <w:rPr>
          <w:rFonts w:ascii="Times New Roman" w:cs="Times New Roman" w:eastAsia="Times New Roman" w:hAnsi="Times New Roman"/>
          <w:sz w:val="18"/>
          <w:szCs w:val="18"/>
          <w:color w:val="auto"/>
        </w:rPr>
        <w:t>” has the meaning set forth in Section 2.11(c).</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set forth in the Collateral Agreement.</w:t>
      </w:r>
    </w:p>
    <w:p>
      <w:pPr>
        <w:spacing w:after="0" w:line="213" w:lineRule="exact"/>
        <w:rPr>
          <w:sz w:val="20"/>
          <w:szCs w:val="20"/>
          <w:color w:val="auto"/>
        </w:rPr>
      </w:pPr>
    </w:p>
    <w:p>
      <w:pPr>
        <w:ind w:right="60" w:firstLine="964"/>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Excluded Swap Obligation</w:t>
      </w:r>
      <w:r>
        <w:rPr>
          <w:rFonts w:ascii="Times New Roman" w:cs="Times New Roman" w:eastAsia="Times New Roman" w:hAnsi="Times New Roman"/>
          <w:sz w:val="16"/>
          <w:szCs w:val="16"/>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becomes effective with respect to such related Swap Obligation.</w:t>
      </w:r>
    </w:p>
    <w:p>
      <w:pPr>
        <w:spacing w:after="0" w:line="156"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2.19(b)) or (ii) such Lender changes its lending office, except in each case to the extent that, pursuant to Section 2.17(a), amounts with respect to such Taxes were payable either to such Lender’s assignor immediately before such Lender became a party hereto or to such Lender immediately before it changed its lending office, (c) Taxes attributable to such Recipient’s failure to comply with Section 2.17(f), and (d) any withholding Taxes imposed under FATCA.</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right="40" w:firstLine="964"/>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means the value that would be paid by a willing buyer to an unaffiliated willing seller in a transaction not involving distress or necessity of either party, determined in good faith by the Board of Directors, chief executive officer or chief financial officer of the Borrower.</w:t>
      </w:r>
    </w:p>
    <w:p>
      <w:pPr>
        <w:spacing w:after="0" w:line="123" w:lineRule="exact"/>
        <w:rPr>
          <w:sz w:val="20"/>
          <w:szCs w:val="20"/>
          <w:color w:val="auto"/>
        </w:rPr>
      </w:pPr>
    </w:p>
    <w:p>
      <w:pPr>
        <w:ind w:right="220" w:firstLine="964"/>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FATCA</w:t>
      </w:r>
      <w:r>
        <w:rPr>
          <w:rFonts w:ascii="Times New Roman" w:cs="Times New Roman" w:eastAsia="Times New Roman" w:hAnsi="Times New Roman"/>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agreements, treaty or convention among Governmental Authorities and implementing such Sections of the Code.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336" w:name="page337"/>
    <w:bookmarkEnd w:id="3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Federal Food and Drug Administration.</w:t>
      </w:r>
    </w:p>
    <w:p>
      <w:pPr>
        <w:spacing w:after="0" w:line="213" w:lineRule="exact"/>
        <w:rPr>
          <w:sz w:val="20"/>
          <w:szCs w:val="20"/>
          <w:color w:val="auto"/>
        </w:rPr>
      </w:pPr>
    </w:p>
    <w:p>
      <w:pPr>
        <w:ind w:right="6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provided that if the Federal Funds Rate shall be less than zero, such rate shall be deemed to zero for the purposes of calculating such rate.</w:t>
      </w:r>
    </w:p>
    <w:p>
      <w:pPr>
        <w:spacing w:after="0" w:line="184" w:lineRule="exact"/>
        <w:rPr>
          <w:sz w:val="20"/>
          <w:szCs w:val="20"/>
          <w:color w:val="auto"/>
        </w:rPr>
      </w:pPr>
    </w:p>
    <w:p>
      <w:pPr>
        <w:ind w:right="6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Fee Letter, dated as of the Effective Date, by and between the Administrative Agent the Lead Arranger, the Borrower and the Lenders party thereto.</w:t>
      </w:r>
    </w:p>
    <w:p>
      <w:pPr>
        <w:spacing w:after="0" w:line="170" w:lineRule="exact"/>
        <w:rPr>
          <w:sz w:val="20"/>
          <w:szCs w:val="20"/>
          <w:color w:val="auto"/>
        </w:rPr>
      </w:pPr>
    </w:p>
    <w:p>
      <w:pPr>
        <w:ind w:right="3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chief executive officer, principal accounting officer, treasurer or controller of the Borrower (or other officer with equivalent duties), in each case in his or her capacity as such.</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 means the covenants of the Borrower set forth in Section 6.12.</w:t>
      </w:r>
    </w:p>
    <w:p>
      <w:pPr>
        <w:spacing w:after="0" w:line="213" w:lineRule="exact"/>
        <w:rPr>
          <w:sz w:val="20"/>
          <w:szCs w:val="20"/>
          <w:color w:val="auto"/>
        </w:rPr>
      </w:pPr>
    </w:p>
    <w:p>
      <w:pPr>
        <w:jc w:val="both"/>
        <w:ind w:right="480" w:firstLine="964"/>
        <w:spacing w:after="0" w:line="255" w:lineRule="auto"/>
        <w:rPr>
          <w:sz w:val="20"/>
          <w:szCs w:val="20"/>
          <w:color w:val="auto"/>
        </w:rPr>
      </w:pPr>
      <w:r>
        <w:rPr>
          <w:rFonts w:ascii="Times New Roman" w:cs="Times New Roman" w:eastAsia="Times New Roman" w:hAnsi="Times New Roman"/>
          <w:sz w:val="18"/>
          <w:szCs w:val="18"/>
          <w:u w:val="single" w:color="auto"/>
          <w:color w:val="0000FF"/>
        </w:rPr>
        <w:t>“First Amendment” means that certain Limited Waiver and First Amendment to Credit Agreement, dated as of the First Amendment Effective Date, by and among the Borrower, the other Loan Parties party thereto, Administrative Agent, Lead Arranger, Sole Bookrunner and the Lenders party thereto (including, for the avoidance of doubt, the First Amendment Effective Date Term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-264795</wp:posOffset>
            </wp:positionV>
            <wp:extent cx="588581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885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64522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452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504380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043805" cy="8255"/>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“First Amendment Effective Date” means April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22225</wp:posOffset>
            </wp:positionV>
            <wp:extent cx="25761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76195" cy="8255"/>
                    </a:xfrm>
                    <a:prstGeom prst="rect">
                      <a:avLst/>
                    </a:prstGeom>
                    <a:noFill/>
                  </pic:spPr>
                </pic:pic>
              </a:graphicData>
            </a:graphic>
          </wp:anchor>
        </w:drawing>
      </w:r>
    </w:p>
    <w:p>
      <w:pPr>
        <w:spacing w:after="0" w:line="193"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u w:val="single" w:color="auto"/>
          <w:color w:val="0000FF"/>
        </w:rPr>
        <w:t>“First Amendment Effective Date Term Lender” means, at any time, any Lender that has a First Amendment Effective Date Term Loan Commitment or an outstanding First Amendment Effective Date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-138430</wp:posOffset>
            </wp:positionV>
            <wp:extent cx="601091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0109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34099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09950" cy="8255"/>
                    </a:xfrm>
                    <a:prstGeom prst="rect">
                      <a:avLst/>
                    </a:prstGeom>
                    <a:noFill/>
                  </pic:spPr>
                </pic:pic>
              </a:graphicData>
            </a:graphic>
          </wp:anchor>
        </w:drawing>
      </w:r>
    </w:p>
    <w:p>
      <w:pPr>
        <w:spacing w:after="0" w:line="150"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u w:val="single" w:color="auto"/>
          <w:color w:val="0000FF"/>
        </w:rPr>
        <w:t>“First Amendment Effective Date Term Loan Commitments” means, with respect to each First Amendment Effective Date Term Lender, such First Amendment Effective Date Term Lender’s Term Loan Commitment to make a First Amendment Effective Date Term Loan hereunder on the First Amendment Effective Date as set forth on Schedule 2.01 opposite such Lender’s name under the heading “First Amendment Effective Date Term Loan Commitment”, expressed as an amount representing the maximum principal amount of the First Amendment Effective Date Term Loan to be made by such Lender hereunder, as such commitment may be reduced or increased from time to time pursuant to this Agreement and as amended to reflect assignments. Unless the context shall otherwise require, the term “First Amendment Effective Date Term Loan Commitments” shall include any commitment to Replacement Term Loans of such Lender. The aggregate amount of the First Amendment Effective Date Term Loan Commitments as of the First Amendment Effective Date is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-928370</wp:posOffset>
            </wp:positionV>
            <wp:extent cx="607758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67278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727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-661035</wp:posOffset>
            </wp:positionV>
            <wp:extent cx="67024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7024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67945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79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66274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6274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64109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4109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676084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760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232600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“First Amendment Effective Date Term Loans” has the meaning set forth in Section 2.01(b).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22225</wp:posOffset>
            </wp:positionV>
            <wp:extent cx="410972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109720" cy="8255"/>
                    </a:xfrm>
                    <a:prstGeom prst="rect">
                      <a:avLst/>
                    </a:prstGeom>
                    <a:noFill/>
                  </pic:spPr>
                </pic:pic>
              </a:graphicData>
            </a:graphic>
          </wp:anchor>
        </w:drawing>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1.00%.</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580" w:top="265" w:right="599" w:bottom="1440" w:gutter="0" w:footer="0" w:header="0"/>
        </w:sectPr>
      </w:pPr>
    </w:p>
    <w:bookmarkStart w:id="337" w:name="page338"/>
    <w:bookmarkEnd w:id="337"/>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213" w:lineRule="exact"/>
        <w:rPr>
          <w:sz w:val="20"/>
          <w:szCs w:val="20"/>
          <w:color w:val="auto"/>
        </w:rPr>
      </w:pPr>
    </w:p>
    <w:p>
      <w:pPr>
        <w:ind w:firstLine="964"/>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upon the prior written consent of the Administrative Agent,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in this Agreement shall be construed, and all computations of amounts and ratios referred to in this Agreement shall be made without giving effect to any election under Accounting Standards Codification Topic 825—Financial Instruments, or any successor thereto or comparable accounting principle (including pursuant to the Accounting Standards Codification), to value any Indebtedness of the Borrower or any Subsidiary at “fair value,” as defined therein and (b) the amount of any Indebtedness under GAAP with respect to Capital Lease Obligations shall be determined in accordance with the definition of Capital Lease Obligations.</w:t>
      </w:r>
    </w:p>
    <w:p>
      <w:pPr>
        <w:spacing w:after="0" w:line="3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Google Note</w:t>
      </w:r>
      <w:r>
        <w:rPr>
          <w:rFonts w:ascii="Times New Roman" w:cs="Times New Roman" w:eastAsia="Times New Roman" w:hAnsi="Times New Roman"/>
          <w:sz w:val="18"/>
          <w:szCs w:val="18"/>
          <w:color w:val="auto"/>
        </w:rPr>
        <w:t>” means that certain Convertible Promissory Note, dated as of June 22, 2020, issued by the Borrower to Google LLC.</w:t>
      </w:r>
    </w:p>
    <w:p>
      <w:pPr>
        <w:spacing w:after="0" w:line="213" w:lineRule="exact"/>
        <w:rPr>
          <w:sz w:val="20"/>
          <w:szCs w:val="20"/>
          <w:color w:val="auto"/>
        </w:rPr>
      </w:pPr>
    </w:p>
    <w:p>
      <w:pPr>
        <w:ind w:right="8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any securities exchange and any self-regulatory organization (including the National Association of Insurance Commissioners). For avoidance of doubt, the term Governmental Authority includes any and all Public Health Regulatory Agencies.</w:t>
      </w:r>
    </w:p>
    <w:p>
      <w:pPr>
        <w:spacing w:after="0" w:line="187" w:lineRule="exact"/>
        <w:rPr>
          <w:sz w:val="20"/>
          <w:szCs w:val="20"/>
          <w:color w:val="auto"/>
        </w:rPr>
      </w:pPr>
    </w:p>
    <w:p>
      <w:pPr>
        <w:ind w:right="80" w:firstLine="964"/>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guaranteeing person</w:t>
      </w:r>
      <w:r>
        <w:rPr>
          <w:rFonts w:ascii="Times New Roman" w:cs="Times New Roman" w:eastAsia="Times New Roman" w:hAnsi="Times New Roman"/>
          <w:sz w:val="18"/>
          <w:szCs w:val="18"/>
          <w:color w:val="auto"/>
        </w:rPr>
        <w:t>”) means any obligation, contingent or otherwise, of the guaranteeing person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guaranteeing person,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680"/>
          </w:cols>
          <w:pgMar w:left="580" w:top="265" w:right="639" w:bottom="1440" w:gutter="0" w:footer="0" w:header="0"/>
        </w:sectPr>
      </w:pPr>
    </w:p>
    <w:bookmarkStart w:id="338" w:name="page339"/>
    <w:bookmarkEnd w:id="338"/>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obligor so as to enable the primary obligor to pay such Indebtedness or other obligation or (d) as an account party or applicant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customary and reasonable indemnity obligations in effect on the Effective Date or entered into in connection with any acquisition or disposition of assets permitted under this Agreement (other than such obligations with respect to Indebtedness) or product warranty obligations. The amount of any Guarantee of any guaranteeing person shall be deemed to be the lower of (a) an amount equal to the stated or determinable amount of the primary obligation in respect of which the Guarantee is made and (b) the maximum amount for which such guaranteeing person may be liable pursuant to the terms of the instrument embodying such Guarantee.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the collective reference to the Subsidiary Loan Parties.</w:t>
      </w:r>
    </w:p>
    <w:p>
      <w:pPr>
        <w:spacing w:after="0" w:line="213" w:lineRule="exact"/>
        <w:rPr>
          <w:sz w:val="20"/>
          <w:szCs w:val="20"/>
          <w:color w:val="auto"/>
        </w:rPr>
      </w:pPr>
    </w:p>
    <w:p>
      <w:pPr>
        <w:ind w:right="28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radioactive, infectious, chemical, biological, medical or toxic materials, and all other chemicals, materials, substances, wastes, pollutants or contaminants in any form, including petroleum or petroleum byproducts, asbestos or asbestos-containing materials, polychlorinated biphenyls, radon gas and all other materials, substances or wastes of any nature, in each case to the extent regulated pursuant to any Environmental Law.</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Health Care Laws</w:t>
      </w:r>
      <w:r>
        <w:rPr>
          <w:rFonts w:ascii="Times New Roman" w:cs="Times New Roman" w:eastAsia="Times New Roman" w:hAnsi="Times New Roman"/>
          <w:sz w:val="16"/>
          <w:szCs w:val="16"/>
          <w:color w:val="auto"/>
        </w:rPr>
        <w:t>” means all applicable federal and state laws, rules or regulations pertaining to clinical laboratory services, including</w:t>
      </w:r>
    </w:p>
    <w:p>
      <w:pPr>
        <w:spacing w:after="0" w:line="44" w:lineRule="exact"/>
        <w:rPr>
          <w:sz w:val="20"/>
          <w:szCs w:val="20"/>
          <w:color w:val="auto"/>
        </w:rPr>
      </w:pPr>
    </w:p>
    <w:p>
      <w:pPr>
        <w:ind w:right="120" w:firstLine="8"/>
        <w:spacing w:after="0" w:line="278" w:lineRule="auto"/>
        <w:tabs>
          <w:tab w:leader="none" w:pos="20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Anti-Kickback Statute (42 U.S.C. §1320a-7b(b)), Sections 1320a-7 and 1320a-7a of Title 42 of the United States Code, the Physician Self-Referral Law, commonly known as the “Stark Law” (42 U.S.C. §§ 1395nn and 1396(s)), the Civil Monetary Penalties Law, including without limitation the Beneficiary Inducement Statute (42 U.S.C. § 1320a-7a), the civil False Claims Act (31 U.S.C. §3729 et seq.), or any regulations promulgated pursuant to such statutes, or similar state or local statutes or regulations; (ii) the Health Insurance Portability and Accountability Act of 1996 (Pub. L. No. 104-191) as amended by the Health Information Technology for Economic and Clinical Health Act of 2009, (42 U.S.C. § 17921, et seq.) and the regulations promulgated thereunder and similar state or local statutes or regulations governing the privacy or security of patient information (collectively, “HIPAA”); (iii) Medicare (Title XVIII of the Social Security Act) and the regulations promulgated thereunder; (iv) Medicaid (Title XIX of the Social Security Act) and the regulations promulgated thereunder as well as comparable state Medicaid statutes and regulations; (v) all applicable licensure, permitting or certification laws and regulations and (vi) any and all other applicable federal and state clinical laboratory services laws, rules and regulations, including those related to the submission of false claims, fee-splitting, kickbacks, and self-referrals.</w:t>
      </w:r>
    </w:p>
    <w:p>
      <w:pPr>
        <w:spacing w:after="0" w:line="375" w:lineRule="exact"/>
        <w:rPr>
          <w:sz w:val="20"/>
          <w:szCs w:val="20"/>
          <w:color w:val="auto"/>
        </w:rPr>
      </w:pPr>
    </w:p>
    <w:p>
      <w:pPr>
        <w:ind w:firstLine="964"/>
        <w:spacing w:after="0" w:line="2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and accrued obligations incurred in the ordinary course of business), (e) all obligations of others secured by (or for which the holder of such obligations has an existing right, contingent or otherwise, to be secured by) any Lien on property owned or acquired by such Person, whether or not the obligations secured thereby have been assumed, but limited, in the event such secured obligations are nonrecourse to such Person, to the fair value of such property, (f) all Guarantees by such Person of the Indebtedness of any other Person, (g) all Capital Lease Obligations of such Person, (h) the face amount of all letters of credit issued for the account of such Person to the extent drawn and unreimbursed and all reimbursement or payment obligations with respect to surety bonds and other similar instruments issued by such Person, (i) all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20"/>
          </w:cols>
          <w:pgMar w:left="580" w:top="265" w:right="599" w:bottom="1440" w:gutter="0" w:footer="0" w:header="0"/>
        </w:sectPr>
      </w:pPr>
    </w:p>
    <w:bookmarkStart w:id="339" w:name="page340"/>
    <w:bookmarkEnd w:id="339"/>
    <w:p>
      <w:pPr>
        <w:ind w:right="4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obligations, contingent or otherwise, of such Person in respect of bankers’ acceptances and (j) all Disqualified Equity Interests of such Person valued, as of the date of determination, at the greater of (i) the maximum aggregate amount that would be payable upon maturity, redemption, repayment or repurchase thereof (or of Disqualified Equity Interests or Indebtedness into which such Disqualified Equity Interests is convertible or exchangeable) and</w:t>
      </w:r>
    </w:p>
    <w:p>
      <w:pPr>
        <w:spacing w:after="0" w:line="2" w:lineRule="exact"/>
        <w:rPr>
          <w:sz w:val="20"/>
          <w:szCs w:val="20"/>
          <w:color w:val="auto"/>
        </w:rPr>
      </w:pPr>
    </w:p>
    <w:p>
      <w:pPr>
        <w:ind w:right="60" w:firstLine="8"/>
        <w:spacing w:after="0" w:line="274" w:lineRule="auto"/>
        <w:tabs>
          <w:tab w:leader="none" w:pos="25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maximum liquidation preference of such Disqualified Equity Interests (excluding accrued dividends that have not increased the liquidation preference of such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post-closing payment adjustments, earn-outs or non-compete payments to which the seller in any Permitted Acquisition is or may become entitled until such obligations are due and payable, (ii) amounts that any member of management, the employees or consultants of the Borrower or any of the Subsidiaries may become entitled to under any cash incentive plan in existence from time to time (iii) contingent obligations incurred in the ordinary course of business or in respect of operating leases and not in respect of borrowed money,</w:t>
      </w:r>
    </w:p>
    <w:p>
      <w:pPr>
        <w:ind w:right="500" w:firstLine="8"/>
        <w:spacing w:after="0" w:line="245" w:lineRule="auto"/>
        <w:tabs>
          <w:tab w:leader="none" w:pos="29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or prepaid revenues, (v) purchase price holdbacks in respect of a portion of the purchase price of an asset to satisfy warranty or other unperformed obligations of the respective seller, (vi) current liabilities due to affiliates in connection with cash management arrangements in the ordinary course of business, or (vii) Non-Financing Lease Obligations.</w:t>
      </w:r>
    </w:p>
    <w:p>
      <w:pPr>
        <w:spacing w:after="0" w:line="188" w:lineRule="exact"/>
        <w:rPr>
          <w:sz w:val="20"/>
          <w:szCs w:val="20"/>
          <w:color w:val="auto"/>
        </w:rPr>
      </w:pPr>
    </w:p>
    <w:p>
      <w:pPr>
        <w:ind w:right="2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any Loan Party under any Loan Document.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set forth in Section 9.12.</w:t>
      </w:r>
    </w:p>
    <w:p>
      <w:pPr>
        <w:spacing w:after="0" w:line="213" w:lineRule="exact"/>
        <w:rPr>
          <w:sz w:val="20"/>
          <w:szCs w:val="20"/>
          <w:color w:val="auto"/>
        </w:rPr>
      </w:pPr>
    </w:p>
    <w:p>
      <w:pPr>
        <w:ind w:right="6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written request by the Borrower to convert or continue a Term Loan Borrowing in accordance with Section 2.07,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Interest Election Request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or such other form as shall be approved by the Administrative Agent.</w:t>
      </w:r>
    </w:p>
    <w:p>
      <w:pPr>
        <w:spacing w:after="0" w:line="180" w:lineRule="exact"/>
        <w:rPr>
          <w:sz w:val="20"/>
          <w:szCs w:val="20"/>
          <w:color w:val="auto"/>
        </w:rPr>
      </w:pPr>
    </w:p>
    <w:p>
      <w:pPr>
        <w:ind w:right="600" w:firstLine="964"/>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Interest Payment Date</w:t>
      </w:r>
      <w:r>
        <w:rPr>
          <w:rFonts w:ascii="Times New Roman" w:cs="Times New Roman" w:eastAsia="Times New Roman" w:hAnsi="Times New Roman"/>
          <w:sz w:val="16"/>
          <w:szCs w:val="16"/>
          <w:color w:val="auto"/>
        </w:rPr>
        <w:t>” means (a) with respect to any Base Rate Loan, the last Business Day of each March, June, September and December and (b) with respect to any SOFR Loan, the last day of the Interest Period applicable to the Borrowing of which such Loan is a part.</w:t>
      </w:r>
    </w:p>
    <w:p>
      <w:pPr>
        <w:spacing w:after="0" w:line="123"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SOFR Borrowing, the period commencing on the date of such Borrowing and ending on the numerically corresponding day in the calendar month that is three months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(c) no Interest Period applicable to a Term Loan or a portion thereof shall extend beyond any date upon which any scheduled principal payment in respect of such Term Loan is due unless the aggregate principal amount of such Term Loan represented by Base Rate Borrowings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20"/>
          </w:cols>
          <w:pgMar w:left="580" w:top="265" w:right="5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SOFR Borrowings having Interest Periods that will expire on or prior to such date is equal to or in excess of the amount of such principal payment</w:t>
      </w:r>
      <w:r>
        <w:rPr>
          <w:rFonts w:ascii="Times New Roman" w:cs="Times New Roman" w:eastAsia="Times New Roman" w:hAnsi="Times New Roman"/>
          <w:sz w:val="18"/>
          <w:szCs w:val="18"/>
          <w:u w:val="single" w:color="auto"/>
          <w:color w:val="0000FF"/>
        </w:rPr>
        <w:t>,</w:t>
      </w:r>
    </w:p>
    <w:p>
      <w:pPr>
        <w:spacing w:after="0" w:line="21" w:lineRule="exact"/>
        <w:rPr>
          <w:sz w:val="20"/>
          <w:szCs w:val="20"/>
          <w:color w:val="auto"/>
        </w:rPr>
      </w:pPr>
    </w:p>
    <w:p>
      <w:pPr>
        <w:jc w:val="both"/>
        <w:ind w:right="400" w:firstLine="8"/>
        <w:spacing w:after="0" w:line="245" w:lineRule="auto"/>
        <w:tabs>
          <w:tab w:leader="none" w:pos="248" w:val="left"/>
        </w:tabs>
        <w:numPr>
          <w:ilvl w:val="0"/>
          <w:numId w:val="16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no tenor removed from this definition pursuant to Section 2.14 shall be available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e</w:t>
      </w:r>
      <w:r>
        <w:rPr>
          <w:rFonts w:ascii="Times New Roman" w:cs="Times New Roman" w:eastAsia="Times New Roman" w:hAnsi="Times New Roman"/>
          <w:sz w:val="18"/>
          <w:szCs w:val="18"/>
          <w:color w:val="000000"/>
        </w:rPr>
        <w:t>) no Interest period shall extend beyond the Term Loan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Maturity Date. For purposes hereof, the date of a Borrowing 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6515735</wp:posOffset>
            </wp:positionH>
            <wp:positionV relativeFrom="paragraph">
              <wp:posOffset>-393065</wp:posOffset>
            </wp:positionV>
            <wp:extent cx="2476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410146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01465" cy="8255"/>
                    </a:xfrm>
                    <a:prstGeom prst="rect">
                      <a:avLst/>
                    </a:prstGeom>
                    <a:noFill/>
                  </pic:spPr>
                </pic:pic>
              </a:graphicData>
            </a:graphic>
          </wp:anchor>
        </w:drawing>
      </w:r>
    </w:p>
    <w:p>
      <w:pPr>
        <w:spacing w:after="0" w:line="168" w:lineRule="exact"/>
        <w:rPr>
          <w:sz w:val="20"/>
          <w:szCs w:val="20"/>
          <w:color w:val="auto"/>
        </w:rPr>
      </w:pPr>
    </w:p>
    <w:p>
      <w:pPr>
        <w:ind w:right="100" w:firstLine="96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w:t>
      </w:r>
      <w:r>
        <w:rPr>
          <w:rFonts w:ascii="Times New Roman" w:cs="Times New Roman" w:eastAsia="Times New Roman" w:hAnsi="Times New Roman"/>
          <w:sz w:val="16"/>
          <w:szCs w:val="16"/>
          <w:color w:val="auto"/>
        </w:rPr>
        <w:t>” means with respect to any Person, all direct or indirect investments by such Person in other Persons (including Affiliates) in the forms of loans (including Guarantees or other obligations), advances or capital contributions (excluding accounts receivable, trade credit, advances to customers, current receivables due from affiliates in connection with cash management arrangements and commission, travel, relocation and similar advances to officers and employees, in each case made in the ordinary course of business), purchases or other acquisitions for consideration of Indebtedness, Equity Interests or other securities, together with all items that are or would be classified as investments on a balance sheet prepared in accordance with GAAP. For purposes of covenant compliance, the amount of any Investment at any time shall be the amount actually invested (measured at the time made), without adjustment for subsequent changes in the value of such Investment, net of any dividend, distribution, interest payment, return of capital, repayment or other amount received in cash by the Borrower or a Subsidiary in respect of such Investment.</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has the meaning set forth in Section 3.19.</w:t>
      </w:r>
    </w:p>
    <w:p>
      <w:pPr>
        <w:spacing w:after="0" w:line="213" w:lineRule="exact"/>
        <w:rPr>
          <w:sz w:val="20"/>
          <w:szCs w:val="20"/>
          <w:color w:val="auto"/>
        </w:rPr>
      </w:pPr>
    </w:p>
    <w:p>
      <w:pPr>
        <w:ind w:right="4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a bona fide underwritten initial public offering of Equity Interests of the Borrower or any direct or indirect parent of the Borrower after the Effective Date.</w:t>
      </w:r>
    </w:p>
    <w:p>
      <w:pPr>
        <w:spacing w:after="0" w:line="170"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means the banks and other financial institutions or entities from time to time parties to this Agreement (including any Person that shall have become a party hereto pursuant to an Assignment and Assumption) other than any such Person that ceases to be a party hereto pursuant to an Assignment and Assumption.</w:t>
      </w:r>
    </w:p>
    <w:p>
      <w:pPr>
        <w:spacing w:after="0" w:line="180" w:lineRule="exact"/>
        <w:rPr>
          <w:sz w:val="20"/>
          <w:szCs w:val="20"/>
          <w:color w:val="auto"/>
        </w:rPr>
      </w:pPr>
    </w:p>
    <w:p>
      <w:pPr>
        <w:ind w:right="4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shall mean any and all Indebtedness, Taxes, liabilities, and obligations, whether known or unknown, accrued or fixed, or absolute or contingent, matured or unmatured or determined or reasonably determinable.</w:t>
      </w:r>
    </w:p>
    <w:p>
      <w:pPr>
        <w:spacing w:after="0" w:line="170" w:lineRule="exact"/>
        <w:rPr>
          <w:sz w:val="20"/>
          <w:szCs w:val="20"/>
          <w:color w:val="auto"/>
        </w:rPr>
      </w:pPr>
    </w:p>
    <w:p>
      <w:pPr>
        <w:ind w:right="10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 (a) any mortgage, deed of trust, lien, pledge, hypothecation, encumbrance, charge or security interest in, on or of such asset or other arrangement to provide priority or preference with respect to such asset or (b)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 operating lease in and of itself be deemed a Lien.</w:t>
      </w:r>
    </w:p>
    <w:p>
      <w:pPr>
        <w:spacing w:after="0" w:line="184" w:lineRule="exact"/>
        <w:rPr>
          <w:sz w:val="20"/>
          <w:szCs w:val="20"/>
          <w:color w:val="auto"/>
        </w:rPr>
      </w:pPr>
    </w:p>
    <w:p>
      <w:pPr>
        <w:ind w:right="8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means, at any time, the sum of unrestricted cash and cash equivalents of the Borrower plus the unrestricted cash and cash equivalents of the Subsidiaries (all of the outstanding Equity Interests of which are owned, directly or indirectly, by the Borrower) of the Borrower with respect to which the Administrative Agent has a first priority perfected Lien pursuant to a Control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5" w:right="599" w:bottom="1440" w:gutter="0" w:footer="0" w:header="0"/>
        </w:sectPr>
      </w:pPr>
    </w:p>
    <w:bookmarkStart w:id="341" w:name="page342"/>
    <w:bookmarkEnd w:id="341"/>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promissory notes, if any, executed and delivered pursuant to Section 2.09(e), the Fee Letter, the Collateral Agreement and the other Security Documents.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the Subsidiary Loan Parties.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Term Loans made by the Lenders to the Borrower pursuant to this Agreement.</w:t>
      </w:r>
    </w:p>
    <w:p>
      <w:pPr>
        <w:spacing w:after="0" w:line="213"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xml:space="preserve">” means, with respect to any prepayment of Term Loans, the excess of (a) the “present value” as of the date of such prepayment of (i) the prepayment price of the Term Loans being prepaid at the first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Effective Date (i.e., 105% of the principal amount of the Term Loans being prepaid), (ii) the amount of interest that would have been payable on the aggregate principal amount of the Term Loans being prepaid, repaid, or accelerated if such principal amount had been outstanding from the date of prepayment, repayment, or acceleration through the first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Effective Date (excluding interest accrued prior to such prepayment date) over (b) the principal amount of the Term Loans being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Make-Whole Premium may in no event be less than zero. For purposes of this definition, “present value” with respect to each of clauses (a)(i) and (a)(ii) hereof shall be computed using a discount rate applied quarterly equal to the Treasury Rate as of such prepayment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50 basis points. For the avoidance of doubt, (i) all PIK Interest capitalized to principal of the Term Loans is to be included in the Make-Whole Premium, and (ii) the calculation of interest in clause (a)(ii) above shall be calculated without PIK Interest for any period for which the Borrower has exercised the Cash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-1059815</wp:posOffset>
            </wp:positionV>
            <wp:extent cx="8083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-659765</wp:posOffset>
            </wp:positionV>
            <wp:extent cx="7835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 Whole/Prepayment Fee Amount</w:t>
      </w:r>
      <w:r>
        <w:rPr>
          <w:rFonts w:ascii="Times New Roman" w:cs="Times New Roman" w:eastAsia="Times New Roman" w:hAnsi="Times New Roman"/>
          <w:sz w:val="18"/>
          <w:szCs w:val="18"/>
          <w:color w:val="auto"/>
        </w:rPr>
        <w:t>” has the meaning set forth in Section 2.12(c).</w:t>
      </w:r>
    </w:p>
    <w:p>
      <w:pPr>
        <w:spacing w:after="0" w:line="213" w:lineRule="exact"/>
        <w:rPr>
          <w:sz w:val="20"/>
          <w:szCs w:val="20"/>
          <w:color w:val="auto"/>
        </w:rPr>
      </w:pPr>
    </w:p>
    <w:p>
      <w:pPr>
        <w:ind w:right="14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assets, properties, contingent liabilities or financial condition of the Borrower and its Subsidiaries, taken as a whole, (b) the ability of any Loan Party to perform any obligation under any Loan Document or (c) the rights of or benefits available to the Lenders and Agents under any Loan Document or the ability of the Agents and the Lenders to enforce the Loan Documents.</w:t>
      </w:r>
    </w:p>
    <w:p>
      <w:pPr>
        <w:spacing w:after="0" w:line="184"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xml:space="preserve">” means Indebtedness (other than the Loans), or obligations in respect of one or more Swap Agreements, of any one or more of the Loan Parties in an aggregate principal amount exceeding $10,000,000. For purposes of determining Material Indebtedness, the “principal amount” of the obligations of any Loan Party in respect of any Swap Agreement at any time shall be the maximum aggregate amount (giving effect to any netting agreements) that </w:t>
      </w:r>
      <w:r>
        <w:rPr>
          <w:rFonts w:ascii="Times New Roman" w:cs="Times New Roman" w:eastAsia="Times New Roman" w:hAnsi="Times New Roman"/>
          <w:sz w:val="18"/>
          <w:szCs w:val="18"/>
          <w:color w:val="FF0000"/>
        </w:rPr>
        <w:t>the</w:t>
      </w:r>
      <w:r>
        <w:rPr>
          <w:rFonts w:ascii="Times New Roman" w:cs="Times New Roman" w:eastAsia="Times New Roman" w:hAnsi="Times New Roman"/>
          <w:sz w:val="18"/>
          <w:szCs w:val="18"/>
          <w:color w:val="auto"/>
        </w:rPr>
        <w:t xml:space="preserve"> such Loan Party would be required to pay if such Swap Agreement were terminated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-78740</wp:posOffset>
            </wp:positionV>
            <wp:extent cx="16319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64" w:lineRule="exact"/>
        <w:rPr>
          <w:sz w:val="20"/>
          <w:szCs w:val="20"/>
          <w:color w:val="auto"/>
        </w:rPr>
      </w:pPr>
    </w:p>
    <w:p>
      <w:pPr>
        <w:ind w:right="2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(i) the real property owned by any Loan Party identified on Schedule 3.05, and (ii) any other real estate owned (but not leased) by a Loan Party located in the United States having a Fair Market Value in excess of $5,000,000.</w:t>
      </w:r>
    </w:p>
    <w:p>
      <w:pPr>
        <w:spacing w:after="0" w:line="170"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Regulatory Liabilities</w:t>
      </w:r>
      <w:r>
        <w:rPr>
          <w:rFonts w:ascii="Times New Roman" w:cs="Times New Roman" w:eastAsia="Times New Roman" w:hAnsi="Times New Roman"/>
          <w:sz w:val="18"/>
          <w:szCs w:val="18"/>
          <w:color w:val="auto"/>
        </w:rPr>
        <w:t>” means (i) any claims, actions, suits, judgments, damages, losses, liability, fines or penalties arising from the violation of Public Health Laws, other applicable laws, or the terms, conditions of or requirements applicable to any Registrations (including costs of actions required under applicable law, including Public Health Laws, or necessary to remedy any violation of any terms or conditions applicable to any Registrations) and (ii) any net loss of recurring annual revenues as a result of any loss, suspension or limitation of any Registrations, which, in the case of the foregoing clauses (i) and (ii), exceeds $10,000,000, individually or in the aggregate.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20"/>
          </w:cols>
          <w:pgMar w:left="580" w:top="265" w:right="599" w:bottom="1440" w:gutter="0" w:footer="0" w:header="0"/>
        </w:sectPr>
      </w:pPr>
    </w:p>
    <w:bookmarkStart w:id="342" w:name="page343"/>
    <w:bookmarkEnd w:id="34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set forth in Section 9.13.</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Liquidity Amount</w:t>
      </w:r>
      <w:r>
        <w:rPr>
          <w:rFonts w:ascii="Times New Roman" w:cs="Times New Roman" w:eastAsia="Times New Roman" w:hAnsi="Times New Roman"/>
          <w:sz w:val="18"/>
          <w:szCs w:val="18"/>
          <w:color w:val="auto"/>
        </w:rPr>
        <w:t>” has the meaning set forth in Section 6.12(a).</w:t>
      </w:r>
    </w:p>
    <w:p>
      <w:pPr>
        <w:spacing w:after="0" w:line="213" w:lineRule="exact"/>
        <w:rPr>
          <w:sz w:val="20"/>
          <w:szCs w:val="20"/>
          <w:color w:val="auto"/>
        </w:rPr>
      </w:pPr>
    </w:p>
    <w:p>
      <w:pPr>
        <w:ind w:right="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means the unaudited consolidated balance sheets and related statements of income and cash flows of the Borrower for each month ended after July 31, 2022 and at least thirty (30) days prior to the Effective Date.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13" w:lineRule="exact"/>
        <w:rPr>
          <w:sz w:val="20"/>
          <w:szCs w:val="20"/>
          <w:color w:val="auto"/>
        </w:rPr>
      </w:pPr>
    </w:p>
    <w:p>
      <w:pPr>
        <w:jc w:val="both"/>
        <w:ind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 mortgage, deed of trust, assignment of leases and rents or other security document granting a Lien on any Mortgaged Property to secure the Obligations. Each Mortgage shall be reasonably satisfactory in form and substance to the Collateral Agent.</w:t>
      </w:r>
    </w:p>
    <w:p>
      <w:pPr>
        <w:spacing w:after="0" w:line="170" w:lineRule="exact"/>
        <w:rPr>
          <w:sz w:val="20"/>
          <w:szCs w:val="20"/>
          <w:color w:val="auto"/>
        </w:rPr>
      </w:pPr>
    </w:p>
    <w:p>
      <w:pPr>
        <w:jc w:val="both"/>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Mortgaged Property</w:t>
      </w:r>
      <w:r>
        <w:rPr>
          <w:rFonts w:ascii="Times New Roman" w:cs="Times New Roman" w:eastAsia="Times New Roman" w:hAnsi="Times New Roman"/>
          <w:sz w:val="18"/>
          <w:szCs w:val="18"/>
          <w:color w:val="auto"/>
        </w:rPr>
        <w:t>” means each parcel of or other interests in real property owned by a Loan Party and improvements thereto owned by a Loan Party with respect to which a Mortgage is granted pursuant to Section 4.01, 5.12 or 5.13. In no event shall Mortgaged Property include, nor shall any Loan Party be obligated to grant a Mortgage with respect to any property that does not constitute Material Real Property.</w:t>
      </w:r>
    </w:p>
    <w:p>
      <w:pPr>
        <w:spacing w:after="0" w:line="180" w:lineRule="exact"/>
        <w:rPr>
          <w:sz w:val="20"/>
          <w:szCs w:val="20"/>
          <w:color w:val="auto"/>
        </w:rPr>
      </w:pPr>
    </w:p>
    <w:p>
      <w:pPr>
        <w:ind w:right="3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makes or is obligated to make contributions.</w:t>
      </w:r>
    </w:p>
    <w:p>
      <w:pPr>
        <w:spacing w:after="0" w:line="170" w:lineRule="exact"/>
        <w:rPr>
          <w:sz w:val="20"/>
          <w:szCs w:val="20"/>
          <w:color w:val="auto"/>
        </w:rPr>
      </w:pPr>
    </w:p>
    <w:p>
      <w:pPr>
        <w:ind w:right="20" w:firstLine="964"/>
        <w:spacing w:after="0" w:line="27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Net Proceeds</w:t>
      </w:r>
      <w:r>
        <w:rPr>
          <w:rFonts w:ascii="Times New Roman" w:cs="Times New Roman" w:eastAsia="Times New Roman" w:hAnsi="Times New Roman"/>
          <w:sz w:val="16"/>
          <w:szCs w:val="16"/>
          <w:color w:val="auto"/>
        </w:rPr>
        <w:t xml:space="preserve">” means, with respect to any event, (a) the cash proceeds actually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but only as and when received and (iii) in the case of a condemnation or similar event, condemnation awards and similar payments actually received, net of (b) the sum of (i) all reasonable fees and out-of-pocket expenses paid to third parties in connection with such event (including reasonable and documented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required to be made as a result of such event to repay Indebtedness (other than Loans) secured by such asset, in the case of any such sale, transfer or other disposition of an asset of a Subsidiary that is not a Guarantor, the amount of any repayments of Indebtedness of such Subsidiary other than intercompany Indebtedness made with the proceeds of such sale, transfer or other disposition and (Y) in the event that a Subsidiary makes a pro rata payment of dividends to all of its stockholders from any cash proceeds, the amount of dividends paid to any stockholder other than the Borrower or any other Subsidiary;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cash proceeds of a sale, transfer or other disposition of an asset by a Subsidiary that is not a Subsidiary Loan Party that are subject to legal or contractual restrictions on repatriation to the Borrower will not be considered Net Proceeds for so long as such proceeds are subject to such restrictions;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contractual restrictions on repatriation were not entered into in contemplation of such sale, transfer or</w:t>
      </w: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60"/>
          </w:cols>
          <w:pgMar w:left="580" w:top="265" w:right="659" w:bottom="1440" w:gutter="0" w:footer="0" w:header="0"/>
        </w:sectPr>
      </w:pPr>
    </w:p>
    <w:bookmarkStart w:id="343" w:name="page344"/>
    <w:bookmarkEnd w:id="343"/>
    <w:p>
      <w:pPr>
        <w:spacing w:after="0" w:line="28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disposition of assets and (iii) the amount of all Taxes paid (or reasonably estimated to be payable), including any withholding taxes and other taxes reasonably estimated to be payable in connection with the repatriation of such Net Proceeds from a Foreign Subsidiary (or through a chain of Foreign Subsidiaries and Domestic Subsidiaries) and the amount of any reserves established to fund liabilities reasonably estimated to be payable, in each case during the year that such event occurred, the next succeeding year, or any year in which an installment payment in connection with such event is received and that, in each case, are directly attributable to such event (as determined reasonably and in good faith by a Financial Officer).</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set forth in Section 9.02(b).</w:t>
      </w:r>
    </w:p>
    <w:p>
      <w:pPr>
        <w:spacing w:after="0" w:line="213" w:lineRule="exact"/>
        <w:rPr>
          <w:sz w:val="20"/>
          <w:szCs w:val="20"/>
          <w:color w:val="auto"/>
        </w:rPr>
      </w:pPr>
    </w:p>
    <w:p>
      <w:pPr>
        <w:jc w:val="both"/>
        <w:ind w:right="8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on both the balance sheet and the income statement for financial reporting purposes in accordance with GAAP (including, without limitation, FASB ASC 842). For the avoidance of doubt, a straight-line or operating lease shall be considered a Non-Financing Lease Obligation.</w:t>
      </w:r>
    </w:p>
    <w:p>
      <w:pPr>
        <w:spacing w:after="0" w:line="180" w:lineRule="exact"/>
        <w:rPr>
          <w:sz w:val="20"/>
          <w:szCs w:val="20"/>
          <w:color w:val="auto"/>
        </w:rPr>
      </w:pPr>
    </w:p>
    <w:p>
      <w:pPr>
        <w:ind w:right="140" w:firstLine="964"/>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Not Otherwise Applied</w:t>
      </w:r>
      <w:r>
        <w:rPr>
          <w:rFonts w:ascii="Times New Roman" w:cs="Times New Roman" w:eastAsia="Times New Roman" w:hAnsi="Times New Roman"/>
          <w:sz w:val="16"/>
          <w:szCs w:val="16"/>
          <w:color w:val="auto"/>
        </w:rPr>
        <w:t>” means, with reference to the amount of any capital contributions, Net Proceeds from the issuance of Equity Interests that is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the collective reference to any promissory note evidencing Loans.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NPL</w:t>
      </w:r>
      <w:r>
        <w:rPr>
          <w:rFonts w:ascii="Times New Roman" w:cs="Times New Roman" w:eastAsia="Times New Roman" w:hAnsi="Times New Roman"/>
          <w:sz w:val="18"/>
          <w:szCs w:val="18"/>
          <w:color w:val="auto"/>
        </w:rPr>
        <w:t>” means the National Priorities List under CERCLA.</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13" w:lineRule="exact"/>
        <w:rPr>
          <w:sz w:val="20"/>
          <w:szCs w:val="20"/>
          <w:color w:val="auto"/>
        </w:rPr>
      </w:pPr>
    </w:p>
    <w:p>
      <w:pPr>
        <w:ind w:right="3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has the meaning set forth in the Collateral Agreement and shall include any Make Whole/Prepayment Fee Amount and Erroneous Payment Subrogation Rights.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right="20" w:firstLine="964"/>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Connection Taxes</w:t>
      </w:r>
      <w:r>
        <w:rPr>
          <w:rFonts w:ascii="Times New Roman" w:cs="Times New Roman" w:eastAsia="Times New Roman" w:hAnsi="Times New Roman"/>
          <w:sz w:val="16"/>
          <w:szCs w:val="16"/>
          <w:color w:val="auto"/>
        </w:rPr>
        <w:t>” means, with respect to any Recipient, Taxes imposed as a result of a present or former connection between such Recipient and the jurisdiction imposing such Tax other than connections arising solely from (and that would not have existed but for)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2" w:lineRule="exact"/>
        <w:rPr>
          <w:sz w:val="20"/>
          <w:szCs w:val="20"/>
          <w:color w:val="auto"/>
        </w:rPr>
      </w:pPr>
    </w:p>
    <w:p>
      <w:pPr>
        <w:jc w:val="both"/>
        <w:ind w:right="26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recording, stamp, documentary, transfer, sales, property or similar Taxes, charges or levies arising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2.19(b)).</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9.04(e).</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00"/>
          </w:cols>
          <w:pgMar w:left="580" w:top="265" w:right="619" w:bottom="1440" w:gutter="0" w:footer="0" w:header="0"/>
        </w:sectPr>
      </w:pPr>
    </w:p>
    <w:bookmarkStart w:id="344" w:name="page345"/>
    <w:bookmarkEnd w:id="3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9.04(e).</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has the meaning specified in Section 8.11(a).</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PBGC</w:t>
      </w:r>
      <w:r>
        <w:rPr>
          <w:rFonts w:ascii="Times New Roman" w:cs="Times New Roman" w:eastAsia="Times New Roman" w:hAnsi="Times New Roman"/>
          <w:sz w:val="16"/>
          <w:szCs w:val="16"/>
          <w:color w:val="auto"/>
        </w:rPr>
        <w:t>” means the Pension Benefit Guaranty Corporation referred to and defined in ERISA and any successor entity performing similar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functions.</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means a certificate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approved by the Collateral Agent.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set forth in the definition of “Term SOFR”.</w:t>
      </w:r>
    </w:p>
    <w:p>
      <w:pPr>
        <w:spacing w:after="0" w:line="213" w:lineRule="exact"/>
        <w:rPr>
          <w:sz w:val="20"/>
          <w:szCs w:val="20"/>
          <w:color w:val="auto"/>
        </w:rPr>
      </w:pPr>
    </w:p>
    <w:p>
      <w:pPr>
        <w:ind w:right="14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purchases or other acquisitions by the Borrower or any of its Subsidiaries of the Equity Interests in a Person that, upon the consummation thereof, will be a Subsidiary of the Borrower (including as a result of a merger or consolidation) or all or substantially all of the assets of, or assets constituting one or more business units of, any Person that, upon the consummation thereof, will constitute assets of the Borrower or a Subsidiary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such purchase or other acquisition:</w:t>
      </w:r>
    </w:p>
    <w:p>
      <w:pPr>
        <w:spacing w:after="0" w:line="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(a) all transactions related to such purchase or acquisition shall be consummated in all material respects in accordance with all applicable</w:t>
      </w:r>
    </w:p>
    <w:p>
      <w:pPr>
        <w:spacing w:after="0" w:line="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laws;</w:t>
      </w:r>
    </w:p>
    <w:p>
      <w:pPr>
        <w:spacing w:after="0" w:line="90" w:lineRule="exact"/>
        <w:rPr>
          <w:sz w:val="20"/>
          <w:szCs w:val="20"/>
          <w:color w:val="auto"/>
        </w:rPr>
      </w:pPr>
    </w:p>
    <w:p>
      <w:pPr>
        <w:ind w:left="540" w:right="60" w:firstLine="410"/>
        <w:spacing w:after="0" w:line="288" w:lineRule="auto"/>
        <w:tabs>
          <w:tab w:leader="none" w:pos="1195"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acquisition the aggregate upfront consideration for which exceeds $10,000,000, the Borrower shall (i) give the Administrative Agent at least ten (10) Business Days’ (or such later date as is satisfactory to the Administrative Agent) prior written notice of any such purchase or acquisition and (ii) provide the Administrative Agent with a diligence memorandum in reasonable detail, historical financial statements and reports, and a buy-side quality of earnings report if applicable (and if such consideration equals or is less than $10,000,000, the Borrower shall provide the Administrative Agent with items described in this clause (ii) in any event to the extent available);</w:t>
      </w:r>
    </w:p>
    <w:p>
      <w:pPr>
        <w:spacing w:after="0" w:line="51" w:lineRule="exact"/>
        <w:rPr>
          <w:rFonts w:ascii="Times New Roman" w:cs="Times New Roman" w:eastAsia="Times New Roman" w:hAnsi="Times New Roman"/>
          <w:sz w:val="16"/>
          <w:szCs w:val="16"/>
          <w:color w:val="auto"/>
        </w:rPr>
      </w:pPr>
    </w:p>
    <w:p>
      <w:pPr>
        <w:ind w:left="540" w:firstLine="410"/>
        <w:spacing w:after="0" w:line="251" w:lineRule="auto"/>
        <w:tabs>
          <w:tab w:leader="none" w:pos="11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the aggregate upfront consideration for which exceeds $10,000,000, the Borrower shall provide to the Administrative Agent drafts of the acquisition documents at least five (5) Business Days prior to the closing of such acquisition or such shorter period as is satisfactory to the Administrative Agent (with updates and executed copies thereof provided to Administrative Agent as soon as available);</w:t>
      </w:r>
    </w:p>
    <w:p>
      <w:pPr>
        <w:spacing w:after="0" w:line="79" w:lineRule="exact"/>
        <w:rPr>
          <w:rFonts w:ascii="Times New Roman" w:cs="Times New Roman" w:eastAsia="Times New Roman" w:hAnsi="Times New Roman"/>
          <w:sz w:val="18"/>
          <w:szCs w:val="18"/>
          <w:color w:val="auto"/>
        </w:rPr>
      </w:pPr>
    </w:p>
    <w:p>
      <w:pPr>
        <w:jc w:val="both"/>
        <w:ind w:left="540" w:right="40" w:firstLine="410"/>
        <w:spacing w:after="0" w:line="255" w:lineRule="auto"/>
        <w:tabs>
          <w:tab w:leader="none" w:pos="11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to the Administrative Agent as soon as available but in any event not later than five (5) Business Days (or such later date as is satisfactory to the Administrative Agent in its sole discretion) after the execution thereof, a copy of any executed purchase agreement or similar agreement with respect to any such purchase or acquisition;</w:t>
      </w:r>
    </w:p>
    <w:p>
      <w:pPr>
        <w:spacing w:after="0" w:line="75" w:lineRule="exact"/>
        <w:rPr>
          <w:rFonts w:ascii="Times New Roman" w:cs="Times New Roman" w:eastAsia="Times New Roman" w:hAnsi="Times New Roman"/>
          <w:sz w:val="18"/>
          <w:szCs w:val="18"/>
          <w:color w:val="auto"/>
        </w:rPr>
      </w:pPr>
    </w:p>
    <w:p>
      <w:pPr>
        <w:jc w:val="both"/>
        <w:ind w:left="540" w:right="80" w:firstLine="410"/>
        <w:spacing w:after="0" w:line="255" w:lineRule="auto"/>
        <w:tabs>
          <w:tab w:leader="none" w:pos="11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newly-created or acquired Subsidiary, or the Borrower or any Subsidiary that is the acquirer of assets in connection with an asset acquisition, shall comply with all applicable requirements under Sections 5.12 and 5.13 (subject to any applicable grace period set forth therein), as applicable;</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580" w:top="265" w:right="759" w:bottom="1440" w:gutter="0" w:footer="0" w:header="0"/>
        </w:sectPr>
      </w:pPr>
    </w:p>
    <w:bookmarkStart w:id="345" w:name="page346"/>
    <w:bookmarkEnd w:id="345"/>
    <w:p>
      <w:pPr>
        <w:ind w:left="540" w:right="480" w:firstLine="410"/>
        <w:spacing w:after="0" w:line="267" w:lineRule="auto"/>
        <w:tabs>
          <w:tab w:leader="none" w:pos="116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immediately before and after giving effect to any such purchase or other acquisition and any Indebtedness assumed or incurred in connection therewith, no Specified Event of Default shall have occurred and be continuing;</w:t>
      </w:r>
    </w:p>
    <w:p>
      <w:pPr>
        <w:spacing w:after="0" w:line="64" w:lineRule="exact"/>
        <w:rPr>
          <w:rFonts w:ascii="Times New Roman" w:cs="Times New Roman" w:eastAsia="Times New Roman" w:hAnsi="Times New Roman"/>
          <w:sz w:val="18"/>
          <w:szCs w:val="18"/>
          <w:color w:val="auto"/>
        </w:rPr>
      </w:pPr>
    </w:p>
    <w:p>
      <w:pPr>
        <w:ind w:left="540" w:right="480" w:firstLine="410"/>
        <w:spacing w:after="0" w:line="267" w:lineRule="auto"/>
        <w:tabs>
          <w:tab w:leader="none" w:pos="119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such purchase or other acquisition, the Borrower shall be in compliance with the Financial Performance Covenants;</w:t>
      </w:r>
    </w:p>
    <w:p>
      <w:pPr>
        <w:spacing w:after="0" w:line="64" w:lineRule="exact"/>
        <w:rPr>
          <w:rFonts w:ascii="Times New Roman" w:cs="Times New Roman" w:eastAsia="Times New Roman" w:hAnsi="Times New Roman"/>
          <w:sz w:val="18"/>
          <w:szCs w:val="18"/>
          <w:color w:val="auto"/>
        </w:rPr>
      </w:pPr>
    </w:p>
    <w:p>
      <w:pPr>
        <w:ind w:left="540" w:firstLine="410"/>
        <w:spacing w:after="0" w:line="249" w:lineRule="auto"/>
        <w:tabs>
          <w:tab w:leader="none" w:pos="119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consideration paid in connection with all such Permitted Acquisitions consummated from and after the Effective Date shall not exceed $50,000,000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all amounts expended in reliance on Section 6.04(a)(iv), Section 6.04(a)(xv), Section 6.08(a) (vi), Section 6.08(b)(ii) and Section 6.08(b)(iii)),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Available Basket Amount; provided, that the aggregate amount of the consideration paid in connection with targets (including assets of targets) that do not become Guarantors or assets that do not become Collateral shall not exceed $5,000,000;</w:t>
      </w:r>
    </w:p>
    <w:p>
      <w:pPr>
        <w:spacing w:after="0" w:line="81" w:lineRule="exact"/>
        <w:rPr>
          <w:rFonts w:ascii="Times New Roman" w:cs="Times New Roman" w:eastAsia="Times New Roman" w:hAnsi="Times New Roman"/>
          <w:sz w:val="18"/>
          <w:szCs w:val="18"/>
          <w:color w:val="auto"/>
        </w:rPr>
      </w:pPr>
    </w:p>
    <w:p>
      <w:pPr>
        <w:ind w:left="540" w:firstLine="410"/>
        <w:spacing w:after="0" w:line="251" w:lineRule="auto"/>
        <w:tabs>
          <w:tab w:leader="none" w:pos="115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Indebtedness or Liens are assumed or incurred in connection with any such purchase or acquisition, other than Indebtedness assumed in connection therewith (and not incurred in connection therewith or incurred in contemplation thereof) to the extent constituting Capital Lease Obligations, purchase money Indebtedness or letters of credit and otherwise permitted by the terms of Section 6.01 and related liens otherwise permitted by Section 6.02; and</w:t>
      </w:r>
    </w:p>
    <w:p>
      <w:pPr>
        <w:spacing w:after="0" w:line="79" w:lineRule="exact"/>
        <w:rPr>
          <w:rFonts w:ascii="Times New Roman" w:cs="Times New Roman" w:eastAsia="Times New Roman" w:hAnsi="Times New Roman"/>
          <w:sz w:val="18"/>
          <w:szCs w:val="18"/>
          <w:color w:val="auto"/>
        </w:rPr>
      </w:pPr>
    </w:p>
    <w:p>
      <w:pPr>
        <w:ind w:left="540" w:right="660" w:firstLine="410"/>
        <w:spacing w:after="0" w:line="267" w:lineRule="auto"/>
        <w:tabs>
          <w:tab w:leader="none" w:pos="115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acquisition is consensual (not “hostile”) and, if applicable, has been approved by the acquisition target’s Board of Directors.</w:t>
      </w:r>
    </w:p>
    <w:p>
      <w:pPr>
        <w:spacing w:after="0" w:line="170" w:lineRule="exact"/>
        <w:rPr>
          <w:sz w:val="20"/>
          <w:szCs w:val="20"/>
          <w:color w:val="auto"/>
        </w:rPr>
      </w:pPr>
    </w:p>
    <w:p>
      <w:pPr>
        <w:ind w:right="16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Business</w:t>
      </w:r>
      <w:r>
        <w:rPr>
          <w:rFonts w:ascii="Times New Roman" w:cs="Times New Roman" w:eastAsia="Times New Roman" w:hAnsi="Times New Roman"/>
          <w:sz w:val="18"/>
          <w:szCs w:val="18"/>
          <w:color w:val="auto"/>
        </w:rPr>
        <w:t>” means (i) any business engaged in by the Borrower or any of its Subsidiaries on the Effective Date and (ii) any business or other activities that are reasonably similar, ancillary, complementary or related to, or a reasonable extension, development or expansion of, such businesses.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1180" w:hanging="230"/>
        <w:spacing w:after="0"/>
        <w:tabs>
          <w:tab w:leader="none" w:pos="11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due or are being contested in compliance with Section 5.05;</w:t>
      </w:r>
    </w:p>
    <w:p>
      <w:pPr>
        <w:spacing w:after="0" w:line="108" w:lineRule="exact"/>
        <w:rPr>
          <w:rFonts w:ascii="Times New Roman" w:cs="Times New Roman" w:eastAsia="Times New Roman" w:hAnsi="Times New Roman"/>
          <w:sz w:val="18"/>
          <w:szCs w:val="18"/>
          <w:color w:val="auto"/>
        </w:rPr>
      </w:pPr>
    </w:p>
    <w:p>
      <w:pPr>
        <w:ind w:left="540" w:right="80" w:firstLine="410"/>
        <w:spacing w:after="0" w:line="255" w:lineRule="auto"/>
        <w:tabs>
          <w:tab w:leader="none" w:pos="11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construction contractors and other like Liens imposed by law, arising in the ordinary course of business and securing obligations that are not overdue by more than 30 days or that are being contested in good faith;</w:t>
      </w:r>
    </w:p>
    <w:p>
      <w:pPr>
        <w:spacing w:after="0" w:line="75" w:lineRule="exact"/>
        <w:rPr>
          <w:rFonts w:ascii="Times New Roman" w:cs="Times New Roman" w:eastAsia="Times New Roman" w:hAnsi="Times New Roman"/>
          <w:sz w:val="18"/>
          <w:szCs w:val="18"/>
          <w:color w:val="auto"/>
        </w:rPr>
      </w:pPr>
    </w:p>
    <w:p>
      <w:pPr>
        <w:jc w:val="both"/>
        <w:ind w:left="540" w:right="60" w:firstLine="410"/>
        <w:spacing w:after="0" w:line="251" w:lineRule="auto"/>
        <w:tabs>
          <w:tab w:leader="none" w:pos="118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79" w:lineRule="exact"/>
        <w:rPr>
          <w:rFonts w:ascii="Times New Roman" w:cs="Times New Roman" w:eastAsia="Times New Roman" w:hAnsi="Times New Roman"/>
          <w:sz w:val="18"/>
          <w:szCs w:val="18"/>
          <w:color w:val="auto"/>
        </w:rPr>
      </w:pPr>
    </w:p>
    <w:p>
      <w:pPr>
        <w:ind w:left="540" w:firstLine="410"/>
        <w:spacing w:after="0" w:line="331" w:lineRule="auto"/>
        <w:tabs>
          <w:tab w:leader="none" w:pos="119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to secure the performance of bids, trade contracts, government contracts, leases, statutory obligations, surety, stay, customs and appeal bonds, performance bonds and other obligations of a like nature (including those to secure health, safety and environmental obligations);</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00"/>
          </w:cols>
          <w:pgMar w:left="580" w:top="265" w:right="619" w:bottom="1440" w:gutter="0" w:footer="0" w:header="0"/>
        </w:sectPr>
      </w:pPr>
    </w:p>
    <w:bookmarkStart w:id="346" w:name="page347"/>
    <w:bookmarkEnd w:id="346"/>
    <w:p>
      <w:pPr>
        <w:ind w:left="1180" w:hanging="230"/>
        <w:spacing w:after="0"/>
        <w:tabs>
          <w:tab w:leader="none" w:pos="11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judgment liens in respect of judgments that do not constitute an Event of Default under Section 7.01(k);</w:t>
      </w:r>
    </w:p>
    <w:p>
      <w:pPr>
        <w:spacing w:after="0" w:line="108" w:lineRule="exact"/>
        <w:rPr>
          <w:rFonts w:ascii="Times New Roman" w:cs="Times New Roman" w:eastAsia="Times New Roman" w:hAnsi="Times New Roman"/>
          <w:sz w:val="18"/>
          <w:szCs w:val="18"/>
          <w:color w:val="auto"/>
        </w:rPr>
      </w:pPr>
    </w:p>
    <w:p>
      <w:pPr>
        <w:ind w:left="540" w:right="60" w:firstLine="410"/>
        <w:spacing w:after="0" w:line="251" w:lineRule="auto"/>
        <w:tabs>
          <w:tab w:leader="none" w:pos="116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encroachments, protrusions, minor defects or irregularities of title and other similar encumbrances on real property imposed by law or arising in the ordinary course of business that do not secure any monetary obligations and do not either detract from the value of the affected property or interfere with the ordinary conduct of business of the Borrower or any Subsidiary, in each case in any material respect;</w:t>
      </w:r>
    </w:p>
    <w:p>
      <w:pPr>
        <w:spacing w:after="0" w:line="79"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and lessors’ and other like Liens in respect of rent not in default;</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shown on the title insurance policies in favor of the Collateral Agent insuring the Liens of the Mortgages;</w:t>
      </w:r>
    </w:p>
    <w:p>
      <w:pPr>
        <w:spacing w:after="0" w:line="108" w:lineRule="exact"/>
        <w:rPr>
          <w:rFonts w:ascii="Times New Roman" w:cs="Times New Roman" w:eastAsia="Times New Roman" w:hAnsi="Times New Roman"/>
          <w:sz w:val="18"/>
          <w:szCs w:val="18"/>
          <w:color w:val="auto"/>
        </w:rPr>
      </w:pPr>
    </w:p>
    <w:p>
      <w:pPr>
        <w:ind w:left="540" w:right="120" w:firstLine="410"/>
        <w:spacing w:after="0" w:line="267" w:lineRule="auto"/>
        <w:tabs>
          <w:tab w:leader="none" w:pos="115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in each case in the ordinary course of business and which do not materially interfere with the business of the Borrower and the Subsidiaries;</w:t>
      </w:r>
    </w:p>
    <w:p>
      <w:pPr>
        <w:spacing w:after="0" w:line="64" w:lineRule="exact"/>
        <w:rPr>
          <w:rFonts w:ascii="Times New Roman" w:cs="Times New Roman" w:eastAsia="Times New Roman" w:hAnsi="Times New Roman"/>
          <w:sz w:val="18"/>
          <w:szCs w:val="18"/>
          <w:color w:val="auto"/>
        </w:rPr>
      </w:pPr>
    </w:p>
    <w:p>
      <w:pPr>
        <w:ind w:left="1160" w:hanging="210"/>
        <w:spacing w:after="0"/>
        <w:tabs>
          <w:tab w:leader="none" w:pos="11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w:t>
      </w:r>
    </w:p>
    <w:p>
      <w:pPr>
        <w:spacing w:after="0" w:line="108" w:lineRule="exact"/>
        <w:rPr>
          <w:rFonts w:ascii="Times New Roman" w:cs="Times New Roman" w:eastAsia="Times New Roman" w:hAnsi="Times New Roman"/>
          <w:sz w:val="18"/>
          <w:szCs w:val="18"/>
          <w:color w:val="auto"/>
        </w:rPr>
      </w:pPr>
    </w:p>
    <w:p>
      <w:pPr>
        <w:ind w:left="540" w:right="20" w:firstLine="410"/>
        <w:spacing w:after="0" w:line="267" w:lineRule="auto"/>
        <w:tabs>
          <w:tab w:leader="none" w:pos="11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and in the ordinary course of business to secure payment of customs duties in connection with the importation of goods; and</w:t>
      </w:r>
    </w:p>
    <w:p>
      <w:pPr>
        <w:spacing w:after="0" w:line="64" w:lineRule="exact"/>
        <w:rPr>
          <w:rFonts w:ascii="Times New Roman" w:cs="Times New Roman" w:eastAsia="Times New Roman" w:hAnsi="Times New Roman"/>
          <w:sz w:val="18"/>
          <w:szCs w:val="18"/>
          <w:color w:val="auto"/>
        </w:rPr>
      </w:pPr>
    </w:p>
    <w:p>
      <w:pPr>
        <w:ind w:left="540" w:right="40" w:firstLine="410"/>
        <w:spacing w:after="0" w:line="267" w:lineRule="auto"/>
        <w:tabs>
          <w:tab w:leader="none" w:pos="115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or other agreement to purchase any asset of the Borrower or any of its Subsidiaries, the purchase, sale or other disposition of which is not prohibited by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Eric Lefkofsky, Brad Keywell and Kimberly Keywell, together with their Affiliates, estates and trusts.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540" w:right="40" w:firstLine="410"/>
        <w:spacing w:after="0" w:line="255" w:lineRule="auto"/>
        <w:tabs>
          <w:tab w:leader="none" w:pos="11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75" w:lineRule="exact"/>
        <w:rPr>
          <w:rFonts w:ascii="Times New Roman" w:cs="Times New Roman" w:eastAsia="Times New Roman" w:hAnsi="Times New Roman"/>
          <w:sz w:val="18"/>
          <w:szCs w:val="18"/>
          <w:color w:val="auto"/>
        </w:rPr>
      </w:pPr>
    </w:p>
    <w:p>
      <w:pPr>
        <w:ind w:left="540" w:right="60" w:firstLine="410"/>
        <w:spacing w:after="0" w:line="267" w:lineRule="auto"/>
        <w:tabs>
          <w:tab w:leader="none" w:pos="119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365 days from the date of acquisition thereof and having, at such date of acquisition, a credit rating from S&amp;P or Moody’s of at least A2 or P2, respectively;</w:t>
      </w:r>
    </w:p>
    <w:p>
      <w:pPr>
        <w:spacing w:after="0" w:line="64" w:lineRule="exact"/>
        <w:rPr>
          <w:rFonts w:ascii="Times New Roman" w:cs="Times New Roman" w:eastAsia="Times New Roman" w:hAnsi="Times New Roman"/>
          <w:sz w:val="18"/>
          <w:szCs w:val="18"/>
          <w:color w:val="auto"/>
        </w:rPr>
      </w:pPr>
    </w:p>
    <w:p>
      <w:pPr>
        <w:ind w:left="540" w:firstLine="410"/>
        <w:spacing w:after="0" w:line="251" w:lineRule="auto"/>
        <w:tabs>
          <w:tab w:leader="none" w:pos="118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365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00"/>
          </w:cols>
          <w:pgMar w:left="580" w:top="265" w:right="619" w:bottom="1440" w:gutter="0" w:footer="0" w:header="0"/>
        </w:sectPr>
      </w:pPr>
    </w:p>
    <w:bookmarkStart w:id="347" w:name="page348"/>
    <w:bookmarkEnd w:id="347"/>
    <w:p>
      <w:pPr>
        <w:ind w:left="540" w:right="40" w:firstLine="410"/>
        <w:spacing w:after="0" w:line="267" w:lineRule="auto"/>
        <w:tabs>
          <w:tab w:leader="none" w:pos="119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fully collateralized repurchase agreements with a term of not more than 30 days for securities described in clause (a) above and entered into with a financial institution satisfying the criteria described in clause (c) above;</w:t>
      </w:r>
    </w:p>
    <w:p>
      <w:pPr>
        <w:spacing w:after="0" w:line="64" w:lineRule="exact"/>
        <w:rPr>
          <w:rFonts w:ascii="Times New Roman" w:cs="Times New Roman" w:eastAsia="Times New Roman" w:hAnsi="Times New Roman"/>
          <w:sz w:val="18"/>
          <w:szCs w:val="18"/>
          <w:color w:val="auto"/>
        </w:rPr>
      </w:pPr>
    </w:p>
    <w:p>
      <w:pPr>
        <w:ind w:left="540" w:right="360" w:firstLine="410"/>
        <w:spacing w:after="0" w:line="331" w:lineRule="auto"/>
        <w:tabs>
          <w:tab w:leader="none" w:pos="1185"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in money market funds that comply with the criteria set forth in SEC Rule 2a-7 under the Investment Company Act of 1940, as amended, substantially all of whose assets are invested in investments of the type described in clauses (a) through (e) above; and</w:t>
      </w:r>
    </w:p>
    <w:p>
      <w:pPr>
        <w:spacing w:after="0" w:line="17" w:lineRule="exact"/>
        <w:rPr>
          <w:rFonts w:ascii="Times New Roman" w:cs="Times New Roman" w:eastAsia="Times New Roman" w:hAnsi="Times New Roman"/>
          <w:sz w:val="16"/>
          <w:szCs w:val="16"/>
          <w:color w:val="auto"/>
        </w:rPr>
      </w:pPr>
    </w:p>
    <w:p>
      <w:pPr>
        <w:ind w:left="540" w:right="760" w:firstLine="410"/>
        <w:spacing w:after="0" w:line="267" w:lineRule="auto"/>
        <w:tabs>
          <w:tab w:leader="none" w:pos="116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permitted by the Borrower’s Board of Director approved investment policy as approved from time to time by the Administrative Agent in its sole discretion.</w:t>
      </w:r>
    </w:p>
    <w:p>
      <w:pPr>
        <w:spacing w:after="0" w:line="170" w:lineRule="exact"/>
        <w:rPr>
          <w:sz w:val="20"/>
          <w:szCs w:val="20"/>
          <w:color w:val="auto"/>
        </w:rPr>
      </w:pPr>
    </w:p>
    <w:p>
      <w:pPr>
        <w:ind w:right="20" w:firstLine="964"/>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Refinancing</w:t>
      </w:r>
      <w:r>
        <w:rPr>
          <w:rFonts w:ascii="Times New Roman" w:cs="Times New Roman" w:eastAsia="Times New Roman" w:hAnsi="Times New Roman"/>
          <w:sz w:val="16"/>
          <w:szCs w:val="16"/>
          <w:color w:val="auto"/>
        </w:rPr>
        <w:t xml:space="preserve">” means, with respect to any Person, any modification, refinancing, refunding, renewal, replacement or extension of any Indebtedness of such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the principal amount (or if issued with original issue discount, the issue price) thereof does not exceed the principal amount (or if issued with original issue discount, the accreted value) of the Indebtedness so modified, refinanced, refunded, renewed, replaced or extended except by an amount equal to unpaid accrued interest (including capitalized interest) and premium thereon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other amounts owing or paid related to such Indebtedness, and fees, premiums, penalties and expenses (including any upfront fees and original issue discount) reasonably incurred, in connection with such modification, refinancing, refunding, renewal, replacement or extension and by an amount equal to any existing commitments unutilized thereunder, (b) other than with respect to a Permitted Refinancing in respect of Indebtedness permitted pursuant to clause (vi) of Section 6.01(a),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in respect of Indebtedness permitted pursuant to clause (vi) of Section 6.01(a), at the time thereof, no Event of Default shall have occurred and be continuing and</w:t>
      </w:r>
    </w:p>
    <w:p>
      <w:pPr>
        <w:spacing w:after="0" w:line="1" w:lineRule="exact"/>
        <w:rPr>
          <w:sz w:val="20"/>
          <w:szCs w:val="20"/>
          <w:color w:val="auto"/>
        </w:rPr>
      </w:pPr>
    </w:p>
    <w:p>
      <w:pPr>
        <w:ind w:right="160" w:firstLine="8"/>
        <w:spacing w:after="0" w:line="244" w:lineRule="auto"/>
        <w:tabs>
          <w:tab w:leader="none" w:pos="24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being modified, refinanced, refunded, renewed, replaced or extended is Subordinated Indebtedness,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Indebtedness being modified, refinanced, refunded, renewed, replaced or extended, and such modification, refinancing, refunding, renewal, replacement or extension is incurred by one or more Persons who is an obligor of the Indebtedness being modified, refinanced, refunded, renewed, replaced or extended.</w:t>
      </w:r>
    </w:p>
    <w:p>
      <w:pPr>
        <w:spacing w:after="0" w:line="190" w:lineRule="exact"/>
        <w:rPr>
          <w:sz w:val="20"/>
          <w:szCs w:val="20"/>
          <w:color w:val="auto"/>
        </w:rPr>
      </w:pPr>
    </w:p>
    <w:p>
      <w:pPr>
        <w:ind w:right="6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Election</w:t>
      </w:r>
      <w:r>
        <w:rPr>
          <w:rFonts w:ascii="Times New Roman" w:cs="Times New Roman" w:eastAsia="Times New Roman" w:hAnsi="Times New Roman"/>
          <w:sz w:val="18"/>
          <w:szCs w:val="18"/>
          <w:color w:val="auto"/>
        </w:rPr>
        <w:t>” has the meaning specified in Section 2.13(f).</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has the meaning specified in Section 2.13(a).</w:t>
      </w:r>
    </w:p>
    <w:p>
      <w:pPr>
        <w:spacing w:after="0" w:line="213"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subject to the provisions of Title IV or Section 302 of ERISA or Section 412 of the Code, and in respect of which the Borrower or any ERISA Affiliate is (or, if such plan were terminated, would under Section 4069 of ERISA be deemed to be) an “employer” as defined in Section 3(5) of ERISA.</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00"/>
          </w:cols>
          <w:pgMar w:left="580" w:top="266" w:right="619" w:bottom="1440" w:gutter="0" w:footer="0" w:header="0"/>
        </w:sectPr>
      </w:pPr>
    </w:p>
    <w:bookmarkStart w:id="348" w:name="page349"/>
    <w:bookmarkEnd w:id="3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left="540" w:right="100" w:firstLine="410"/>
        <w:spacing w:after="0" w:line="255" w:lineRule="auto"/>
        <w:tabs>
          <w:tab w:leader="none" w:pos="11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or other disposition of any property or asset of the Borrower or any Subsidiary resulting in Net Proceeds in excess of $5,000,000 (in any single transaction or series of related transactions), other than dispositions described in clauses (a), (b), (c), (d), (e), (f), (h), (k), (l), (n), (o) and (p) of Section 6.05; or</w:t>
      </w:r>
    </w:p>
    <w:p>
      <w:pPr>
        <w:spacing w:after="0" w:line="75" w:lineRule="exact"/>
        <w:rPr>
          <w:rFonts w:ascii="Times New Roman" w:cs="Times New Roman" w:eastAsia="Times New Roman" w:hAnsi="Times New Roman"/>
          <w:sz w:val="18"/>
          <w:szCs w:val="18"/>
          <w:color w:val="auto"/>
        </w:rPr>
      </w:pPr>
    </w:p>
    <w:p>
      <w:pPr>
        <w:ind w:left="540" w:right="200" w:firstLine="410"/>
        <w:spacing w:after="0" w:line="331" w:lineRule="auto"/>
        <w:tabs>
          <w:tab w:leader="none" w:pos="1195"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casualty or other insured damage to, or any taking under power of eminent domain or by condemnation or similar proceeding of, any property or asset of the Borrower or any Subsidiary resulting in Net Proceeds in excess of $5,000,000 with respect to such event; or</w:t>
      </w:r>
    </w:p>
    <w:p>
      <w:pPr>
        <w:spacing w:after="0" w:line="17" w:lineRule="exact"/>
        <w:rPr>
          <w:rFonts w:ascii="Times New Roman" w:cs="Times New Roman" w:eastAsia="Times New Roman" w:hAnsi="Times New Roman"/>
          <w:sz w:val="16"/>
          <w:szCs w:val="16"/>
          <w:color w:val="auto"/>
        </w:rPr>
      </w:pPr>
    </w:p>
    <w:p>
      <w:pPr>
        <w:ind w:left="1180" w:hanging="230"/>
        <w:spacing w:after="0"/>
        <w:tabs>
          <w:tab w:leader="none" w:pos="11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or issuance by the Borrower or any Subsidiary of any Indebtedness, other than Indebtedness permitted under</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Section 6.01, or as otherwise permitted by the Required Lenders in accordance with Section 9.02.</w:t>
      </w:r>
    </w:p>
    <w:p>
      <w:pPr>
        <w:spacing w:after="0" w:line="195" w:lineRule="exact"/>
        <w:rPr>
          <w:sz w:val="20"/>
          <w:szCs w:val="20"/>
          <w:color w:val="auto"/>
        </w:rPr>
      </w:pPr>
    </w:p>
    <w:p>
      <w:pPr>
        <w:ind w:right="4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from time to time announced by The Wall Street Journal as its prime commercial lending rate (it being understood that such prime commercial rate is a reference rate and does not necessarily represent the lowest or best rate being quoted by The Wall Street Journal).</w:t>
      </w:r>
    </w:p>
    <w:p>
      <w:pPr>
        <w:spacing w:after="0" w:line="180"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Financial Statements</w:t>
      </w:r>
      <w:r>
        <w:rPr>
          <w:rFonts w:ascii="Times New Roman" w:cs="Times New Roman" w:eastAsia="Times New Roman" w:hAnsi="Times New Roman"/>
          <w:sz w:val="18"/>
          <w:szCs w:val="18"/>
          <w:color w:val="auto"/>
        </w:rPr>
        <w:t xml:space="preserve">” means the pro forma consolidated balance sheet of the Borrower and the Subsidiaries as the last day of the month of the most recently ended for which Monthly Financial Statements have been delivered, prepared after giving effect to the Transactions as if the Transactions had occurred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pro forma consolidated balance sheet shall be prepared in good faith by the Borrower and (ii) such pro forma consolidated balance sheet shall not be required to include adjustments for purchase accounting (including adjustments of the type contemplated by Financial Accounting Standards Board Accounting Standards Codification 805, Business Combinations (formerly SFAS 141R)).</w:t>
      </w:r>
    </w:p>
    <w:p>
      <w:pPr>
        <w:spacing w:after="0" w:line="187" w:lineRule="exact"/>
        <w:rPr>
          <w:sz w:val="20"/>
          <w:szCs w:val="20"/>
          <w:color w:val="auto"/>
        </w:rPr>
      </w:pPr>
    </w:p>
    <w:p>
      <w:pPr>
        <w:ind w:right="6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the model delivered by the Borrower as of June 14, 2022 (as adjusted for changes reasonably agreed with the Administrative Agent).</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 meaning set forth in Section 9.02(b).</w:t>
      </w:r>
    </w:p>
    <w:p>
      <w:pPr>
        <w:spacing w:after="0" w:line="213" w:lineRule="exact"/>
        <w:rPr>
          <w:sz w:val="20"/>
          <w:szCs w:val="20"/>
          <w:color w:val="auto"/>
        </w:rPr>
      </w:pPr>
    </w:p>
    <w:p>
      <w:pPr>
        <w:ind w:firstLine="964"/>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Public Health Laws</w:t>
      </w:r>
      <w:r>
        <w:rPr>
          <w:rFonts w:ascii="Times New Roman" w:cs="Times New Roman" w:eastAsia="Times New Roman" w:hAnsi="Times New Roman"/>
          <w:sz w:val="16"/>
          <w:szCs w:val="16"/>
          <w:color w:val="auto"/>
        </w:rPr>
        <w:t>” means any and all federal, state, local, foreign and international laws and any and all standards incorporated therein by reference, where compliance with such standards is required under such laws, relating to the procurement, development, manufacture, production, analysis, evaluation, distribution, dispensing, administration, importation, exportation, use, handling, quality, sale, pricing, reimbursement, or promotion of any food, drug, biological, gene therapy product, medical device, tissue- or cell-based product, or similar product (including any ingredient or component of such products) or of any other product or activity subject to regulation under the Federal Food, Drug, and Cosmetic Act, the Public Health Service Act, the Controlled Substances Act, or similar federal, state, local, foreign and international law (including laws governing controlled substances, pharmacy, wholesale and other distribution activities, research animal welfare, poison prevention packaging, tamper resistant packaging and consumer product safety). Without limiting the generality of the foregoing, Public Health Laws shall include the federal Food, Drug and Cosmetic Act,</w:t>
      </w:r>
    </w:p>
    <w:p>
      <w:pPr>
        <w:spacing w:after="0" w:line="6" w:lineRule="exact"/>
        <w:rPr>
          <w:sz w:val="20"/>
          <w:szCs w:val="20"/>
          <w:color w:val="auto"/>
        </w:rPr>
      </w:pPr>
    </w:p>
    <w:p>
      <w:pPr>
        <w:ind w:right="360" w:firstLine="8"/>
        <w:spacing w:after="0" w:line="245" w:lineRule="auto"/>
        <w:tabs>
          <w:tab w:leader="none" w:pos="26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 § 301 et seq., and implementing regulations, all legally binding ethical standards relating to human subject research and clinical trials, including without limitation the Federal Policy for the Protection of Human Subjects, 45 C.F.R. part 46, and all other related state, local and foreign laws.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00"/>
          </w:cols>
          <w:pgMar w:left="580" w:top="265" w:right="619" w:bottom="1440" w:gutter="0" w:footer="0" w:header="0"/>
        </w:sectPr>
      </w:pPr>
    </w:p>
    <w:bookmarkStart w:id="349" w:name="page350"/>
    <w:bookmarkEnd w:id="349"/>
    <w:p>
      <w:pPr>
        <w:ind w:right="22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Public Health Regulatory Agency</w:t>
      </w:r>
      <w:r>
        <w:rPr>
          <w:rFonts w:ascii="Times New Roman" w:cs="Times New Roman" w:eastAsia="Times New Roman" w:hAnsi="Times New Roman"/>
          <w:sz w:val="18"/>
          <w:szCs w:val="18"/>
          <w:color w:val="auto"/>
        </w:rPr>
        <w:t>” means an authority or agency responsible for the implementation of a Public Health Law. The term Public Health Regulatory Agency includes, without limitation, the U.S. Food and Drug Administration, the European Commission, the European Medicines Agency and any national competent regulatory authority in the European Union.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 the Administrative Agent, (b) the Collateral Agent and (c) any Lender, as applicable.</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has the meaning set forth in 9.02(c).</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9.04(d).</w:t>
      </w:r>
    </w:p>
    <w:p>
      <w:pPr>
        <w:spacing w:after="0" w:line="213" w:lineRule="exact"/>
        <w:rPr>
          <w:sz w:val="20"/>
          <w:szCs w:val="20"/>
          <w:color w:val="auto"/>
        </w:rPr>
      </w:pPr>
    </w:p>
    <w:p>
      <w:pPr>
        <w:ind w:firstLine="964"/>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Registrations</w:t>
      </w:r>
      <w:r>
        <w:rPr>
          <w:rFonts w:ascii="Times New Roman" w:cs="Times New Roman" w:eastAsia="Times New Roman" w:hAnsi="Times New Roman"/>
          <w:sz w:val="18"/>
          <w:szCs w:val="18"/>
          <w:color w:val="auto"/>
        </w:rPr>
        <w:t>” means authorizations, approvals, licenses, permits, certificates, or exemptions issued by any Governmental Authority (including pre-market approval applications, pre market notifications, investigational drug or device exemptions, product recertifications, manufacturing approvals and authorizations, third party certification, pricing and reimbursement approvals, labeling approvals or their foreign equivalent) that are required under the applicable laws for the research, development, manufacture, distribution, marketing, storage, transportation, use and sale of the products of the Borrower and its Subsidiaries.</w:t>
      </w:r>
    </w:p>
    <w:p>
      <w:pPr>
        <w:spacing w:after="0" w:line="187" w:lineRule="exact"/>
        <w:rPr>
          <w:sz w:val="20"/>
          <w:szCs w:val="20"/>
          <w:color w:val="auto"/>
        </w:rPr>
      </w:pPr>
    </w:p>
    <w:p>
      <w:pPr>
        <w:ind w:right="2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principals, directors, officers, employees, representatives, agents and third party advisors of such Person and such Person’s Affiliates.</w:t>
      </w:r>
    </w:p>
    <w:p>
      <w:pPr>
        <w:spacing w:after="0" w:line="170" w:lineRule="exact"/>
        <w:rPr>
          <w:sz w:val="20"/>
          <w:szCs w:val="20"/>
          <w:color w:val="auto"/>
        </w:rPr>
      </w:pPr>
    </w:p>
    <w:p>
      <w:pPr>
        <w:ind w:right="3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or within or upon any building, structure, facility or fixture.</w:t>
      </w:r>
    </w:p>
    <w:p>
      <w:pPr>
        <w:spacing w:after="0" w:line="170" w:lineRule="exact"/>
        <w:rPr>
          <w:sz w:val="20"/>
          <w:szCs w:val="20"/>
          <w:color w:val="auto"/>
        </w:rPr>
      </w:pPr>
    </w:p>
    <w:p>
      <w:pPr>
        <w:ind w:right="20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NYFRB, or a committee officially endorsed or convened by the Board of Governors of the Federal Reserve System or the NYFRB, or any successor thereto.</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has the meaning set forth in 9.02(c).</w:t>
      </w:r>
    </w:p>
    <w:p>
      <w:pPr>
        <w:spacing w:after="0" w:line="213" w:lineRule="exact"/>
        <w:rPr>
          <w:sz w:val="20"/>
          <w:szCs w:val="20"/>
          <w:color w:val="auto"/>
        </w:rPr>
      </w:pPr>
    </w:p>
    <w:p>
      <w:pPr>
        <w:ind w:right="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at any time, Lenders having outstanding Term Loans and unused Term Loan Commitments representing more than 50% of the sum of aggregate outstanding Term Loans and unused Term Loan Commitments at such time.</w:t>
      </w:r>
    </w:p>
    <w:p>
      <w:pPr>
        <w:spacing w:after="0" w:line="170" w:lineRule="exact"/>
        <w:rPr>
          <w:sz w:val="20"/>
          <w:szCs w:val="20"/>
          <w:color w:val="auto"/>
        </w:rPr>
      </w:pPr>
    </w:p>
    <w:p>
      <w:pPr>
        <w:ind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(i) the charter, articles or certificate of organization or incorporation and bylaws or other organizational or governing documents of such Person and (ii) any statute, law, treaty, rule, regulation, order, decree, writ, injunction or determination of any arbitrator or court or other Governmental Authority, in each case applicable to or binding upon such Person or any of its property or to which such Person or any of its property is subject.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680"/>
          </w:cols>
          <w:pgMar w:left="580" w:top="265" w:right="639" w:bottom="1440" w:gutter="0" w:footer="0" w:header="0"/>
        </w:sectPr>
      </w:pPr>
    </w:p>
    <w:bookmarkStart w:id="350" w:name="page351"/>
    <w:bookmarkEnd w:id="350"/>
    <w:p>
      <w:pPr>
        <w:ind w:left="9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Resolution Authority</w:t>
      </w:r>
      <w:r>
        <w:rPr>
          <w:rFonts w:ascii="Times New Roman" w:cs="Times New Roman" w:eastAsia="Times New Roman" w:hAnsi="Times New Roman"/>
          <w:sz w:val="16"/>
          <w:szCs w:val="16"/>
          <w:color w:val="auto"/>
        </w:rPr>
        <w:t>” means an EEA Resolution Authority or, with respect to any UK Financial Institution, a UK Resolution Authority.</w:t>
      </w:r>
    </w:p>
    <w:p>
      <w:pPr>
        <w:spacing w:after="0" w:line="236"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thereon (whether in cash, securities or other property), including any sinking fund or similar deposit, on account of the purchase, redemption, retirement, acquisition, cancellation or termination of any Equity Interests in the Borrower or any Subsidiary or any option, warrant or other right to acquire any such Equity Interests in the Borrower or any Subsidiary; provided that the repurchase, redemption or other acquisition or retirement for value of any Equity Interests of a Subsidiary by the Borrower or another Subsidiary shall not constitute a Restricted Payment.</w:t>
      </w:r>
    </w:p>
    <w:p>
      <w:pPr>
        <w:spacing w:after="0" w:line="187" w:lineRule="exact"/>
        <w:rPr>
          <w:sz w:val="20"/>
          <w:szCs w:val="20"/>
          <w:color w:val="auto"/>
        </w:rPr>
      </w:pPr>
    </w:p>
    <w:p>
      <w:pPr>
        <w:ind w:right="1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Revenue</w:t>
      </w:r>
      <w:r>
        <w:rPr>
          <w:rFonts w:ascii="Times New Roman" w:cs="Times New Roman" w:eastAsia="Times New Roman" w:hAnsi="Times New Roman"/>
          <w:sz w:val="18"/>
          <w:szCs w:val="18"/>
          <w:color w:val="auto"/>
        </w:rPr>
        <w:t>” means, with respect to any specified Person for any period, the aggregate of the total revenue of such specified Person and its Subsidiaries for such period, on a consolidated basis.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a division of The McGraw-Hill Companies, Inc.</w:t>
      </w:r>
    </w:p>
    <w:p>
      <w:pPr>
        <w:spacing w:after="0" w:line="213" w:lineRule="exact"/>
        <w:rPr>
          <w:sz w:val="20"/>
          <w:szCs w:val="20"/>
          <w:color w:val="auto"/>
        </w:rPr>
      </w:pPr>
    </w:p>
    <w:p>
      <w:pPr>
        <w:ind w:left="980" w:right="35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170"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Extension</w:t>
      </w:r>
      <w:r>
        <w:rPr>
          <w:rFonts w:ascii="Times New Roman" w:cs="Times New Roman" w:eastAsia="Times New Roman" w:hAnsi="Times New Roman"/>
          <w:sz w:val="18"/>
          <w:szCs w:val="18"/>
          <w:color w:val="auto"/>
        </w:rPr>
        <w:t>” means any extension granted by the SEC pursuant to any public pronouncements that apply to the Borrower in connection with the delivery of financial statements; provided that, any automatic extension hereunder as a result of such SEC Extension shall not be for a period of more than 90 days.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13" w:lineRule="exact"/>
        <w:rPr>
          <w:sz w:val="20"/>
          <w:szCs w:val="20"/>
          <w:color w:val="auto"/>
        </w:rPr>
      </w:pPr>
    </w:p>
    <w:p>
      <w:pPr>
        <w:ind w:right="2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the Collateral Agreement, the Perfection Certificate, the Mortgages and each other security agreement or other instrument or document executed and delivered pursuant to Section 5.12 or 5.13 to secure any of the Obligations.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13" w:lineRule="exact"/>
        <w:rPr>
          <w:sz w:val="20"/>
          <w:szCs w:val="20"/>
          <w:color w:val="auto"/>
        </w:rPr>
      </w:pPr>
    </w:p>
    <w:p>
      <w:pPr>
        <w:ind w:right="34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any Borrowing which bears interest at a rate based on Term SOFR, other than pursuant to clause (c) of the definition of “Base Rate”.</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SOFR Loan</w:t>
      </w:r>
      <w:r>
        <w:rPr>
          <w:rFonts w:ascii="Times New Roman" w:cs="Times New Roman" w:eastAsia="Times New Roman" w:hAnsi="Times New Roman"/>
          <w:sz w:val="16"/>
          <w:szCs w:val="16"/>
          <w:color w:val="auto"/>
        </w:rPr>
        <w:t>” means any Loan which bears interest at a rate based on Term SOFR, other than pursuant to clause (c) of the definition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Rate”.</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680"/>
          </w:cols>
          <w:pgMar w:left="580" w:top="265" w:right="639" w:bottom="1440" w:gutter="0" w:footer="0" w:header="0"/>
        </w:sectPr>
      </w:pPr>
    </w:p>
    <w:bookmarkStart w:id="351" w:name="page352"/>
    <w:bookmarkEnd w:id="351"/>
    <w:p>
      <w:pPr>
        <w:ind w:right="78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any Event of Default described in Sections 7.01(a), 7.01(b), 7.01(d) (solely with respect to Section 6.12), Section 7.01(e), 7.01(i) or 7.01(j).</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Subordinated Indebtedness</w:t>
      </w:r>
      <w:r>
        <w:rPr>
          <w:rFonts w:ascii="Times New Roman" w:cs="Times New Roman" w:eastAsia="Times New Roman" w:hAnsi="Times New Roman"/>
          <w:sz w:val="16"/>
          <w:szCs w:val="16"/>
          <w:color w:val="auto"/>
        </w:rPr>
        <w:t>” means Indebtedness of the Borrower or any Subsidiary that is contractually subordinated to the Obligations.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for purposes of this Agreement, the Google Note shall constitute Subordinated Indebtedness.</w:t>
      </w:r>
    </w:p>
    <w:p>
      <w:pPr>
        <w:spacing w:after="0" w:line="195"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13" w:lineRule="exact"/>
        <w:rPr>
          <w:sz w:val="20"/>
          <w:szCs w:val="20"/>
          <w:color w:val="auto"/>
        </w:rPr>
      </w:pPr>
    </w:p>
    <w:p>
      <w:pPr>
        <w:ind w:right="160" w:firstLine="964"/>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 Loan Party</w:t>
      </w:r>
      <w:r>
        <w:rPr>
          <w:rFonts w:ascii="Times New Roman" w:cs="Times New Roman" w:eastAsia="Times New Roman" w:hAnsi="Times New Roman"/>
          <w:sz w:val="18"/>
          <w:szCs w:val="18"/>
          <w:color w:val="auto"/>
        </w:rPr>
        <w:t xml:space="preserve">” means any Domestic Subsidiary (other than (a) any Subsidiary that is prohibited by applicable law from guaranteeing the Obligations, (b) any Domestic Subsidiary that is a direct or indirect Subsidiary of a Foreign Subsidiary, (c) any direct or indirect FSHCO, (d) any not-for-profit subsidiary, and (e) any other Subsidiary with respect to which, in the reasonable judgment of the Administrative Agent (confirmed in writing by notice to the Borrower), the cost or other consequences (including any adverse tax consequences) of providing a Guarantee shall be excessive in view of the benefits to be obtained by the Lenders therefrom). The Subsidiary Loan Parties as of the Effective Date are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means (a)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and (b) any and all agreements and documents (and the related confirmations) entered into in connection with any transactions of any kind,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xml:space="preserve">”), including any such obligations or liabilities under any Master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91" w:lineRule="exact"/>
        <w:rPr>
          <w:sz w:val="20"/>
          <w:szCs w:val="20"/>
          <w:color w:val="auto"/>
        </w:rPr>
      </w:pPr>
    </w:p>
    <w:p>
      <w:pPr>
        <w:ind w:right="16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80" w:firstLine="964"/>
        <w:spacing w:after="0" w:line="33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3" w:lineRule="exact"/>
        <w:rPr>
          <w:sz w:val="20"/>
          <w:szCs w:val="20"/>
          <w:color w:val="auto"/>
        </w:rPr>
      </w:pPr>
    </w:p>
    <w:p>
      <w:pPr>
        <w:jc w:val="center"/>
        <w:ind w:left="680" w:right="880"/>
        <w:spacing w:after="0" w:line="4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Lender</w:t>
      </w:r>
      <w:r>
        <w:rPr>
          <w:rFonts w:ascii="Times New Roman" w:cs="Times New Roman" w:eastAsia="Times New Roman" w:hAnsi="Times New Roman"/>
          <w:sz w:val="18"/>
          <w:szCs w:val="18"/>
          <w:color w:val="auto"/>
        </w:rPr>
        <w:t xml:space="preserve">” means, at any time, any Lender that has a Term Loan Commitment or </w:t>
      </w:r>
      <w:r>
        <w:rPr>
          <w:rFonts w:ascii="Times New Roman" w:cs="Times New Roman" w:eastAsia="Times New Roman" w:hAnsi="Times New Roman"/>
          <w:sz w:val="18"/>
          <w:szCs w:val="18"/>
          <w:color w:val="0000FF"/>
        </w:rPr>
        <w:t>an outstanding</w:t>
      </w:r>
      <w:r>
        <w:rPr>
          <w:rFonts w:ascii="Times New Roman" w:cs="Times New Roman" w:eastAsia="Times New Roman" w:hAnsi="Times New Roman"/>
          <w:sz w:val="18"/>
          <w:szCs w:val="18"/>
          <w:color w:val="auto"/>
        </w:rPr>
        <w:t xml:space="preserve"> Term Loan </w:t>
      </w:r>
      <w:r>
        <w:rPr>
          <w:rFonts w:ascii="Times New Roman" w:cs="Times New Roman" w:eastAsia="Times New Roman" w:hAnsi="Times New Roman"/>
          <w:sz w:val="18"/>
          <w:szCs w:val="18"/>
          <w:color w:val="FF0000"/>
        </w:rPr>
        <w:t>at such time</w:t>
      </w:r>
      <w:r>
        <w:rPr>
          <w:rFonts w:ascii="Times New Roman" w:cs="Times New Roman" w:eastAsia="Times New Roman" w:hAnsi="Times New Roman"/>
          <w:sz w:val="18"/>
          <w:szCs w:val="18"/>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-322580</wp:posOffset>
            </wp:positionV>
            <wp:extent cx="68389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389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-355600</wp:posOffset>
            </wp:positionV>
            <wp:extent cx="67881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78815"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-405765</wp:posOffset>
            </wp:positionV>
            <wp:extent cx="56451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ectPr>
          <w:pgSz w:w="11900" w:h="16838" w:orient="portrait"/>
          <w:cols w:equalWidth="0" w:num="1">
            <w:col w:w="10640"/>
          </w:cols>
          <w:pgMar w:left="580" w:top="265" w:right="679" w:bottom="1440" w:gutter="0" w:footer="0" w:header="0"/>
        </w:sectPr>
      </w:pPr>
    </w:p>
    <w:bookmarkStart w:id="352" w:name="page353"/>
    <w:bookmarkEnd w:id="352"/>
    <w:p>
      <w:pPr>
        <w:ind w:right="60" w:firstLine="96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xml:space="preserve">” means (a) the </w:t>
      </w:r>
      <w:r>
        <w:rPr>
          <w:rFonts w:ascii="Times New Roman" w:cs="Times New Roman" w:eastAsia="Times New Roman" w:hAnsi="Times New Roman"/>
          <w:sz w:val="18"/>
          <w:szCs w:val="18"/>
          <w:color w:val="FF0000"/>
          <w:strike w:val="1"/>
        </w:rPr>
        <w:t>Term Loans made by the Term Lenders on the</w:t>
      </w:r>
      <w:r>
        <w:rPr>
          <w:rFonts w:ascii="Times New Roman" w:cs="Times New Roman" w:eastAsia="Times New Roman" w:hAnsi="Times New Roman"/>
          <w:sz w:val="18"/>
          <w:szCs w:val="18"/>
          <w:color w:val="auto"/>
        </w:rPr>
        <w:t xml:space="preserve"> Effective Date </w:t>
      </w:r>
      <w:r>
        <w:rPr>
          <w:rFonts w:ascii="Times New Roman" w:cs="Times New Roman" w:eastAsia="Times New Roman" w:hAnsi="Times New Roman"/>
          <w:sz w:val="18"/>
          <w:szCs w:val="18"/>
          <w:color w:val="FF0000"/>
          <w:strike w:val="1"/>
        </w:rPr>
        <w:t>to</w:t>
      </w:r>
      <w:r>
        <w:rPr>
          <w:rFonts w:ascii="Times New Roman" w:cs="Times New Roman" w:eastAsia="Times New Roman" w:hAnsi="Times New Roman"/>
          <w:sz w:val="18"/>
          <w:szCs w:val="18"/>
          <w:u w:val="single" w:color="auto"/>
          <w:color w:val="0000FF"/>
        </w:rPr>
        <w:t>Term Loans,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color w:val="FF0000"/>
          <w:strike w:val="1"/>
        </w:rPr>
        <w:t>Borrower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Section 2.02</w:t>
      </w:r>
      <w:r>
        <w:rPr>
          <w:rFonts w:ascii="Times New Roman" w:cs="Times New Roman" w:eastAsia="Times New Roman" w:hAnsi="Times New Roman"/>
          <w:sz w:val="18"/>
          <w:szCs w:val="18"/>
          <w:u w:val="single" w:color="auto"/>
          <w:color w:val="0000FF"/>
        </w:rPr>
        <w:t>First Amendment Effective Date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000000"/>
        </w:rPr>
        <w:t>) Refinanced Term Loans and Replacement Term Loans, collectively, or as the context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-264795</wp:posOffset>
            </wp:positionV>
            <wp:extent cx="71691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691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wp:posOffset>
            </wp:positionH>
            <wp:positionV relativeFrom="paragraph">
              <wp:posOffset>-131445</wp:posOffset>
            </wp:positionV>
            <wp:extent cx="23672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Loan Commitments</w:t>
      </w:r>
      <w:r>
        <w:rPr>
          <w:rFonts w:ascii="Times New Roman" w:cs="Times New Roman" w:eastAsia="Times New Roman" w:hAnsi="Times New Roman"/>
          <w:sz w:val="16"/>
          <w:szCs w:val="16"/>
          <w:color w:val="auto"/>
        </w:rPr>
        <w:t xml:space="preserve">” means, </w:t>
      </w:r>
      <w:r>
        <w:rPr>
          <w:rFonts w:ascii="Times New Roman" w:cs="Times New Roman" w:eastAsia="Times New Roman" w:hAnsi="Times New Roman"/>
          <w:sz w:val="16"/>
          <w:szCs w:val="16"/>
          <w:color w:val="FF0000"/>
          <w:strike w:val="1"/>
        </w:rPr>
        <w:t>with respect to each Lender, such Lender’s Term Loan Commitment to make a Term Loan hereunder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on</w:t>
      </w:r>
      <w:r>
        <w:rPr>
          <w:rFonts w:ascii="Times New Roman" w:cs="Times New Roman" w:eastAsia="Times New Roman" w:hAnsi="Times New Roman"/>
          <w:sz w:val="16"/>
          <w:szCs w:val="16"/>
          <w:u w:val="single" w:color="auto"/>
          <w:color w:val="0000FF"/>
        </w:rPr>
        <w:t>collectively,</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the Effective Date</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FF0000"/>
          <w:strike w:val="1"/>
        </w:rPr>
        <w:t>as set forth on</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u w:val="single" w:color="auto"/>
          <w:color w:val="FF0000"/>
          <w:strike w:val="1"/>
        </w:rPr>
        <w:t>Schedule 2.01</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FF0000"/>
          <w:strike w:val="1"/>
        </w:rPr>
        <w:t>opposite such Lender’s name under the heading “Term Loan Commitment”, expressed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an amount representing the maximum principal amount of the Term Loan to be made by such Lender hereunder, as such commitment may be reduced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-107315</wp:posOffset>
            </wp:positionV>
            <wp:extent cx="5416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4165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increased from time to time pursuant to this Agreement and as amended to reflect assignments. Unless the context shall otherwise require, the term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w:t>
      </w:r>
      <w:r>
        <w:rPr>
          <w:rFonts w:ascii="Times New Roman" w:cs="Times New Roman" w:eastAsia="Times New Roman" w:hAnsi="Times New Roman"/>
          <w:sz w:val="16"/>
          <w:szCs w:val="16"/>
          <w:u w:val="single" w:color="auto"/>
          <w:color w:val="0000FF"/>
        </w:rPr>
        <w:t>Term Loan Commitments and/or the First Amendment Effective Date</w:t>
      </w:r>
      <w:r>
        <w:rPr>
          <w:rFonts w:ascii="Times New Roman" w:cs="Times New Roman" w:eastAsia="Times New Roman" w:hAnsi="Times New Roman"/>
          <w:sz w:val="16"/>
          <w:szCs w:val="16"/>
          <w:color w:val="FF0000"/>
        </w:rPr>
        <w:t xml:space="preserve"> </w:t>
      </w:r>
      <w:r>
        <w:rPr>
          <w:rFonts w:ascii="Times New Roman" w:cs="Times New Roman" w:eastAsia="Times New Roman" w:hAnsi="Times New Roman"/>
          <w:sz w:val="16"/>
          <w:szCs w:val="16"/>
          <w:color w:val="000000"/>
        </w:rPr>
        <w:t>Term Loan Commitments</w:t>
      </w:r>
      <w:r>
        <w:rPr>
          <w:rFonts w:ascii="Times New Roman" w:cs="Times New Roman" w:eastAsia="Times New Roman" w:hAnsi="Times New Roman"/>
          <w:sz w:val="16"/>
          <w:szCs w:val="16"/>
          <w:color w:val="FF0000"/>
          <w:strike w:val="1"/>
        </w:rPr>
        <w:t>” shall include any commitment to Replacement Term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0000"/>
          <w:strike w:val="1"/>
        </w:rPr>
        <w:t>Loans of such Lender. The aggregate amount of the Term Loan Commitments as of the Effective Date is $175,000,000</w:t>
      </w:r>
      <w:r>
        <w:rPr>
          <w:rFonts w:ascii="Times New Roman" w:cs="Times New Roman" w:eastAsia="Times New Roman" w:hAnsi="Times New Roman"/>
          <w:sz w:val="18"/>
          <w:szCs w:val="18"/>
          <w:u w:val="single" w:color="auto"/>
          <w:color w:val="0000FF"/>
        </w:rPr>
        <w:t>, as the context requires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-121920</wp:posOffset>
            </wp:positionV>
            <wp:extent cx="310134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101340"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10795</wp:posOffset>
            </wp:positionV>
            <wp:extent cx="10502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175"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Loan Maturity Date</w:t>
      </w:r>
      <w:r>
        <w:rPr>
          <w:rFonts w:ascii="Times New Roman" w:cs="Times New Roman" w:eastAsia="Times New Roman" w:hAnsi="Times New Roman"/>
          <w:sz w:val="18"/>
          <w:szCs w:val="18"/>
          <w:color w:val="auto"/>
        </w:rPr>
        <w:t xml:space="preserve">” means the fifth anniversary of the Effective Date, or if such date is not a Business Day, the immediately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if on the date (or at any time thereafter) that is 135 days prior to the scheduled maturity of the Google Note (such date, the “</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xml:space="preserve">”), the Borrower and its Subsidiaries do not have Liquidity in an aggregate amount equal to at least the sum of (x) $100,000,000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the aggregate principal amount of the Google Note required to be repaid on the scheduled maturity date of the Google Note, then the Term Loan Maturity Date shall automatically be accelerated to the Test Date and all of the Loans shall thereupon be due and payable on the Test Date, together with all interest and fees accrued thereon or in respect thereof (including any Make Whole/Prepayment Fee Amount) and any amounts payable pursuant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08" w:lineRule="exact"/>
        <w:rPr>
          <w:sz w:val="20"/>
          <w:szCs w:val="20"/>
          <w:color w:val="auto"/>
        </w:rPr>
      </w:pPr>
    </w:p>
    <w:p>
      <w:pPr>
        <w:ind w:right="20" w:firstLine="972"/>
        <w:spacing w:after="0" w:line="247" w:lineRule="auto"/>
        <w:tabs>
          <w:tab w:leader="none" w:pos="120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and</w:t>
      </w:r>
    </w:p>
    <w:p>
      <w:pPr>
        <w:spacing w:after="0" w:line="81" w:lineRule="exact"/>
        <w:rPr>
          <w:rFonts w:ascii="Times New Roman" w:cs="Times New Roman" w:eastAsia="Times New Roman" w:hAnsi="Times New Roman"/>
          <w:sz w:val="18"/>
          <w:szCs w:val="18"/>
          <w:color w:val="auto"/>
        </w:rPr>
      </w:pPr>
    </w:p>
    <w:p>
      <w:pPr>
        <w:ind w:firstLine="972"/>
        <w:spacing w:after="0" w:line="247" w:lineRule="auto"/>
        <w:tabs>
          <w:tab w:leader="none" w:pos="121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that is two (2)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as long as such first preceding Business Day is not more than three (3) Business Days prior to such Base Rate Term SOFR Determination Day;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20"/>
          </w:cols>
          <w:pgMar w:left="580" w:top="265" w:right="59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provided</w:t>
      </w:r>
      <w:r>
        <w:rPr>
          <w:rFonts w:ascii="Times New Roman" w:cs="Times New Roman" w:eastAsia="Times New Roman" w:hAnsi="Times New Roman"/>
          <w:sz w:val="18"/>
          <w:szCs w:val="18"/>
          <w:color w:val="auto"/>
        </w:rPr>
        <w:t>, that if Term SOFR as so determined shall ever be less than the Floor, then Term SOFR shall be deemed to be the Floor.</w:t>
      </w:r>
    </w:p>
    <w:p>
      <w:pPr>
        <w:spacing w:after="0" w:line="213" w:lineRule="exact"/>
        <w:rPr>
          <w:sz w:val="20"/>
          <w:szCs w:val="20"/>
          <w:color w:val="auto"/>
        </w:rPr>
      </w:pPr>
    </w:p>
    <w:p>
      <w:pPr>
        <w:ind w:right="3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13" w:lineRule="exact"/>
        <w:rPr>
          <w:sz w:val="20"/>
          <w:szCs w:val="20"/>
          <w:color w:val="auto"/>
        </w:rPr>
      </w:pPr>
    </w:p>
    <w:p>
      <w:pPr>
        <w:ind w:right="1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the payment of fees, expenses and other costs in connection with the items described in clauses (a) and (b) of the definition of Transactions.</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(a) the execution, delivery and performance by each Loan Party of the Loan Documents to which it is to be a party,</w:t>
      </w:r>
    </w:p>
    <w:p>
      <w:pPr>
        <w:spacing w:after="0" w:line="44" w:lineRule="exact"/>
        <w:rPr>
          <w:sz w:val="20"/>
          <w:szCs w:val="20"/>
          <w:color w:val="auto"/>
        </w:rPr>
      </w:pPr>
    </w:p>
    <w:p>
      <w:pPr>
        <w:ind w:firstLine="8"/>
        <w:spacing w:after="0" w:line="247" w:lineRule="auto"/>
        <w:tabs>
          <w:tab w:leader="none" w:pos="24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of the Term Loans and the use of the proceeds thereof on the Effective Date, and (c) payment of the Transaction Costs on the Effective Date.</w:t>
      </w:r>
    </w:p>
    <w:p>
      <w:pPr>
        <w:spacing w:after="0" w:line="186" w:lineRule="exact"/>
        <w:rPr>
          <w:sz w:val="20"/>
          <w:szCs w:val="20"/>
          <w:color w:val="auto"/>
        </w:rPr>
      </w:pPr>
    </w:p>
    <w:p>
      <w:pPr>
        <w:jc w:val="both"/>
        <w:ind w:right="400" w:firstLine="9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a rate equal to the then-current yield to maturity on actively traded U.S. Treasury securities having a constant maturity and having a duration equal to (or the nearest available tenor) the period from the date that payment is received to the date that falls on the Term Loan Maturity Date.</w:t>
      </w:r>
    </w:p>
    <w:p>
      <w:pPr>
        <w:spacing w:after="0" w:line="180" w:lineRule="exact"/>
        <w:rPr>
          <w:sz w:val="20"/>
          <w:szCs w:val="20"/>
          <w:color w:val="auto"/>
        </w:rPr>
      </w:pPr>
    </w:p>
    <w:p>
      <w:pPr>
        <w:ind w:right="8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Term SOFR or the Base Rate.</w:t>
      </w:r>
    </w:p>
    <w:p>
      <w:pPr>
        <w:spacing w:after="0" w:line="170" w:lineRule="exact"/>
        <w:rPr>
          <w:sz w:val="20"/>
          <w:szCs w:val="20"/>
          <w:color w:val="auto"/>
        </w:rPr>
      </w:pPr>
    </w:p>
    <w:p>
      <w:pPr>
        <w:ind w:right="40" w:firstLine="964"/>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4" w:lineRule="exact"/>
        <w:rPr>
          <w:sz w:val="20"/>
          <w:szCs w:val="20"/>
          <w:color w:val="auto"/>
        </w:rPr>
      </w:pPr>
    </w:p>
    <w:p>
      <w:pPr>
        <w:ind w:right="720" w:firstLine="964"/>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has the meaning set forth in Section 3.17.</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14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20"/>
          </w:cols>
          <w:pgMar w:left="580" w:top="265" w:right="599" w:bottom="1440" w:gutter="0" w:footer="0" w:header="0"/>
        </w:sectPr>
      </w:pPr>
    </w:p>
    <w:bookmarkStart w:id="354" w:name="page355"/>
    <w:bookmarkEnd w:id="35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set forth in Section 2.17.</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wholly owned</w:t>
      </w:r>
      <w:r>
        <w:rPr>
          <w:rFonts w:ascii="Times New Roman" w:cs="Times New Roman" w:eastAsia="Times New Roman" w:hAnsi="Times New Roman"/>
          <w:sz w:val="16"/>
          <w:szCs w:val="16"/>
          <w:color w:val="auto"/>
        </w:rPr>
        <w:t>” means with respect to any Person, a subsidiary of such Person all the outstanding Equity Interests of which (other than</w:t>
      </w:r>
    </w:p>
    <w:p>
      <w:pPr>
        <w:spacing w:after="0" w:line="44" w:lineRule="exact"/>
        <w:rPr>
          <w:sz w:val="20"/>
          <w:szCs w:val="20"/>
          <w:color w:val="auto"/>
        </w:rPr>
      </w:pPr>
    </w:p>
    <w:p>
      <w:pPr>
        <w:ind w:right="180" w:firstLine="8"/>
        <w:spacing w:after="0" w:line="247" w:lineRule="auto"/>
        <w:tabs>
          <w:tab w:leader="none" w:pos="24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qualifying shares and (y) shares issued to foreign nationals to the extent required by applicable law) are owned by such Person and/or by one or more wholly owned subsidiaries of such Person.</w:t>
      </w:r>
    </w:p>
    <w:p>
      <w:pPr>
        <w:spacing w:after="0" w:line="186" w:lineRule="exact"/>
        <w:rPr>
          <w:sz w:val="20"/>
          <w:szCs w:val="20"/>
          <w:color w:val="auto"/>
        </w:rPr>
      </w:pPr>
    </w:p>
    <w:p>
      <w:pPr>
        <w:ind w:right="160" w:firstLine="964"/>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Write-Down and Conversion Powers</w:t>
      </w:r>
      <w:r>
        <w:rPr>
          <w:rFonts w:ascii="Times New Roman" w:cs="Times New Roman" w:eastAsia="Times New Roman" w:hAnsi="Times New Roman"/>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2" w:lineRule="exact"/>
        <w:rPr>
          <w:sz w:val="20"/>
          <w:szCs w:val="20"/>
          <w:color w:val="auto"/>
        </w:rPr>
      </w:pPr>
    </w:p>
    <w:p>
      <w:pPr>
        <w:ind w:right="2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Loan”). Borrowings also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Borrowing”).</w:t>
      </w:r>
    </w:p>
    <w:p>
      <w:pPr>
        <w:spacing w:after="0" w:line="170"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shall be construed to refer to Articles and Sections of, and Exhibits to, this Agreement, (e) all references herein to Schedules shall be construed to refer to the Schedules to the Confidential Disclosure Letter and (f) the words “asset” and “property” shall be construed to have the same meaning and effect and to refer to any and all tangible and intangible assets and properties, including cash, securities, accounts and contract rights. Any reference to “payment in full”, “paid in full”, “repaid in full”, “prepaid in full”, “redeemed in full” or any other term or word of similar effect used in this Agreement or any other Loan Document with respect to the Loans or the Obligations shall mean all Obligations (including any Make Whole/Prepayment Fee Amount but excluding any inchoate indemnity obligations) have been repaid in full in cash and have been fully performed and all Commitments have been permanently terminated.</w:t>
      </w:r>
    </w:p>
    <w:p>
      <w:pPr>
        <w:spacing w:after="0" w:line="191" w:lineRule="exact"/>
        <w:rPr>
          <w:sz w:val="20"/>
          <w:szCs w:val="20"/>
          <w:color w:val="auto"/>
        </w:rPr>
      </w:pPr>
    </w:p>
    <w:p>
      <w:pPr>
        <w:ind w:right="20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historical financial statements, except as otherwise specifically prescribed herein. No change in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20"/>
          </w:cols>
          <w:pgMar w:left="580" w:top="265" w:right="599" w:bottom="1440" w:gutter="0" w:footer="0" w:header="0"/>
        </w:sectPr>
      </w:pPr>
    </w:p>
    <w:bookmarkStart w:id="355" w:name="page356"/>
    <w:bookmarkEnd w:id="355"/>
    <w:p>
      <w:pPr>
        <w:ind w:right="6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accounting principles used in the preparation of any financial statement hereafter adopted by the Borrower shall be given effect for purposes of measuring compliance with any provisions of Article VI unless the Borrower, the Administrative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in Article VI shall be made, without giving effect to any election under Accounting Standards Codification 825-10 or 470-20 (or any other Financial Accounting Standard having a similar result or effect) to value any Indebtedness or other liabilities of any Loan Party or any Subsidiary thereof at “fair value.” A breach of any Financial Performance Covenant shall be deemed to have occurred as of the last day of any specified measurement period, regardless of when the financial statements reflecting such breach are delivered to the Administrative Agent.</w:t>
      </w:r>
    </w:p>
    <w:p>
      <w:pPr>
        <w:spacing w:after="0" w:line="189" w:lineRule="exact"/>
        <w:rPr>
          <w:sz w:val="20"/>
          <w:szCs w:val="20"/>
          <w:color w:val="auto"/>
        </w:rPr>
      </w:pPr>
    </w:p>
    <w:p>
      <w:pPr>
        <w:ind w:right="20"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 (a) 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Notwithstanding anything to the contrary in this Agreement, any division of a limited liability company shall constitute a separate Person hereunder, and each resulting division of any limited liability company that, prior to such division, is a Subsidiary, a Borrower, a Guarantor, a joint venture or any other like term shall remain a Subsidiary, a Borrower, a Guarantor, a joint venture, or other like term, respectively, after giving effect to such division, and any resulting divisions of such Persons shall remain subject to the same restrictions applicable to the pre-division predecessor of such divisions.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680"/>
          </w:cols>
          <w:pgMar w:left="580" w:top="265" w:right="639" w:bottom="1440" w:gutter="0" w:footer="0" w:header="0"/>
        </w:sectPr>
      </w:pPr>
    </w:p>
    <w:bookmarkStart w:id="356" w:name="page357"/>
    <w:bookmarkEnd w:id="3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Credits</w:t>
      </w:r>
    </w:p>
    <w:p>
      <w:pPr>
        <w:spacing w:after="0" w:line="2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20" w:right="40" w:firstLine="972"/>
        <w:spacing w:after="0" w:line="251" w:lineRule="auto"/>
        <w:tabs>
          <w:tab w:leader="none" w:pos="1182" w:val="left"/>
        </w:tabs>
        <w:numPr>
          <w:ilvl w:val="0"/>
          <w:numId w:val="1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Subject to the terms and conditions set forth herein, each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auto"/>
        </w:rPr>
        <w:t xml:space="preserve"> Term Lender agrees to make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an Effective Date</w:t>
      </w:r>
      <w:r>
        <w:rPr>
          <w:rFonts w:ascii="Times New Roman" w:cs="Times New Roman" w:eastAsia="Times New Roman" w:hAnsi="Times New Roman"/>
          <w:sz w:val="18"/>
          <w:szCs w:val="18"/>
          <w:color w:val="auto"/>
        </w:rPr>
        <w:t xml:space="preserve"> Term Loan to the Borrower on the Effective Date, in a principal amount not exceeding its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auto"/>
        </w:rPr>
        <w:t xml:space="preserve"> Term Loan Commitment </w:t>
      </w:r>
      <w:r>
        <w:rPr>
          <w:rFonts w:ascii="Times New Roman" w:cs="Times New Roman" w:eastAsia="Times New Roman" w:hAnsi="Times New Roman"/>
          <w:sz w:val="18"/>
          <w:szCs w:val="18"/>
          <w:color w:val="0000FF"/>
        </w:rPr>
        <w:t>in the amount set forth opposite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such Term Lender’s name on Schedule 2.01 under the heading “Effective Date Term Loan Commitment”. Amounts borrowed under this Section 2.01(a) are referred to as the “Effective Date Term Loan”</w:t>
      </w:r>
      <w:r>
        <w:rPr>
          <w:rFonts w:ascii="Times New Roman" w:cs="Times New Roman" w:eastAsia="Times New Roman" w:hAnsi="Times New Roman"/>
          <w:sz w:val="18"/>
          <w:szCs w:val="18"/>
          <w:color w:val="000000"/>
        </w:rPr>
        <w:t>.</w:t>
      </w:r>
    </w:p>
    <w:p>
      <w:pPr>
        <w:spacing w:after="0" w:line="79" w:lineRule="exact"/>
        <w:rPr>
          <w:rFonts w:ascii="Times New Roman" w:cs="Times New Roman" w:eastAsia="Times New Roman" w:hAnsi="Times New Roman"/>
          <w:sz w:val="18"/>
          <w:szCs w:val="18"/>
          <w:u w:val="single" w:color="auto"/>
          <w:color w:val="0000FF"/>
        </w:rPr>
      </w:pPr>
    </w:p>
    <w:p>
      <w:pPr>
        <w:ind w:left="-20" w:right="120" w:firstLine="972"/>
        <w:spacing w:after="0" w:line="247" w:lineRule="auto"/>
        <w:tabs>
          <w:tab w:leader="none" w:pos="1192" w:val="left"/>
        </w:tabs>
        <w:numPr>
          <w:ilvl w:val="0"/>
          <w:numId w:val="1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Subject to the terms and conditions set forth herein and the First Amendment, each First Amendment Effective Date Term Lender agrees to make a First Amendment Effective Date Term Loan to the Borrower on the First Amendment Effective Date, in a principal amount not exceeding its First Amendment Effective Date Term Loan Commitment in the amount set forth opposite such First Amendment Effective Date Term Lender’s name on Schedule 2.01 under the heading “First Amendment Effective Date Term Loan Commitment”. Amounts borrowed under this Section 2.01(b) are referred to as the “First Amendment Effective Date Term Loan”. Without limiting the generality of the foregoing, the First Amendment Effective Date Term Loans shall have terms, rights, remedies, privileges and protections identical to those applicable to the Effective Date Term Loans under this Agreement and each of the other Loan Documents.</w:t>
      </w:r>
    </w:p>
    <w:p>
      <w:pPr>
        <w:spacing w:after="0" w:line="84" w:lineRule="exact"/>
        <w:rPr>
          <w:rFonts w:ascii="Times New Roman" w:cs="Times New Roman" w:eastAsia="Times New Roman" w:hAnsi="Times New Roman"/>
          <w:sz w:val="18"/>
          <w:szCs w:val="18"/>
          <w:u w:val="single" w:color="auto"/>
          <w:color w:val="0000FF"/>
        </w:rPr>
      </w:pPr>
    </w:p>
    <w:p>
      <w:pPr>
        <w:ind w:left="1180" w:hanging="228"/>
        <w:spacing w:after="0"/>
        <w:tabs>
          <w:tab w:leader="none" w:pos="1180" w:val="left"/>
        </w:tabs>
        <w:numPr>
          <w:ilvl w:val="0"/>
          <w:numId w:val="1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Amounts repaid or prepaid in respect of the Term Loans may not be reborrowed.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-1577975</wp:posOffset>
            </wp:positionV>
            <wp:extent cx="1250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5095" cy="8255"/>
                    </a:xfrm>
                    <a:prstGeom prst="rect">
                      <a:avLst/>
                    </a:prstGeom>
                    <a:noFill/>
                  </pic:spPr>
                </pic:pic>
              </a:graphicData>
            </a:graphic>
          </wp:anchor>
        </w:drawing>
        <w:drawing>
          <wp:anchor simplePos="0" relativeHeight="251657728" behindDoc="1" locked="0" layoutInCell="0" allowOverlap="1">
            <wp:simplePos x="0" y="0"/>
            <wp:positionH relativeFrom="column">
              <wp:posOffset>3276600</wp:posOffset>
            </wp:positionH>
            <wp:positionV relativeFrom="paragraph">
              <wp:posOffset>-1577975</wp:posOffset>
            </wp:positionV>
            <wp:extent cx="67500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7500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5327650</wp:posOffset>
            </wp:positionH>
            <wp:positionV relativeFrom="paragraph">
              <wp:posOffset>-1577975</wp:posOffset>
            </wp:positionV>
            <wp:extent cx="7753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5335" cy="8255"/>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-1444625</wp:posOffset>
            </wp:positionV>
            <wp:extent cx="64198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41985" cy="8255"/>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-1444625</wp:posOffset>
            </wp:positionV>
            <wp:extent cx="144208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442085"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-1478280</wp:posOffset>
            </wp:positionV>
            <wp:extent cx="14376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43764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-1311275</wp:posOffset>
            </wp:positionV>
            <wp:extent cx="67691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7691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-1177925</wp:posOffset>
            </wp:positionV>
            <wp:extent cx="220091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200910"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-977900</wp:posOffset>
            </wp:positionV>
            <wp:extent cx="59188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91883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-844550</wp:posOffset>
            </wp:positionV>
            <wp:extent cx="64274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42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-711200</wp:posOffset>
            </wp:positionV>
            <wp:extent cx="660273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6027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-577850</wp:posOffset>
            </wp:positionV>
            <wp:extent cx="637730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37730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-444500</wp:posOffset>
            </wp:positionV>
            <wp:extent cx="631888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3188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-311150</wp:posOffset>
            </wp:positionV>
            <wp:extent cx="671957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71957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-177165</wp:posOffset>
            </wp:positionV>
            <wp:extent cx="330136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01365" cy="8255"/>
                    </a:xfrm>
                    <a:prstGeom prst="rect">
                      <a:avLst/>
                    </a:prstGeom>
                    <a:noFill/>
                  </pic:spPr>
                </pic:pic>
              </a:graphicData>
            </a:graphic>
          </wp:anchor>
        </w:drawing>
        <w:drawing>
          <wp:anchor simplePos="0" relativeHeight="251657728" behindDoc="1" locked="0" layoutInCell="0" allowOverlap="1">
            <wp:simplePos x="0" y="0"/>
            <wp:positionH relativeFrom="column">
              <wp:posOffset>600710</wp:posOffset>
            </wp:positionH>
            <wp:positionV relativeFrom="paragraph">
              <wp:posOffset>22225</wp:posOffset>
            </wp:positionV>
            <wp:extent cx="12509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5095" cy="8255"/>
                    </a:xfrm>
                    <a:prstGeom prst="rect">
                      <a:avLst/>
                    </a:prstGeom>
                    <a:noFill/>
                  </pic:spPr>
                </pic:pic>
              </a:graphicData>
            </a:graphic>
          </wp:anchor>
        </w:drawing>
      </w:r>
    </w:p>
    <w:p>
      <w:pPr>
        <w:spacing w:after="0" w:line="19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20" w:firstLine="972"/>
        <w:spacing w:after="0" w:line="251" w:lineRule="auto"/>
        <w:tabs>
          <w:tab w:leader="none" w:pos="118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Loan shall be made as part of a Borrowing consisting of Term Loans of the same Type made by the Lenders ratably in accordance with their respective Commitments. The failure of any Lender to make its Term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Term Loans as required.</w:t>
      </w:r>
    </w:p>
    <w:p>
      <w:pPr>
        <w:spacing w:after="0" w:line="79" w:lineRule="exact"/>
        <w:rPr>
          <w:rFonts w:ascii="Times New Roman" w:cs="Times New Roman" w:eastAsia="Times New Roman" w:hAnsi="Times New Roman"/>
          <w:sz w:val="18"/>
          <w:szCs w:val="18"/>
          <w:color w:val="auto"/>
        </w:rPr>
      </w:pPr>
    </w:p>
    <w:p>
      <w:pPr>
        <w:ind w:left="-20" w:right="180" w:firstLine="972"/>
        <w:spacing w:after="0" w:line="267" w:lineRule="auto"/>
        <w:tabs>
          <w:tab w:leader="none" w:pos="119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each Term Loan Borrowing shall be comprised entirely of Base Rate Loans or SOFR Loans as the Borrower may request in accordance herewith.</w:t>
      </w:r>
    </w:p>
    <w:p>
      <w:pPr>
        <w:spacing w:after="0" w:line="64" w:lineRule="exact"/>
        <w:rPr>
          <w:rFonts w:ascii="Times New Roman" w:cs="Times New Roman" w:eastAsia="Times New Roman" w:hAnsi="Times New Roman"/>
          <w:sz w:val="18"/>
          <w:szCs w:val="18"/>
          <w:color w:val="auto"/>
        </w:rPr>
      </w:pPr>
    </w:p>
    <w:p>
      <w:pPr>
        <w:ind w:left="-20" w:right="60" w:firstLine="972"/>
        <w:spacing w:after="0" w:line="251" w:lineRule="auto"/>
        <w:tabs>
          <w:tab w:leader="none" w:pos="118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commencement of each Interest Period for any SOFR Borrowing, such Borrowing shall be in an aggregate amount not less than $200,000. At the time that each Base Rate Borrowing is made, such Borrowing shall be in an aggregate amount that is an integral multiple of $50,000 and not less than $250,000. Borrowings of more than one Type may be outstanding at the same time. There shall not at any time be more than a total of eight SOFR Borrowings outstanding.</w:t>
      </w:r>
    </w:p>
    <w:p>
      <w:pPr>
        <w:spacing w:after="0" w:line="79" w:lineRule="exact"/>
        <w:rPr>
          <w:rFonts w:ascii="Times New Roman" w:cs="Times New Roman" w:eastAsia="Times New Roman" w:hAnsi="Times New Roman"/>
          <w:sz w:val="18"/>
          <w:szCs w:val="18"/>
          <w:color w:val="auto"/>
        </w:rPr>
      </w:pPr>
    </w:p>
    <w:p>
      <w:pPr>
        <w:ind w:left="-20" w:right="20" w:firstLine="972"/>
        <w:spacing w:after="0" w:line="267" w:lineRule="auto"/>
        <w:tabs>
          <w:tab w:leader="none" w:pos="119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Term Loan Maturity Date.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80"/>
          </w:cols>
          <w:pgMar w:left="600" w:top="265" w:right="619" w:bottom="1440" w:gutter="0" w:footer="0" w:header="0"/>
        </w:sectPr>
      </w:pPr>
    </w:p>
    <w:bookmarkStart w:id="357" w:name="page358"/>
    <w:bookmarkEnd w:id="357"/>
    <w:p>
      <w:pPr>
        <w:ind w:right="60" w:firstLine="964"/>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2.03. </w:t>
      </w:r>
      <w:r>
        <w:rPr>
          <w:rFonts w:ascii="Times New Roman" w:cs="Times New Roman" w:eastAsia="Times New Roman" w:hAnsi="Times New Roman"/>
          <w:sz w:val="16"/>
          <w:szCs w:val="16"/>
          <w:u w:val="single" w:color="auto"/>
          <w:color w:val="auto"/>
        </w:rPr>
        <w:t>Requests for Borrowings</w:t>
      </w:r>
      <w:r>
        <w:rPr>
          <w:rFonts w:ascii="Times New Roman" w:cs="Times New Roman" w:eastAsia="Times New Roman" w:hAnsi="Times New Roman"/>
          <w:sz w:val="16"/>
          <w:szCs w:val="16"/>
          <w:color w:val="auto"/>
        </w:rPr>
        <w:t xml:space="preserve">. To request a Term Loan Borrowing on the Effective Date </w:t>
      </w:r>
      <w:r>
        <w:rPr>
          <w:rFonts w:ascii="Times New Roman" w:cs="Times New Roman" w:eastAsia="Times New Roman" w:hAnsi="Times New Roman"/>
          <w:sz w:val="16"/>
          <w:szCs w:val="16"/>
          <w:color w:val="0000FF"/>
        </w:rPr>
        <w:t>or First Amendment Effective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as applicable</w:t>
      </w:r>
      <w:r>
        <w:rPr>
          <w:rFonts w:ascii="Times New Roman" w:cs="Times New Roman" w:eastAsia="Times New Roman" w:hAnsi="Times New Roman"/>
          <w:sz w:val="16"/>
          <w:szCs w:val="16"/>
          <w:color w:val="000000"/>
        </w:rPr>
        <w:t>, the Borrower shall notify the Administrative Agent of such request in writing not later than 1:00 p.m., New York City time,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-123190</wp:posOffset>
            </wp:positionV>
            <wp:extent cx="16256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625600" cy="8255"/>
                    </a:xfrm>
                    <a:prstGeom prst="rect">
                      <a:avLst/>
                    </a:prstGeom>
                    <a:noFill/>
                  </pic:spPr>
                </pic:pic>
              </a:graphicData>
            </a:graphic>
          </wp:anchor>
        </w:drawing>
        <w:drawing>
          <wp:anchor simplePos="0" relativeHeight="251657728" behindDoc="1" locked="0" layoutInCell="0" allowOverlap="1">
            <wp:simplePos x="0" y="0"/>
            <wp:positionH relativeFrom="column">
              <wp:posOffset>5070475</wp:posOffset>
            </wp:positionH>
            <wp:positionV relativeFrom="paragraph">
              <wp:posOffset>-156845</wp:posOffset>
            </wp:positionV>
            <wp:extent cx="16268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ind w:right="480" w:firstLine="8"/>
        <w:spacing w:after="0" w:line="247" w:lineRule="auto"/>
        <w:tabs>
          <w:tab w:leader="none" w:pos="248" w:val="left"/>
        </w:tabs>
        <w:numPr>
          <w:ilvl w:val="0"/>
          <w:numId w:val="18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Business Days</w:t>
      </w:r>
      <w:r>
        <w:rPr>
          <w:rFonts w:ascii="Times New Roman" w:cs="Times New Roman" w:eastAsia="Times New Roman" w:hAnsi="Times New Roman"/>
          <w:sz w:val="11"/>
          <w:szCs w:val="11"/>
          <w:u w:val="single" w:color="auto"/>
          <w:color w:val="0000FF"/>
        </w:rPr>
        <w:t>2</w:t>
      </w:r>
      <w:r>
        <w:rPr>
          <w:rFonts w:ascii="Times New Roman" w:cs="Times New Roman" w:eastAsia="Times New Roman" w:hAnsi="Times New Roman"/>
          <w:sz w:val="18"/>
          <w:szCs w:val="18"/>
          <w:color w:val="auto"/>
        </w:rPr>
        <w:t xml:space="preserve"> before the date of the proposed Borrowing. Such written Borrowing Request shall be signed by the Borrower and specify the following information in compliance with Section 2.02:</w:t>
      </w:r>
    </w:p>
    <w:p>
      <w:pPr>
        <w:spacing w:after="0" w:line="81" w:lineRule="exact"/>
        <w:rPr>
          <w:rFonts w:ascii="Times New Roman" w:cs="Times New Roman" w:eastAsia="Times New Roman" w:hAnsi="Times New Roman"/>
          <w:sz w:val="18"/>
          <w:szCs w:val="18"/>
          <w:u w:val="single" w:color="auto"/>
          <w:color w:val="0000FF"/>
        </w:rPr>
      </w:pPr>
    </w:p>
    <w:p>
      <w:pPr>
        <w:ind w:left="1160" w:hanging="210"/>
        <w:spacing w:after="0"/>
        <w:tabs>
          <w:tab w:leader="none" w:pos="11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Borrowing;</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08" w:lineRule="exact"/>
        <w:rPr>
          <w:rFonts w:ascii="Times New Roman" w:cs="Times New Roman" w:eastAsia="Times New Roman" w:hAnsi="Times New Roman"/>
          <w:sz w:val="18"/>
          <w:szCs w:val="18"/>
          <w:color w:val="auto"/>
        </w:rPr>
      </w:pPr>
    </w:p>
    <w:p>
      <w:pPr>
        <w:ind w:left="1260" w:hanging="310"/>
        <w:spacing w:after="0"/>
        <w:tabs>
          <w:tab w:leader="none" w:pos="12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Base Rate Borrowing or a SOFR Borrowing; and</w:t>
      </w:r>
    </w:p>
    <w:p>
      <w:pPr>
        <w:spacing w:after="0" w:line="108" w:lineRule="exact"/>
        <w:rPr>
          <w:rFonts w:ascii="Times New Roman" w:cs="Times New Roman" w:eastAsia="Times New Roman" w:hAnsi="Times New Roman"/>
          <w:sz w:val="18"/>
          <w:szCs w:val="18"/>
          <w:color w:val="auto"/>
        </w:rPr>
      </w:pPr>
    </w:p>
    <w:p>
      <w:pPr>
        <w:ind w:left="540" w:right="120" w:firstLine="410"/>
        <w:spacing w:after="0" w:line="267" w:lineRule="auto"/>
        <w:tabs>
          <w:tab w:leader="none" w:pos="1243"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to which funds are to be disbursed, which shall comply with the requirements of Section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-1205230</wp:posOffset>
            </wp:positionV>
            <wp:extent cx="57531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75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-1071880</wp:posOffset>
            </wp:positionV>
            <wp:extent cx="1333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3350" cy="825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-1080135</wp:posOffset>
            </wp:positionV>
            <wp:extent cx="336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SOFR Borrowing. Promptly following receipt of a Borrowing Request in accordance with this Section 2.03,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right="60" w:firstLine="972"/>
        <w:spacing w:after="0" w:line="293" w:lineRule="auto"/>
        <w:tabs>
          <w:tab w:leader="none" w:pos="1202"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Upon receipt of all requested funds, the Administrative Agent will make such Loans available to the Borrower by promptly crediting the amounts so received by wire transfer, in like funds, to an account designated by the Borrower in the applicable Borrowing Request.</w:t>
      </w:r>
    </w:p>
    <w:p>
      <w:pPr>
        <w:spacing w:after="0" w:line="46" w:lineRule="exact"/>
        <w:rPr>
          <w:rFonts w:ascii="Times New Roman" w:cs="Times New Roman" w:eastAsia="Times New Roman" w:hAnsi="Times New Roman"/>
          <w:sz w:val="16"/>
          <w:szCs w:val="16"/>
          <w:color w:val="auto"/>
        </w:rPr>
      </w:pPr>
    </w:p>
    <w:p>
      <w:pPr>
        <w:ind w:firstLine="972"/>
        <w:spacing w:after="0" w:line="276" w:lineRule="auto"/>
        <w:tabs>
          <w:tab w:leader="none" w:pos="1212"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Administrative Agent shall have received notice from a Lender prior to the proposed Borrowing that such Lender will not make available to the Administrative Agent such Lender’s share of such Borrowing, the Administrative Agent may assume that such Lender has made such share available on such date in accordance with Section 2.06(a) and may, in reliance upon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the interest on such corresponding amount for each day from and including the date such amount is made available to the Borrower to but excluding the date of payment to the Administrative Agent, at</w:t>
      </w:r>
    </w:p>
    <w:p>
      <w:pPr>
        <w:spacing w:after="0" w:line="4" w:lineRule="exact"/>
        <w:rPr>
          <w:rFonts w:ascii="Times New Roman" w:cs="Times New Roman" w:eastAsia="Times New Roman" w:hAnsi="Times New Roman"/>
          <w:sz w:val="16"/>
          <w:szCs w:val="16"/>
          <w:color w:val="auto"/>
        </w:rPr>
      </w:pPr>
    </w:p>
    <w:p>
      <w:pPr>
        <w:ind w:right="140" w:firstLine="8"/>
        <w:spacing w:after="0" w:line="245" w:lineRule="auto"/>
        <w:tabs>
          <w:tab w:leader="none" w:pos="20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such Lender, the greater of the Federal Funds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Loan included in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505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spacing w:after="0" w:line="71" w:lineRule="exact"/>
        <w:rPr>
          <w:sz w:val="20"/>
          <w:szCs w:val="20"/>
          <w:color w:val="auto"/>
        </w:rPr>
      </w:pPr>
    </w:p>
    <w:p>
      <w:pPr>
        <w:ind w:left="420" w:hanging="412"/>
        <w:spacing w:after="0"/>
        <w:tabs>
          <w:tab w:leader="none" w:pos="420" w:val="left"/>
        </w:tabs>
        <w:numPr>
          <w:ilvl w:val="0"/>
          <w:numId w:val="183"/>
        </w:numPr>
        <w:rPr>
          <w:rFonts w:ascii="Times New Roman" w:cs="Times New Roman" w:eastAsia="Times New Roman" w:hAnsi="Times New Roman"/>
          <w:sz w:val="26"/>
          <w:szCs w:val="26"/>
          <w:u w:val="single" w:color="auto"/>
          <w:color w:val="0000FF"/>
          <w:vertAlign w:val="superscript"/>
        </w:rPr>
      </w:pPr>
      <w:r>
        <w:rPr>
          <w:rFonts w:ascii="Times New Roman" w:cs="Times New Roman" w:eastAsia="Times New Roman" w:hAnsi="Times New Roman"/>
          <w:sz w:val="18"/>
          <w:szCs w:val="18"/>
          <w:u w:val="single" w:color="auto"/>
          <w:color w:val="0000FF"/>
        </w:rPr>
        <w:t>NTD: Ares’ back office will require 2 BDs advance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234690" cy="4191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234690" cy="41910"/>
                    </a:xfrm>
                    <a:prstGeom prst="rect">
                      <a:avLst/>
                    </a:prstGeom>
                    <a:noFill/>
                  </pic:spPr>
                </pic:pic>
              </a:graphicData>
            </a:graphic>
          </wp:anchor>
        </w:drawing>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600"/>
          </w:cols>
          <w:pgMar w:left="580" w:top="266" w:right="719" w:bottom="1440" w:gutter="0" w:footer="0" w:header="0"/>
        </w:sectPr>
      </w:pPr>
    </w:p>
    <w:bookmarkStart w:id="358" w:name="page359"/>
    <w:bookmarkEnd w:id="358"/>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40" w:right="160" w:firstLine="972"/>
        <w:spacing w:after="0" w:line="249" w:lineRule="auto"/>
        <w:tabs>
          <w:tab w:leader="none" w:pos="1162"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Loan Borrowing initially shall be of the Type specified in the applicable Borrowing Request and, in the case of a SOFR Borrowing, shall have an Interest Period of three months. Thereafter, the Borrower may elect to convert such Borrowing to a different Type or to continue such Borrowing.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81" w:lineRule="exact"/>
        <w:rPr>
          <w:rFonts w:ascii="Times New Roman" w:cs="Times New Roman" w:eastAsia="Times New Roman" w:hAnsi="Times New Roman"/>
          <w:sz w:val="18"/>
          <w:szCs w:val="18"/>
          <w:color w:val="auto"/>
        </w:rPr>
      </w:pPr>
    </w:p>
    <w:p>
      <w:pPr>
        <w:ind w:left="-40" w:right="80" w:firstLine="972"/>
        <w:spacing w:after="0" w:line="249" w:lineRule="auto"/>
        <w:tabs>
          <w:tab w:leader="none" w:pos="1172"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2.07, the Borrower shall notify the Administrative Agent of such election in writing (i) in the case of a SOFR Borrowing, not later than 1:00 p.m., New York City time, three Business Days before the date of the proposed election or (ii) in the case of a Base Rate Borrowing, not later than 12:00 noon, New York City time, one Business Day before the date of the proposed election. Each such written Interest Election Request shall be irrevocable and shall be substantially in the form of a written Interest Election Request signed by the Borrower.</w:t>
      </w:r>
    </w:p>
    <w:p>
      <w:pPr>
        <w:spacing w:after="0" w:line="81" w:lineRule="exact"/>
        <w:rPr>
          <w:rFonts w:ascii="Times New Roman" w:cs="Times New Roman" w:eastAsia="Times New Roman" w:hAnsi="Times New Roman"/>
          <w:sz w:val="18"/>
          <w:szCs w:val="18"/>
          <w:color w:val="auto"/>
        </w:rPr>
      </w:pPr>
    </w:p>
    <w:p>
      <w:pPr>
        <w:ind w:left="1160" w:hanging="228"/>
        <w:spacing w:after="0"/>
        <w:tabs>
          <w:tab w:leader="none" w:pos="11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written Interest Election Request shall specify the following information in compliance with Section 2.02:</w:t>
      </w:r>
    </w:p>
    <w:p>
      <w:pPr>
        <w:spacing w:after="0" w:line="108" w:lineRule="exact"/>
        <w:rPr>
          <w:rFonts w:ascii="Times New Roman" w:cs="Times New Roman" w:eastAsia="Times New Roman" w:hAnsi="Times New Roman"/>
          <w:sz w:val="18"/>
          <w:szCs w:val="18"/>
          <w:color w:val="auto"/>
        </w:rPr>
      </w:pPr>
    </w:p>
    <w:p>
      <w:pPr>
        <w:ind w:left="400" w:firstLine="921"/>
        <w:spacing w:after="0" w:line="285" w:lineRule="auto"/>
        <w:tabs>
          <w:tab w:leader="none" w:pos="1534" w:val="left"/>
        </w:tabs>
        <w:numPr>
          <w:ilvl w:val="2"/>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spacing w:after="0" w:line="1" w:lineRule="exact"/>
        <w:rPr>
          <w:rFonts w:ascii="Times New Roman" w:cs="Times New Roman" w:eastAsia="Times New Roman" w:hAnsi="Times New Roman"/>
          <w:sz w:val="16"/>
          <w:szCs w:val="16"/>
          <w:color w:val="auto"/>
        </w:rPr>
      </w:pPr>
    </w:p>
    <w:p>
      <w:pPr>
        <w:ind w:left="700" w:hanging="304"/>
        <w:spacing w:after="0"/>
        <w:tabs>
          <w:tab w:leader="none" w:pos="7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below shall be specified for each resulting Borrowing);</w:t>
      </w:r>
    </w:p>
    <w:p>
      <w:pPr>
        <w:spacing w:after="0" w:line="90" w:lineRule="exact"/>
        <w:rPr>
          <w:rFonts w:ascii="Times New Roman" w:cs="Times New Roman" w:eastAsia="Times New Roman" w:hAnsi="Times New Roman"/>
          <w:sz w:val="18"/>
          <w:szCs w:val="18"/>
          <w:color w:val="auto"/>
        </w:rPr>
      </w:pPr>
    </w:p>
    <w:p>
      <w:pPr>
        <w:ind w:left="1580" w:hanging="259"/>
        <w:spacing w:after="0"/>
        <w:tabs>
          <w:tab w:leader="none" w:pos="158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 and</w:t>
      </w:r>
    </w:p>
    <w:p>
      <w:pPr>
        <w:spacing w:after="0" w:line="108" w:lineRule="exact"/>
        <w:rPr>
          <w:rFonts w:ascii="Times New Roman" w:cs="Times New Roman" w:eastAsia="Times New Roman" w:hAnsi="Times New Roman"/>
          <w:sz w:val="18"/>
          <w:szCs w:val="18"/>
          <w:color w:val="auto"/>
        </w:rPr>
      </w:pPr>
    </w:p>
    <w:p>
      <w:pPr>
        <w:ind w:left="1620" w:hanging="299"/>
        <w:spacing w:after="0"/>
        <w:tabs>
          <w:tab w:leader="none" w:pos="1620"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 Base Rate Borrowing or a SOFR Borrowing.</w:t>
      </w:r>
    </w:p>
    <w:p>
      <w:pPr>
        <w:spacing w:after="0" w:line="108" w:lineRule="exact"/>
        <w:rPr>
          <w:rFonts w:ascii="Times New Roman" w:cs="Times New Roman" w:eastAsia="Times New Roman" w:hAnsi="Times New Roman"/>
          <w:sz w:val="18"/>
          <w:szCs w:val="18"/>
          <w:color w:val="auto"/>
        </w:rPr>
      </w:pPr>
    </w:p>
    <w:p>
      <w:pPr>
        <w:ind w:left="-40" w:right="260" w:firstLine="972"/>
        <w:spacing w:after="0" w:line="267" w:lineRule="auto"/>
        <w:tabs>
          <w:tab w:leader="none" w:pos="117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64" w:lineRule="exact"/>
        <w:rPr>
          <w:rFonts w:ascii="Times New Roman" w:cs="Times New Roman" w:eastAsia="Times New Roman" w:hAnsi="Times New Roman"/>
          <w:sz w:val="18"/>
          <w:szCs w:val="18"/>
          <w:color w:val="auto"/>
        </w:rPr>
      </w:pPr>
    </w:p>
    <w:p>
      <w:pPr>
        <w:ind w:left="-40" w:right="320" w:firstLine="972"/>
        <w:spacing w:after="0" w:line="255" w:lineRule="auto"/>
        <w:tabs>
          <w:tab w:leader="none" w:pos="116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SOFR Borrowing prior to the end of the Interest Period applicable thereto, then, unless such Borrowing is repaid as provided herein, at the end of such Interest Period such Borrowing shall automatically be continued as a SOFR Borrowing having an Interest Period of three month’s duration.</w:t>
      </w:r>
    </w:p>
    <w:p>
      <w:pPr>
        <w:spacing w:after="0" w:line="75" w:lineRule="exact"/>
        <w:rPr>
          <w:rFonts w:ascii="Times New Roman" w:cs="Times New Roman" w:eastAsia="Times New Roman" w:hAnsi="Times New Roman"/>
          <w:sz w:val="18"/>
          <w:szCs w:val="18"/>
          <w:color w:val="auto"/>
        </w:rPr>
      </w:pPr>
    </w:p>
    <w:p>
      <w:pPr>
        <w:ind w:left="-40" w:right="20" w:firstLine="972"/>
        <w:spacing w:after="0" w:line="251" w:lineRule="auto"/>
        <w:tabs>
          <w:tab w:leader="none" w:pos="114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 Base Rate Borrowing at the end of the Interest Period applicable thereto.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660"/>
          </w:cols>
          <w:pgMar w:left="620" w:top="265" w:right="619" w:bottom="1440" w:gutter="0" w:footer="0" w:header="0"/>
        </w:sectPr>
      </w:pPr>
    </w:p>
    <w:bookmarkStart w:id="359" w:name="page360"/>
    <w:bookmarkEnd w:id="359"/>
    <w:p>
      <w:pPr>
        <w:ind w:right="260" w:firstLine="964"/>
        <w:spacing w:after="0" w:line="30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2.08. </w:t>
      </w:r>
      <w:r>
        <w:rPr>
          <w:rFonts w:ascii="Times New Roman" w:cs="Times New Roman" w:eastAsia="Times New Roman" w:hAnsi="Times New Roman"/>
          <w:sz w:val="16"/>
          <w:szCs w:val="16"/>
          <w:u w:val="single" w:color="auto"/>
          <w:color w:val="auto"/>
        </w:rPr>
        <w:t>Termination of Commitments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FF0000"/>
        </w:rPr>
        <w:t>The</w:t>
      </w:r>
      <w:r>
        <w:rPr>
          <w:rFonts w:ascii="Times New Roman" w:cs="Times New Roman" w:eastAsia="Times New Roman" w:hAnsi="Times New Roman"/>
          <w:sz w:val="16"/>
          <w:szCs w:val="16"/>
          <w:u w:val="single" w:color="auto"/>
          <w:color w:val="0000FF"/>
        </w:rPr>
        <w:t>Unless previously terminated, (a) the Effective Date</w:t>
      </w:r>
      <w:r>
        <w:rPr>
          <w:rFonts w:ascii="Times New Roman" w:cs="Times New Roman" w:eastAsia="Times New Roman" w:hAnsi="Times New Roman"/>
          <w:sz w:val="16"/>
          <w:szCs w:val="16"/>
          <w:color w:val="auto"/>
        </w:rPr>
        <w:t xml:space="preserve"> Term Loan Commitments shall terminate upon the funding of the </w:t>
      </w:r>
      <w:r>
        <w:rPr>
          <w:rFonts w:ascii="Times New Roman" w:cs="Times New Roman" w:eastAsia="Times New Roman" w:hAnsi="Times New Roman"/>
          <w:sz w:val="16"/>
          <w:szCs w:val="16"/>
          <w:u w:val="single" w:color="auto"/>
          <w:color w:val="0000FF"/>
        </w:rPr>
        <w:t>Effective Date</w:t>
      </w:r>
      <w:r>
        <w:rPr>
          <w:rFonts w:ascii="Times New Roman" w:cs="Times New Roman" w:eastAsia="Times New Roman" w:hAnsi="Times New Roman"/>
          <w:sz w:val="16"/>
          <w:szCs w:val="16"/>
          <w:color w:val="auto"/>
        </w:rPr>
        <w:t xml:space="preserve"> Term Loans on the Effective Date </w:t>
      </w:r>
      <w:r>
        <w:rPr>
          <w:rFonts w:ascii="Times New Roman" w:cs="Times New Roman" w:eastAsia="Times New Roman" w:hAnsi="Times New Roman"/>
          <w:sz w:val="16"/>
          <w:szCs w:val="16"/>
          <w:color w:val="0000FF"/>
        </w:rPr>
        <w:t>and (b) the First Amendment Effective Date Term Loan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Commitments shall terminate upon the funding of the First Amendment Effective Date Term Loans on the First Amendment Effective Date</w:t>
      </w:r>
      <w:r>
        <w:rPr>
          <w:rFonts w:ascii="Times New Roman" w:cs="Times New Roman" w:eastAsia="Times New Roman" w:hAnsi="Times New Roman"/>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-370205</wp:posOffset>
            </wp:positionV>
            <wp:extent cx="20066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00660" cy="825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-287020</wp:posOffset>
            </wp:positionV>
            <wp:extent cx="230949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309495"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-153670</wp:posOffset>
            </wp:positionV>
            <wp:extent cx="66675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6675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-153670</wp:posOffset>
            </wp:positionV>
            <wp:extent cx="250126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501265" cy="8255"/>
                    </a:xfrm>
                    <a:prstGeom prst="rect">
                      <a:avLst/>
                    </a:prstGeom>
                    <a:noFill/>
                  </pic:spPr>
                </pic:pic>
              </a:graphicData>
            </a:graphic>
          </wp:anchor>
        </w:drawing>
        <w:drawing>
          <wp:anchor simplePos="0" relativeHeight="251657728" behindDoc="1" locked="0" layoutInCell="0" allowOverlap="1">
            <wp:simplePos x="0" y="0"/>
            <wp:positionH relativeFrom="column">
              <wp:posOffset>3698240</wp:posOffset>
            </wp:positionH>
            <wp:positionV relativeFrom="paragraph">
              <wp:posOffset>-186690</wp:posOffset>
            </wp:positionV>
            <wp:extent cx="250444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04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62026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202680" cy="8255"/>
                    </a:xfrm>
                    <a:prstGeom prst="rect">
                      <a:avLst/>
                    </a:prstGeom>
                    <a:noFill/>
                  </pic:spPr>
                </pic:pic>
              </a:graphicData>
            </a:graphic>
          </wp:anchor>
        </w:drawing>
      </w:r>
    </w:p>
    <w:p>
      <w:pPr>
        <w:spacing w:after="0" w:line="1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00" w:hanging="228"/>
        <w:spacing w:after="0"/>
        <w:tabs>
          <w:tab w:leader="none" w:pos="12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right="180" w:firstLine="972"/>
        <w:spacing w:after="0" w:line="255" w:lineRule="auto"/>
        <w:tabs>
          <w:tab w:leader="none" w:pos="121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75" w:lineRule="exact"/>
        <w:rPr>
          <w:rFonts w:ascii="Times New Roman" w:cs="Times New Roman" w:eastAsia="Times New Roman" w:hAnsi="Times New Roman"/>
          <w:sz w:val="18"/>
          <w:szCs w:val="18"/>
          <w:color w:val="auto"/>
        </w:rPr>
      </w:pPr>
    </w:p>
    <w:p>
      <w:pPr>
        <w:ind w:right="160" w:firstLine="972"/>
        <w:spacing w:after="0" w:line="251" w:lineRule="auto"/>
        <w:tabs>
          <w:tab w:leader="none" w:pos="120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the Register pursuant to Section 9.04(d)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79" w:lineRule="exact"/>
        <w:rPr>
          <w:rFonts w:ascii="Times New Roman" w:cs="Times New Roman" w:eastAsia="Times New Roman" w:hAnsi="Times New Roman"/>
          <w:sz w:val="18"/>
          <w:szCs w:val="18"/>
          <w:color w:val="auto"/>
        </w:rPr>
      </w:pPr>
    </w:p>
    <w:p>
      <w:pPr>
        <w:ind w:right="180" w:firstLine="972"/>
        <w:spacing w:after="0" w:line="249" w:lineRule="auto"/>
        <w:tabs>
          <w:tab w:leader="none" w:pos="121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accounts maintained pursuant to Section 2.09(b) and (c)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 In the event of any conflict between the records maintained by any Lender and the records maintained by the Administrative Agent in such matters, the records of the Administrative Agent shall control in the absence of manifest error.</w:t>
      </w:r>
    </w:p>
    <w:p>
      <w:pPr>
        <w:spacing w:after="0" w:line="81" w:lineRule="exact"/>
        <w:rPr>
          <w:rFonts w:ascii="Times New Roman" w:cs="Times New Roman" w:eastAsia="Times New Roman" w:hAnsi="Times New Roman"/>
          <w:sz w:val="18"/>
          <w:szCs w:val="18"/>
          <w:color w:val="auto"/>
        </w:rPr>
      </w:pPr>
    </w:p>
    <w:p>
      <w:pPr>
        <w:ind w:firstLine="972"/>
        <w:spacing w:after="0" w:line="249" w:lineRule="auto"/>
        <w:tabs>
          <w:tab w:leader="none" w:pos="1202"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Borrower shall execute and deliver to such Lender a promissory note (or, if requested by such Lender, to such Lender and its registered assigns) and in a form approved by the Lender evidencing the Loans, if any, owing to such Lender. Thereafter, the Loans evidenced by such promissory note and interest thereon shall at all times (including after assignment pursuant to Section 9.04) be represented by one or more promissory notes in such form payable to the payee named therein (or, if requested by such payee, to such payee and its registered assigns).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 Amortization of Term Loans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972"/>
        <w:spacing w:after="0" w:line="255" w:lineRule="auto"/>
        <w:tabs>
          <w:tab w:leader="none" w:pos="120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paid, all Term Loans shall be due and payable on the Term Loan Maturity Date and the Borrower hereby unconditionally promises to pay to the Administrative Agent for the account of each Lender the then unpaid principal amount of the Term Loans of such Lender on the Term Loan Maturity Date (and any other date on which a payment is required to be made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20"/>
          </w:cols>
          <w:pgMar w:left="580" w:top="265" w:right="599" w:bottom="1440" w:gutter="0" w:footer="0" w:header="0"/>
        </w:sectPr>
      </w:pPr>
    </w:p>
    <w:bookmarkStart w:id="360" w:name="page361"/>
    <w:bookmarkEnd w:id="3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20" w:firstLine="972"/>
        <w:spacing w:after="0" w:line="267" w:lineRule="auto"/>
        <w:tabs>
          <w:tab w:leader="none" w:pos="1202"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any Term Loans in whole or in part, as selected by the Borrower in its sole discretion and subject to the requirements of clauses (e), (f) and (j) of this Section 2.11.</w:t>
      </w:r>
    </w:p>
    <w:p>
      <w:pPr>
        <w:spacing w:after="0" w:line="64"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firstLine="972"/>
        <w:spacing w:after="0" w:line="280" w:lineRule="auto"/>
        <w:tabs>
          <w:tab w:leader="none" w:pos="1202"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and on each occasion that any Net Proceeds are received by or on behalf of the Borrower or any Subsidiary in respect of any Prepayment Event, the Borrower shall, within five (5) Business Days after such Net Proceeds are received by the Borrower or such Subsidiary, prepay Term Loan Borrowings in an aggregate amount equal to 100% of such Net Proceeds;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in the case of any event described in clause (a) or (b) of the definition of the term “Prepayment Event” (other than pursuant to a sale and leaseback transaction permitted under Section 6.06), if the Borrower shall deliver to the Administrative Agent a certificate of a Financial Officer to the effect that the Borrower and the Subsidiaries intend to apply the Net Proceeds from such event (or a portion thereof specified in such certificate), within 365 days after receipt of such Net Proceeds in the business of the Borrower and the Subsidiaries, and certifying that no Event of Default has occurred and is continuing, then no prepayment shall be required pursuant to this paragraph in respect of the Net Proceeds specified in such certificate, except to the extent that the aggregate amount of such Net Proceeds that have not been so applied or contractually committed in writing by the end of such 365-day period exceeds $2,500,000 (“</w:t>
      </w:r>
      <w:r>
        <w:rPr>
          <w:rFonts w:ascii="Times New Roman" w:cs="Times New Roman" w:eastAsia="Times New Roman" w:hAnsi="Times New Roman"/>
          <w:sz w:val="16"/>
          <w:szCs w:val="16"/>
          <w:u w:val="single" w:color="auto"/>
          <w:color w:val="auto"/>
        </w:rPr>
        <w:t>Excess Net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Proceeds</w:t>
      </w:r>
      <w:r>
        <w:rPr>
          <w:rFonts w:ascii="Times New Roman" w:cs="Times New Roman" w:eastAsia="Times New Roman" w:hAnsi="Times New Roman"/>
          <w:sz w:val="16"/>
          <w:szCs w:val="16"/>
          <w:color w:val="auto"/>
        </w:rPr>
        <w:t>”), promptly after which time a prepayment shall be required in an amount equal to such Excess Net Proceeds that have not been so applied.</w:t>
      </w:r>
    </w:p>
    <w:p>
      <w:pPr>
        <w:spacing w:after="0" w:line="59" w:lineRule="exact"/>
        <w:rPr>
          <w:rFonts w:ascii="Times New Roman" w:cs="Times New Roman" w:eastAsia="Times New Roman" w:hAnsi="Times New Roman"/>
          <w:sz w:val="16"/>
          <w:szCs w:val="16"/>
          <w:color w:val="auto"/>
        </w:rPr>
      </w:pPr>
    </w:p>
    <w:p>
      <w:pPr>
        <w:ind w:right="60" w:firstLine="972"/>
        <w:spacing w:after="0" w:line="285" w:lineRule="auto"/>
        <w:tabs>
          <w:tab w:leader="none" w:pos="1212"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and on each occasion that any Net Proceeds from the issuance of Equity Interests for cash or other receipt of cash contributions to its equity in connection with the exercise of the Cure Right are received by or on behalf of the Borrower, the Borrower shall, within one</w:t>
      </w:r>
    </w:p>
    <w:p>
      <w:pPr>
        <w:spacing w:after="0" w:line="1" w:lineRule="exact"/>
        <w:rPr>
          <w:rFonts w:ascii="Times New Roman" w:cs="Times New Roman" w:eastAsia="Times New Roman" w:hAnsi="Times New Roman"/>
          <w:sz w:val="16"/>
          <w:szCs w:val="16"/>
          <w:color w:val="auto"/>
        </w:rPr>
      </w:pPr>
    </w:p>
    <w:p>
      <w:pPr>
        <w:ind w:right="200" w:firstLine="8"/>
        <w:spacing w:after="0" w:line="247" w:lineRule="auto"/>
        <w:tabs>
          <w:tab w:leader="none" w:pos="24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such Net Proceeds are received by the Borrower, prepay Term Loan Borrowings in an aggregate amount equal to 100% of such Net Proceeds.</w:t>
      </w:r>
    </w:p>
    <w:p>
      <w:pPr>
        <w:spacing w:after="0" w:line="81"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optional or mandatory prepayment of Borrowings hereunder, the Borrower shall determine in accordance with</w:t>
      </w:r>
    </w:p>
    <w:p>
      <w:pPr>
        <w:spacing w:after="0" w:line="21" w:lineRule="exact"/>
        <w:rPr>
          <w:sz w:val="20"/>
          <w:szCs w:val="20"/>
          <w:color w:val="auto"/>
        </w:rPr>
      </w:pPr>
    </w:p>
    <w:p>
      <w:pPr>
        <w:ind w:right="840"/>
        <w:spacing w:after="0" w:line="247" w:lineRule="auto"/>
        <w:rPr>
          <w:sz w:val="20"/>
          <w:szCs w:val="20"/>
          <w:color w:val="auto"/>
        </w:rPr>
      </w:pPr>
      <w:r>
        <w:rPr>
          <w:rFonts w:ascii="Times New Roman" w:cs="Times New Roman" w:eastAsia="Times New Roman" w:hAnsi="Times New Roman"/>
          <w:sz w:val="18"/>
          <w:szCs w:val="18"/>
          <w:color w:val="auto"/>
        </w:rPr>
        <w:t>Section 2.11(j) the Borrowing or Borrowings to be prepaid and shall specify such determination in the notice of such prepayment pursuant to Section 2.11(f).</w:t>
      </w:r>
    </w:p>
    <w:p>
      <w:pPr>
        <w:spacing w:after="0" w:line="81" w:lineRule="exact"/>
        <w:rPr>
          <w:sz w:val="20"/>
          <w:szCs w:val="20"/>
          <w:color w:val="auto"/>
        </w:rPr>
      </w:pPr>
    </w:p>
    <w:p>
      <w:pPr>
        <w:ind w:right="80" w:firstLine="972"/>
        <w:spacing w:after="0" w:line="245" w:lineRule="auto"/>
        <w:tabs>
          <w:tab w:leader="none" w:pos="118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in writing of any prepayment hereunder (i) in the case of prepayment of a SOFR Borrowing, not later than 12:00 noon, New York City time, three Business Days before the date of prepayment or (ii) in the case of prepayment of a Base Rate Borrowing, not later than 12:00 p.m., New York City time, one Business Days before the date of prepayment. Each such notice shall be irrevocable and shall specify the prepayment date,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under this Section 2.11, such notice of prepayment may be conditioned upon the effectiveness of other credit facilities or the closing of a refinancing transaction, a sale of all or substantially all of the assets of the Borrower and its Subsidiaries or a Change of Control and such notice of prepayment may be revoked or extended by the Borrower by written notice to the Administrative Agent if such condition is not satisfied on or prior to the specified effective date of prepayment.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but shall in no event include premium or penalty.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20"/>
          </w:cols>
          <w:pgMar w:left="580" w:top="265" w:right="599" w:bottom="1440" w:gutter="0" w:footer="0" w:header="0"/>
        </w:sectPr>
      </w:pPr>
    </w:p>
    <w:bookmarkStart w:id="361" w:name="page362"/>
    <w:bookmarkEnd w:id="361"/>
    <w:p>
      <w:pPr>
        <w:ind w:left="-8" w:right="40" w:firstLine="972"/>
        <w:spacing w:after="0" w:line="249" w:lineRule="auto"/>
        <w:tabs>
          <w:tab w:leader="none" w:pos="120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 Swap Agreements, if any, between Borrower and any of the Lenders or their respective affiliates are independent agreements governed by the written provisions of said Swap Agreements, which will remain in full force and effect, unaffected by any repayment, prepayment, acceleration, reduction, increase or change in the terms of the Loans, except as otherwise expressly provided in said written Swap Agreements, and any payoff statement from the Lenders relating to the Loans shall not apply to said Swap Agreements except as otherwise expressly provided in such payoff statement.</w:t>
      </w:r>
    </w:p>
    <w:p>
      <w:pPr>
        <w:spacing w:after="0" w:line="81" w:lineRule="exact"/>
        <w:rPr>
          <w:rFonts w:ascii="Times New Roman" w:cs="Times New Roman" w:eastAsia="Times New Roman" w:hAnsi="Times New Roman"/>
          <w:sz w:val="18"/>
          <w:szCs w:val="18"/>
          <w:color w:val="auto"/>
        </w:rPr>
      </w:pPr>
    </w:p>
    <w:p>
      <w:pPr>
        <w:ind w:left="1212" w:hanging="248"/>
        <w:spacing w:after="0"/>
        <w:tabs>
          <w:tab w:leader="none" w:pos="121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172" w:hanging="208"/>
        <w:spacing w:after="0"/>
        <w:tabs>
          <w:tab w:leader="none" w:pos="1172"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8" w:right="20" w:firstLine="972"/>
        <w:spacing w:after="0" w:line="267" w:lineRule="auto"/>
        <w:tabs>
          <w:tab w:leader="none" w:pos="116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prepayments of a Term Loan Borrowing shall be paid to the Term Lenders on a pro rata basis in accordance with their respective holdings of Term Loans.</w:t>
      </w:r>
    </w:p>
    <w:p>
      <w:pPr>
        <w:spacing w:after="0" w:line="64" w:lineRule="exact"/>
        <w:rPr>
          <w:rFonts w:ascii="Times New Roman" w:cs="Times New Roman" w:eastAsia="Times New Roman" w:hAnsi="Times New Roman"/>
          <w:sz w:val="18"/>
          <w:szCs w:val="18"/>
          <w:color w:val="auto"/>
        </w:rPr>
      </w:pPr>
    </w:p>
    <w:p>
      <w:pPr>
        <w:ind w:left="-8" w:firstLine="972"/>
        <w:spacing w:after="0" w:line="280" w:lineRule="auto"/>
        <w:tabs>
          <w:tab w:leader="none" w:pos="1204"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prepayments referred to in clause (c) above are subject (i) in the case of any Net Proceeds from Prepayment Events attributable to Foreign Subsidiaries, to there being no material adverse tax consequences to Borrower, or the Subsidiaries, either individually or in the aggregate (which, for the avoidance of doubt, includes, but is not limited to, any prepayment whereby doing so Borrower and the Subsidiaries would incur a material tax liability, including in connection with a tax dividend, deemed dividend pursuant to Section 956 of the Code or a withholding Tax) and (ii) in the case of any Net Proceeds from Prepayment Events attributable to Foreign Subsidiaries, permissibility under local law (e.g., financial assistance, corporate benefit, restrictions on upstreaming of cash intra-group and the fiduciary and statutory duties of the directors of the relevant subsidiaries). The non-application of any prepayment amounts as a consequence of the foregoing provisions will not, for the avoidance of doubt, constitute a Default or an Event of Default, and such amounts shall be available for working capital purposes of the Borrower and the Subsidiaries as long as not required to be prepaid in accordance this </w:t>
      </w:r>
      <w:r>
        <w:rPr>
          <w:rFonts w:ascii="Times New Roman" w:cs="Times New Roman" w:eastAsia="Times New Roman" w:hAnsi="Times New Roman"/>
          <w:sz w:val="16"/>
          <w:szCs w:val="16"/>
          <w:u w:val="single" w:color="auto"/>
          <w:color w:val="auto"/>
        </w:rPr>
        <w:t>Section 2.11(k)</w:t>
      </w:r>
      <w:r>
        <w:rPr>
          <w:rFonts w:ascii="Times New Roman" w:cs="Times New Roman" w:eastAsia="Times New Roman" w:hAnsi="Times New Roman"/>
          <w:sz w:val="16"/>
          <w:szCs w:val="16"/>
          <w:color w:val="auto"/>
        </w:rPr>
        <w:t>. Notwithstanding the foregoing, any prepayments required after application of this clause (k) shall be net of any costs, expenses or taxes incurred by the Borrower or any of its Affiliates and arising as a result of compliance with the preceding sentence.</w:t>
      </w:r>
    </w:p>
    <w:p>
      <w:pPr>
        <w:spacing w:after="0" w:line="59" w:lineRule="exact"/>
        <w:rPr>
          <w:rFonts w:ascii="Times New Roman" w:cs="Times New Roman" w:eastAsia="Times New Roman" w:hAnsi="Times New Roman"/>
          <w:sz w:val="16"/>
          <w:szCs w:val="16"/>
          <w:color w:val="auto"/>
        </w:rPr>
      </w:pPr>
    </w:p>
    <w:p>
      <w:pPr>
        <w:ind w:left="-8" w:right="60" w:firstLine="972"/>
        <w:spacing w:after="0" w:line="285" w:lineRule="auto"/>
        <w:tabs>
          <w:tab w:leader="none" w:pos="1165" w:val="left"/>
        </w:tabs>
        <w:numPr>
          <w:ilvl w:val="1"/>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Term Lender may reject all or a portion of its pro rata share of any mandatory prepayment (such declined amounts, the “</w:t>
      </w:r>
      <w:r>
        <w:rPr>
          <w:rFonts w:ascii="Times New Roman" w:cs="Times New Roman" w:eastAsia="Times New Roman" w:hAnsi="Times New Roman"/>
          <w:sz w:val="16"/>
          <w:szCs w:val="16"/>
          <w:u w:val="single" w:color="auto"/>
          <w:color w:val="auto"/>
        </w:rPr>
        <w:t>Declined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Proceeds</w:t>
      </w:r>
      <w:r>
        <w:rPr>
          <w:rFonts w:ascii="Times New Roman" w:cs="Times New Roman" w:eastAsia="Times New Roman" w:hAnsi="Times New Roman"/>
          <w:sz w:val="16"/>
          <w:szCs w:val="16"/>
          <w:color w:val="auto"/>
        </w:rPr>
        <w:t>”) of Term Loans required to be made pursuant to clauses (c) (with respect to Net Proceeds received from a Prepayment Event under clauses</w:t>
      </w:r>
    </w:p>
    <w:p>
      <w:pPr>
        <w:spacing w:after="0" w:line="1" w:lineRule="exact"/>
        <w:rPr>
          <w:rFonts w:ascii="Times New Roman" w:cs="Times New Roman" w:eastAsia="Times New Roman" w:hAnsi="Times New Roman"/>
          <w:sz w:val="16"/>
          <w:szCs w:val="16"/>
          <w:color w:val="auto"/>
        </w:rPr>
      </w:pPr>
    </w:p>
    <w:p>
      <w:pPr>
        <w:ind w:left="-8" w:right="40" w:firstLine="8"/>
        <w:spacing w:after="0" w:line="244" w:lineRule="auto"/>
        <w:tabs>
          <w:tab w:leader="none" w:pos="23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such definition only) and (d) of this Section 2.11 by providing written notice (each,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to the Administrative Agent and the Borrower no later than 2:00 p.m. one Business Day prior to the date of such prepayment. Each Rejection Notice from a given Lender shall specify the principal amount of the mandatory repayment of Term Loans to be rejected by such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prepayment of Term Loans. Any Declined Proceeds may be retained by the Borrower.</w:t>
      </w:r>
    </w:p>
    <w:p>
      <w:pPr>
        <w:spacing w:after="0" w:line="12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672"/>
          </w:cols>
          <w:pgMar w:left="588" w:top="265" w:right="639" w:bottom="1440" w:gutter="0" w:footer="0" w:header="0"/>
        </w:sectPr>
      </w:pPr>
    </w:p>
    <w:bookmarkStart w:id="362" w:name="page363"/>
    <w:bookmarkEnd w:id="362"/>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20" w:right="200" w:firstLine="972"/>
        <w:spacing w:after="0" w:line="255" w:lineRule="auto"/>
        <w:tabs>
          <w:tab w:leader="none" w:pos="118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the Lead Arranger and the Lenders signatory to the Fee Letter, as applicable, fees payable in the amounts and at the times separately agreed upon between the Borrower, the Administrative Agent, the Lead Arranger and the Lenders signatory to the Fee Letter.</w:t>
      </w:r>
    </w:p>
    <w:p>
      <w:pPr>
        <w:spacing w:after="0" w:line="75" w:lineRule="exact"/>
        <w:rPr>
          <w:rFonts w:ascii="Times New Roman" w:cs="Times New Roman" w:eastAsia="Times New Roman" w:hAnsi="Times New Roman"/>
          <w:sz w:val="18"/>
          <w:szCs w:val="18"/>
          <w:color w:val="auto"/>
        </w:rPr>
      </w:pPr>
    </w:p>
    <w:p>
      <w:pPr>
        <w:ind w:left="-20" w:right="80" w:firstLine="972"/>
        <w:spacing w:after="0" w:line="331" w:lineRule="auto"/>
        <w:tabs>
          <w:tab w:leader="none" w:pos="119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fees payable hereunder shall be paid on the dates due, in immediately available funds, to the Administrative Agent for distribution, in the case of commitment fees and participation fees, to the Lenders entitled thereto. Fees paid shall not be refundable under any circumstances.</w:t>
      </w:r>
    </w:p>
    <w:p>
      <w:pPr>
        <w:spacing w:after="0" w:line="17" w:lineRule="exact"/>
        <w:rPr>
          <w:rFonts w:ascii="Times New Roman" w:cs="Times New Roman" w:eastAsia="Times New Roman" w:hAnsi="Times New Roman"/>
          <w:sz w:val="16"/>
          <w:szCs w:val="16"/>
          <w:color w:val="auto"/>
        </w:rPr>
      </w:pPr>
    </w:p>
    <w:p>
      <w:pPr>
        <w:ind w:left="-20" w:firstLine="972"/>
        <w:spacing w:after="0" w:line="244" w:lineRule="auto"/>
        <w:tabs>
          <w:tab w:leader="none" w:pos="118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any of the Loan Documents, the outstanding principal amounts of the Loans and Obligations shall not be permitted to be prepaid, repaid, redeemed or paid prior to the fourth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Effective Date except in accordance with this Section 2.12(c). If any Loans are prepaid (other than as a result of an event described in clause (b) of the definition of the term “Prepayment Event”), in addition to the principal amount of the Loans and accrued interest, fees and other amounts owed thereon, such Loans shall be accompanied by a premium equal to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i) if such prepayment is made prior to the first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Effective Date for any reason (such as an acceleration of the Loans and other Obligations following the occurrence of an Event of Default, an exercise of any Credit Party’s rights or remedies available under the Loan Documents, upon the consummation of a Change of Control, by any optional prepayment or termination or otherwise), then the amount (in addition to the principal amount of the Loans and other Obligations (other than the Make-Whole Premium) and accrued interest, fees and other amounts owed thereon) required to be prepaid, repaid, redeemed or paid shall be the Make-Whole Premium applicable to the principal amount and interest on the Loans or other Obligations (other than the Make-Whole Premium) so prepaid, repaid, redeemed or paid,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if such prepayment is made on or after the first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auto"/>
        </w:rPr>
        <w:t xml:space="preserve"> Effective Date but prior to the second anniversary of the </w:t>
      </w:r>
      <w:r>
        <w:rPr>
          <w:rFonts w:ascii="Times New Roman" w:cs="Times New Roman" w:eastAsia="Times New Roman" w:hAnsi="Times New Roman"/>
          <w:sz w:val="18"/>
          <w:szCs w:val="18"/>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Effective Date for any reason (such as an acceleration of the Loans and other Obligations following the occurrence of an Event of Default,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 exercise of any Credit Party’s rights or remedies available under the Loan Documents, upon the consummation of a Change of Control, by any optional prepayment or termination or otherwise), 5.00% of the principal amount of the Term Loans so prepaid, repaid, redeemed or paid,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xml:space="preserve">) if such prepayment is made on or after the second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000000"/>
        </w:rPr>
        <w:t xml:space="preserve"> Effective Date but prior to the third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000000"/>
        </w:rPr>
        <w:t xml:space="preserve"> Effective Date for any reason (such as an acceleration of the Loans and other Obligations following the occurrence of an Event of Default, an exercise of any Credit Party’s rights or remedies available under the Loan Documents, upon the consummation of a Change of Control, by any optional prepayment or termination or otherwise), 2.50% of the principal amount of the Term Loans so prepaid, repaid, redeemed or paid, (</w:t>
      </w:r>
      <w:r>
        <w:rPr>
          <w:rFonts w:ascii="Times New Roman" w:cs="Times New Roman" w:eastAsia="Times New Roman" w:hAnsi="Times New Roman"/>
          <w:sz w:val="18"/>
          <w:szCs w:val="18"/>
          <w:color w:val="FF0000"/>
          <w:strike w:val="1"/>
        </w:rPr>
        <w:t>d</w:t>
      </w:r>
      <w:r>
        <w:rPr>
          <w:rFonts w:ascii="Times New Roman" w:cs="Times New Roman" w:eastAsia="Times New Roman" w:hAnsi="Times New Roman"/>
          <w:sz w:val="18"/>
          <w:szCs w:val="18"/>
          <w:u w:val="single" w:color="auto"/>
          <w:color w:val="0000FF"/>
        </w:rPr>
        <w:t>iv</w:t>
      </w:r>
      <w:r>
        <w:rPr>
          <w:rFonts w:ascii="Times New Roman" w:cs="Times New Roman" w:eastAsia="Times New Roman" w:hAnsi="Times New Roman"/>
          <w:sz w:val="18"/>
          <w:szCs w:val="18"/>
          <w:color w:val="000000"/>
        </w:rPr>
        <w:t xml:space="preserve"> ) if such prepayment is made on or after the third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000000"/>
        </w:rPr>
        <w:t xml:space="preserve"> Effective Date but prior to the fourth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000000"/>
        </w:rPr>
        <w:t xml:space="preserve"> Effective Date for any reason (such as an acceleration of the Loans and other Obligations following the occurrence of an Event of Default, an exercise of any Credit Party’s rights or remedies available under the Loan Documents, upon the consummation of a Change of Control, by any optional prepayment or termination or otherwise), 1.00% of the principal amount of the Term Loans so prepaid, repaid, redeemed or paid and (</w:t>
      </w: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u w:val="single" w:color="auto"/>
          <w:color w:val="0000FF"/>
        </w:rPr>
        <w:t>v</w:t>
      </w:r>
      <w:r>
        <w:rPr>
          <w:rFonts w:ascii="Times New Roman" w:cs="Times New Roman" w:eastAsia="Times New Roman" w:hAnsi="Times New Roman"/>
          <w:sz w:val="18"/>
          <w:szCs w:val="18"/>
          <w:color w:val="000000"/>
        </w:rPr>
        <w:t xml:space="preserve">) if such prepayment is made on or after the fourth anniversary of the </w:t>
      </w:r>
      <w:r>
        <w:rPr>
          <w:rFonts w:ascii="Times New Roman" w:cs="Times New Roman" w:eastAsia="Times New Roman" w:hAnsi="Times New Roman"/>
          <w:sz w:val="18"/>
          <w:szCs w:val="18"/>
          <w:u w:val="single" w:color="auto"/>
          <w:color w:val="0000FF"/>
        </w:rPr>
        <w:t>First Amendment</w:t>
      </w:r>
      <w:r>
        <w:rPr>
          <w:rFonts w:ascii="Times New Roman" w:cs="Times New Roman" w:eastAsia="Times New Roman" w:hAnsi="Times New Roman"/>
          <w:sz w:val="18"/>
          <w:szCs w:val="18"/>
          <w:color w:val="000000"/>
        </w:rPr>
        <w:t xml:space="preserve"> Effective Date, 0.00% of the principal amount of the Term Loans so prepaid, repaid, redeemed or paid (such Make-Whole Premium or other amount required to be paid (or that is otherwise owed) pursuant to the foregoing, the “</w:t>
      </w:r>
      <w:r>
        <w:rPr>
          <w:rFonts w:ascii="Times New Roman" w:cs="Times New Roman" w:eastAsia="Times New Roman" w:hAnsi="Times New Roman"/>
          <w:sz w:val="18"/>
          <w:szCs w:val="18"/>
          <w:u w:val="single" w:color="auto"/>
          <w:color w:val="000000"/>
        </w:rPr>
        <w:t>Make Whole/Prepayment Fee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Amount</w:t>
      </w:r>
      <w:r>
        <w:rPr>
          <w:rFonts w:ascii="Times New Roman" w:cs="Times New Roman" w:eastAsia="Times New Roman" w:hAnsi="Times New Roman"/>
          <w:sz w:val="18"/>
          <w:szCs w:val="18"/>
          <w:color w:val="000000"/>
        </w:rPr>
        <w:t>”). For purposes of this Section 2.12(c), the principal amount of the Term Loans shall include all PIK Interest that has been capitalized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-3187065</wp:posOffset>
            </wp:positionV>
            <wp:extent cx="8083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-2786380</wp:posOffset>
            </wp:positionV>
            <wp:extent cx="8083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08355" cy="8255"/>
                    </a:xfrm>
                    <a:prstGeom prst="rect">
                      <a:avLst/>
                    </a:prstGeom>
                    <a:noFill/>
                  </pic:spPr>
                </pic:pic>
              </a:graphicData>
            </a:graphic>
          </wp:anchor>
        </w:drawing>
        <w:drawing>
          <wp:anchor simplePos="0" relativeHeight="251657728" behindDoc="1" locked="0" layoutInCell="0" allowOverlap="1">
            <wp:simplePos x="0" y="0"/>
            <wp:positionH relativeFrom="column">
              <wp:posOffset>6369685</wp:posOffset>
            </wp:positionH>
            <wp:positionV relativeFrom="paragraph">
              <wp:posOffset>-2119630</wp:posOffset>
            </wp:positionV>
            <wp:extent cx="6667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-1986280</wp:posOffset>
            </wp:positionV>
            <wp:extent cx="7753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75335" cy="8255"/>
                    </a:xfrm>
                    <a:prstGeom prst="rect">
                      <a:avLst/>
                    </a:prstGeom>
                    <a:noFill/>
                  </pic:spPr>
                </pic:pic>
              </a:graphicData>
            </a:graphic>
          </wp:anchor>
        </w:drawing>
        <w:drawing>
          <wp:anchor simplePos="0" relativeHeight="251657728" behindDoc="1" locked="0" layoutInCell="0" allowOverlap="1">
            <wp:simplePos x="0" y="0"/>
            <wp:positionH relativeFrom="column">
              <wp:posOffset>6136005</wp:posOffset>
            </wp:positionH>
            <wp:positionV relativeFrom="paragraph">
              <wp:posOffset>-1986280</wp:posOffset>
            </wp:positionV>
            <wp:extent cx="2336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336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-1852930</wp:posOffset>
            </wp:positionV>
            <wp:extent cx="57531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75310" cy="8255"/>
                    </a:xfrm>
                    <a:prstGeom prst="rect">
                      <a:avLst/>
                    </a:prstGeom>
                    <a:noFill/>
                  </pic:spPr>
                </pic:pic>
              </a:graphicData>
            </a:graphic>
          </wp:anchor>
        </w:drawing>
        <w:drawing>
          <wp:anchor simplePos="0" relativeHeight="251657728" behindDoc="1" locked="0" layoutInCell="0" allowOverlap="1">
            <wp:simplePos x="0" y="0"/>
            <wp:positionH relativeFrom="column">
              <wp:posOffset>6228080</wp:posOffset>
            </wp:positionH>
            <wp:positionV relativeFrom="paragraph">
              <wp:posOffset>-1586230</wp:posOffset>
            </wp:positionV>
            <wp:extent cx="9144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2734945</wp:posOffset>
            </wp:positionH>
            <wp:positionV relativeFrom="paragraph">
              <wp:posOffset>-1452880</wp:posOffset>
            </wp:positionV>
            <wp:extent cx="7835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83590" cy="8255"/>
                    </a:xfrm>
                    <a:prstGeom prst="rect">
                      <a:avLst/>
                    </a:prstGeom>
                    <a:noFill/>
                  </pic:spPr>
                </pic:pic>
              </a:graphicData>
            </a:graphic>
          </wp:anchor>
        </w:drawing>
        <w:drawing>
          <wp:anchor simplePos="0" relativeHeight="251657728" behindDoc="1" locked="0" layoutInCell="0" allowOverlap="1">
            <wp:simplePos x="0" y="0"/>
            <wp:positionH relativeFrom="column">
              <wp:posOffset>5969635</wp:posOffset>
            </wp:positionH>
            <wp:positionV relativeFrom="paragraph">
              <wp:posOffset>-1452880</wp:posOffset>
            </wp:positionV>
            <wp:extent cx="7835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8359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-1052830</wp:posOffset>
            </wp:positionV>
            <wp:extent cx="8318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3185" cy="8255"/>
                    </a:xfrm>
                    <a:prstGeom prst="rect">
                      <a:avLst/>
                    </a:prstGeom>
                    <a:noFill/>
                  </pic:spPr>
                </pic:pic>
              </a:graphicData>
            </a:graphic>
          </wp:anchor>
        </w:drawing>
        <w:drawing>
          <wp:anchor simplePos="0" relativeHeight="251657728" behindDoc="1" locked="0" layoutInCell="0" allowOverlap="1">
            <wp:simplePos x="0" y="0"/>
            <wp:positionH relativeFrom="column">
              <wp:posOffset>1717675</wp:posOffset>
            </wp:positionH>
            <wp:positionV relativeFrom="paragraph">
              <wp:posOffset>-919480</wp:posOffset>
            </wp:positionV>
            <wp:extent cx="7753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75335" cy="825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-919480</wp:posOffset>
            </wp:positionV>
            <wp:extent cx="7835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8359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-519430</wp:posOffset>
            </wp:positionV>
            <wp:extent cx="5842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1117600</wp:posOffset>
            </wp:positionH>
            <wp:positionV relativeFrom="paragraph">
              <wp:posOffset>-386080</wp:posOffset>
            </wp:positionV>
            <wp:extent cx="7753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00"/>
          </w:cols>
          <w:pgMar w:left="600" w:top="265" w:right="599" w:bottom="1440" w:gutter="0" w:footer="0" w:header="0"/>
        </w:sectPr>
      </w:pPr>
    </w:p>
    <w:bookmarkStart w:id="363" w:name="page364"/>
    <w:bookmarkEnd w:id="363"/>
    <w:p>
      <w:pPr>
        <w:ind w:right="60" w:firstLine="972"/>
        <w:spacing w:after="0" w:line="247" w:lineRule="auto"/>
        <w:tabs>
          <w:tab w:leader="none" w:pos="1212"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parties hereto acknowledge and agree that, in light of the impracticality and extreme difficulty of ascertaining actual damages, the Make Whole/Prepayment Fee Amount is intended to be a reasonable calculation of the actual damages that would be suffered by the Credit Parties as a result of any such prepayment, repayment, redemption, payment or termination. The parties hereto further acknowledge and agree that the Agents and the Lenders would not have entered into this Agreement, and the Lenders would not have provided the Commitments or Loans hereunder, without the Loan Parties agreeing to pay the Make Whole/Prepayment Fee in the aforementioned instances. The parties hereto further acknowledge and agree that the Make Whole/Prepayment Fee Amount is not intended to act as a penalty or to punish the Borrower or any other Loan Party for any such prepayment, repayment, redemption or payment.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00" w:hanging="228"/>
        <w:spacing w:after="0"/>
        <w:tabs>
          <w:tab w:leader="none" w:pos="1200"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Loans comprising each Base Rate Borrowing shall bear interest at (i) in the event the Borrower makes a PIK Election, the sum of</w:t>
      </w:r>
    </w:p>
    <w:p>
      <w:pPr>
        <w:spacing w:after="0" w:line="43" w:lineRule="exact"/>
        <w:rPr>
          <w:rFonts w:ascii="Times New Roman" w:cs="Times New Roman" w:eastAsia="Times New Roman" w:hAnsi="Times New Roman"/>
          <w:sz w:val="16"/>
          <w:szCs w:val="16"/>
          <w:color w:val="auto"/>
        </w:rPr>
      </w:pPr>
    </w:p>
    <w:p>
      <w:pPr>
        <w:ind w:left="300" w:hanging="292"/>
        <w:spacing w:after="0"/>
        <w:tabs>
          <w:tab w:leader="none" w:pos="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PIK Election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color w:val="FF0000"/>
          <w:strike w:val="1"/>
        </w:rPr>
        <w:t>3.00</w:t>
      </w:r>
      <w:r>
        <w:rPr>
          <w:rFonts w:ascii="Times New Roman" w:cs="Times New Roman" w:eastAsia="Times New Roman" w:hAnsi="Times New Roman"/>
          <w:sz w:val="18"/>
          <w:szCs w:val="18"/>
          <w:u w:val="single" w:color="auto"/>
          <w:color w:val="0000FF"/>
        </w:rPr>
        <w:t>(x) prior to the First Amendment Effective Date,</w:t>
      </w:r>
    </w:p>
    <w:p>
      <w:pPr>
        <w:spacing w:after="0" w:line="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u w:val="single" w:color="auto"/>
          <w:color w:val="0000FF"/>
        </w:rPr>
        <w:t>3.00% per annum and (y) from and after the First Amendment Effective Date, 3.25</w:t>
      </w:r>
      <w:r>
        <w:rPr>
          <w:rFonts w:ascii="Times New Roman" w:cs="Times New Roman" w:eastAsia="Times New Roman" w:hAnsi="Times New Roman"/>
          <w:sz w:val="16"/>
          <w:szCs w:val="16"/>
          <w:color w:val="000000"/>
        </w:rPr>
        <w:t>% per annum</w:t>
      </w:r>
      <w:r>
        <w:rPr>
          <w:rFonts w:ascii="Times New Roman" w:cs="Times New Roman" w:eastAsia="Times New Roman" w:hAnsi="Times New Roman"/>
          <w:sz w:val="16"/>
          <w:szCs w:val="16"/>
          <w:u w:val="single" w:color="auto"/>
          <w:color w:val="0000FF"/>
        </w:rPr>
        <w:t>, in each case of clauses (B)(x) and (B)(y),</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paid in-kind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by adding such accrued interest to the outstanding principal balance of the applicable Loans on each Interest Payment Date and after giving effect to the foregoing, such accrued and unpaid interest on the Loans shall be deemed to constitute a portion of the outstanding principal balance of the Term Loans for all purposes of this Agreement and the other Loan Documents, including with respect to the accrual of interest thereon at the rates set forth herein (the “</w:t>
      </w:r>
      <w:r>
        <w:rPr>
          <w:rFonts w:ascii="Times New Roman" w:cs="Times New Roman" w:eastAsia="Times New Roman" w:hAnsi="Times New Roman"/>
          <w:sz w:val="16"/>
          <w:szCs w:val="16"/>
          <w:u w:val="single" w:color="auto"/>
          <w:color w:val="000000"/>
        </w:rPr>
        <w:t>PIK Interest</w:t>
      </w:r>
      <w:r>
        <w:rPr>
          <w:rFonts w:ascii="Times New Roman" w:cs="Times New Roman" w:eastAsia="Times New Roman" w:hAnsi="Times New Roman"/>
          <w:sz w:val="16"/>
          <w:szCs w:val="16"/>
          <w:color w:val="000000"/>
        </w:rPr>
        <w:t>”) or (ii) in the event the Borrower makes a Cash Election, the Base Rate plus the Applicable Rate applicable to a Cash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4373245</wp:posOffset>
            </wp:positionH>
            <wp:positionV relativeFrom="paragraph">
              <wp:posOffset>-676910</wp:posOffset>
            </wp:positionV>
            <wp:extent cx="215074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07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-543560</wp:posOffset>
            </wp:positionV>
            <wp:extent cx="61690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169025" cy="8255"/>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-43815</wp:posOffset>
            </wp:positionV>
            <wp:extent cx="21272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37" w:lineRule="exact"/>
        <w:rPr>
          <w:sz w:val="20"/>
          <w:szCs w:val="20"/>
          <w:color w:val="auto"/>
        </w:rPr>
      </w:pPr>
    </w:p>
    <w:p>
      <w:pPr>
        <w:ind w:left="1220" w:hanging="248"/>
        <w:spacing w:after="0"/>
        <w:tabs>
          <w:tab w:leader="none" w:pos="122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SOFR Borrowing shall bear interest at (i) in the event the Borrower makes a PIK Election, the sum of</w:t>
      </w:r>
    </w:p>
    <w:p>
      <w:pPr>
        <w:spacing w:after="0" w:line="20" w:lineRule="exact"/>
        <w:rPr>
          <w:rFonts w:ascii="Times New Roman" w:cs="Times New Roman" w:eastAsia="Times New Roman" w:hAnsi="Times New Roman"/>
          <w:sz w:val="18"/>
          <w:szCs w:val="18"/>
          <w:color w:val="auto"/>
        </w:rPr>
      </w:pPr>
    </w:p>
    <w:p>
      <w:pPr>
        <w:ind w:right="80" w:firstLine="8"/>
        <w:spacing w:after="0" w:line="245" w:lineRule="auto"/>
        <w:tabs>
          <w:tab w:leader="none" w:pos="28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PIK Election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PIK Interest or (ii) in the event the Borrower makes a Cash Election, Term SOFR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applicable to a Cash Election.</w:t>
      </w:r>
    </w:p>
    <w:p>
      <w:pPr>
        <w:spacing w:after="0" w:line="83" w:lineRule="exact"/>
        <w:rPr>
          <w:rFonts w:ascii="Times New Roman" w:cs="Times New Roman" w:eastAsia="Times New Roman" w:hAnsi="Times New Roman"/>
          <w:sz w:val="18"/>
          <w:szCs w:val="18"/>
          <w:color w:val="auto"/>
        </w:rPr>
      </w:pPr>
    </w:p>
    <w:p>
      <w:pPr>
        <w:ind w:right="60" w:firstLine="972"/>
        <w:spacing w:after="0" w:line="281" w:lineRule="auto"/>
        <w:tabs>
          <w:tab w:leader="none" w:pos="1202"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automatically upon the occurrence of any Event of Default described in Sections 7.01(a), (b), (i) or (j), and at the direction of the Administrative Agent or the Required Lenders in the case of any Event of Default described in Section 7.01(d) (solely with respect to Section 6.12) or Section 7.01(e), all outstanding Obligations shall bear interest, after as well as before judgment, at a rate per annum equal to</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 in the case of any Loan, 2.00% plus the rate otherwise applicable to such Loan as provided in the preceding paragraphs of this Section 2.13 and</w:t>
      </w:r>
    </w:p>
    <w:p>
      <w:pPr>
        <w:spacing w:after="0" w:line="3" w:lineRule="exact"/>
        <w:rPr>
          <w:rFonts w:ascii="Times New Roman" w:cs="Times New Roman" w:eastAsia="Times New Roman" w:hAnsi="Times New Roman"/>
          <w:sz w:val="16"/>
          <w:szCs w:val="16"/>
          <w:color w:val="auto"/>
        </w:rPr>
      </w:pPr>
    </w:p>
    <w:p>
      <w:pPr>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 in the case of any other amount 2.00% plus the rate applicable to Base Rate Loans as provided in Section 2.13(a) (such rates referred to in this clause (c), the “</w:t>
      </w:r>
      <w:r>
        <w:rPr>
          <w:rFonts w:ascii="Times New Roman" w:cs="Times New Roman" w:eastAsia="Times New Roman" w:hAnsi="Times New Roman"/>
          <w:sz w:val="18"/>
          <w:szCs w:val="18"/>
          <w:u w:val="single" w:color="auto"/>
          <w:color w:val="auto"/>
        </w:rPr>
        <w:t>Default Rates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6"/>
          <w:szCs w:val="16"/>
          <w:color w:val="auto"/>
        </w:rPr>
      </w:pPr>
    </w:p>
    <w:p>
      <w:pPr>
        <w:ind w:right="140" w:firstLine="972"/>
        <w:spacing w:after="0" w:line="293" w:lineRule="auto"/>
        <w:tabs>
          <w:tab w:leader="none" w:pos="1212"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Accrued interest on each Loan shall be payable in arrears on each Interest Payment Date for such Loan,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interest accrued pursuant to Section 2.13(c)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680"/>
          </w:cols>
          <w:pgMar w:left="580" w:top="265" w:right="639" w:bottom="1440" w:gutter="0" w:footer="0" w:header="0"/>
        </w:sectPr>
      </w:pPr>
    </w:p>
    <w:bookmarkStart w:id="364" w:name="page365"/>
    <w:bookmarkEnd w:id="364"/>
    <w:p>
      <w:pPr>
        <w:ind w:left="-20" w:right="20" w:firstLine="972"/>
        <w:spacing w:after="0" w:line="249" w:lineRule="auto"/>
        <w:tabs>
          <w:tab w:leader="none" w:pos="118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 interest hereunder shall be computed on the basis of a year of 360 days, except that interest computed by reference to the Base Rate at times when the Base Rate is based on the Prime Rate shall be computed on the basis of a year of 365 days (or 366 days in a leap year), and in each case shall be payable for the actual number of days elapsed (including the first day but excluding the last day). For the avoidance of doubt, no date of payment shall be included in any computation. The applicable Base Rate or Term SOFR shall be determined by the Administrative Agent, and such determination shall be conclusive absent manifest error.</w:t>
      </w:r>
    </w:p>
    <w:p>
      <w:pPr>
        <w:spacing w:after="0" w:line="81" w:lineRule="exact"/>
        <w:rPr>
          <w:rFonts w:ascii="Times New Roman" w:cs="Times New Roman" w:eastAsia="Times New Roman" w:hAnsi="Times New Roman"/>
          <w:sz w:val="18"/>
          <w:szCs w:val="18"/>
          <w:color w:val="auto"/>
        </w:rPr>
      </w:pPr>
    </w:p>
    <w:p>
      <w:pPr>
        <w:ind w:left="-20" w:right="140" w:firstLine="972"/>
        <w:spacing w:after="0" w:line="285" w:lineRule="auto"/>
        <w:tabs>
          <w:tab w:leader="none" w:pos="116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on any Interest Payment Date, the accrued interest on the Term Loans due on such Interest Payment Date may be paid (a) solely in cash at the written election of the Borrower (any such election, a “</w:t>
      </w:r>
      <w:r>
        <w:rPr>
          <w:rFonts w:ascii="Times New Roman" w:cs="Times New Roman" w:eastAsia="Times New Roman" w:hAnsi="Times New Roman"/>
          <w:sz w:val="16"/>
          <w:szCs w:val="16"/>
          <w:u w:val="single" w:color="auto"/>
          <w:color w:val="auto"/>
        </w:rPr>
        <w:t>Cash Election</w:t>
      </w:r>
      <w:r>
        <w:rPr>
          <w:rFonts w:ascii="Times New Roman" w:cs="Times New Roman" w:eastAsia="Times New Roman" w:hAnsi="Times New Roman"/>
          <w:sz w:val="16"/>
          <w:szCs w:val="16"/>
          <w:color w:val="auto"/>
        </w:rPr>
        <w:t>”) or (b) partially in cash and partially in kind by increasing the principal amount of the Term Loans by the amount of such interest at the written election of the Borrower (any such election, a “</w:t>
      </w:r>
      <w:r>
        <w:rPr>
          <w:rFonts w:ascii="Times New Roman" w:cs="Times New Roman" w:eastAsia="Times New Roman" w:hAnsi="Times New Roman"/>
          <w:sz w:val="16"/>
          <w:szCs w:val="16"/>
          <w:u w:val="single" w:color="auto"/>
          <w:color w:val="auto"/>
        </w:rPr>
        <w:t>PIK Election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Borrower may exercise the PIK Election with respect to any such Interest Payment Date by delivering written notice thereof to the Administrative Agent no later than 1:00 p.m., five Business Days prior to such Interest Payment Date and if the Borrower fails to make any such election, the Borrower shall have deemed to have made the Cash Election for such Interest Payment Date.</w:t>
      </w:r>
    </w:p>
    <w:p>
      <w:pPr>
        <w:spacing w:after="0" w:line="54" w:lineRule="exact"/>
        <w:rPr>
          <w:rFonts w:ascii="Times New Roman" w:cs="Times New Roman" w:eastAsia="Times New Roman" w:hAnsi="Times New Roman"/>
          <w:sz w:val="16"/>
          <w:szCs w:val="16"/>
          <w:color w:val="auto"/>
        </w:rPr>
      </w:pPr>
    </w:p>
    <w:p>
      <w:pPr>
        <w:ind w:left="-20" w:right="20" w:firstLine="972"/>
        <w:spacing w:after="0" w:line="246" w:lineRule="auto"/>
        <w:tabs>
          <w:tab w:leader="none" w:pos="119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for each Interest Period shall be determined by the Administrative Agent, and notice thereof shall be given by the Administrative Agent promptly to the Borrower and each Lender. Each determination of Term SOFR by the Administrative Agent shall be conclusive and binding upon the parties hereto, in the absence of demonstrable error. The Administrative Agent shall, upon written request of the Borrower or any Lender, deliver to the Borrower or such Lender a statement showing the computations used by the Administrative Agent in determining Term SOFR hereunder.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9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20" w:firstLine="972"/>
        <w:spacing w:after="0" w:line="247" w:lineRule="auto"/>
        <w:tabs>
          <w:tab w:leader="none" w:pos="118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2.14(a) will occur prior to the applicable Benchmark Transition Start Date.</w:t>
      </w:r>
    </w:p>
    <w:p>
      <w:pPr>
        <w:spacing w:after="0" w:line="84" w:lineRule="exact"/>
        <w:rPr>
          <w:rFonts w:ascii="Times New Roman" w:cs="Times New Roman" w:eastAsia="Times New Roman" w:hAnsi="Times New Roman"/>
          <w:sz w:val="18"/>
          <w:szCs w:val="18"/>
          <w:color w:val="auto"/>
        </w:rPr>
      </w:pPr>
    </w:p>
    <w:p>
      <w:pPr>
        <w:ind w:left="-20" w:right="180" w:firstLine="972"/>
        <w:spacing w:after="0" w:line="293" w:lineRule="auto"/>
        <w:tabs>
          <w:tab w:leader="none" w:pos="1192"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Benchmark Replacement Conforming Changes</w:t>
      </w:r>
      <w:r>
        <w:rPr>
          <w:rFonts w:ascii="Times New Roman" w:cs="Times New Roman" w:eastAsia="Times New Roman" w:hAnsi="Times New Roman"/>
          <w:sz w:val="16"/>
          <w:szCs w:val="16"/>
          <w:color w:val="auto"/>
        </w:rPr>
        <w:t>.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80"/>
          </w:cols>
          <w:pgMar w:left="600" w:top="265" w:right="619" w:bottom="1440" w:gutter="0" w:footer="0" w:header="0"/>
        </w:sectPr>
      </w:pPr>
    </w:p>
    <w:bookmarkStart w:id="365" w:name="page366"/>
    <w:bookmarkEnd w:id="365"/>
    <w:p>
      <w:pPr>
        <w:ind w:left="1192" w:hanging="228"/>
        <w:spacing w:after="0"/>
        <w:tabs>
          <w:tab w:leader="none" w:pos="1192"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Notices; Standards for Decisions and Determinations</w:t>
      </w:r>
      <w:r>
        <w:rPr>
          <w:rFonts w:ascii="Times New Roman" w:cs="Times New Roman" w:eastAsia="Times New Roman" w:hAnsi="Times New Roman"/>
          <w:sz w:val="16"/>
          <w:szCs w:val="16"/>
          <w:color w:val="auto"/>
        </w:rPr>
        <w:t>. The Administrative Agent will promptly notify the Borrower and the Lenders of</w:t>
      </w:r>
    </w:p>
    <w:p>
      <w:pPr>
        <w:spacing w:after="0" w:line="43" w:lineRule="exact"/>
        <w:rPr>
          <w:rFonts w:ascii="Times New Roman" w:cs="Times New Roman" w:eastAsia="Times New Roman" w:hAnsi="Times New Roman"/>
          <w:sz w:val="16"/>
          <w:szCs w:val="16"/>
          <w:color w:val="auto"/>
        </w:rPr>
      </w:pPr>
    </w:p>
    <w:p>
      <w:pPr>
        <w:ind w:left="-8" w:right="20" w:firstLine="8"/>
        <w:spacing w:after="0" w:line="244" w:lineRule="auto"/>
        <w:tabs>
          <w:tab w:leader="none" w:pos="20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84" w:lineRule="exact"/>
        <w:rPr>
          <w:rFonts w:ascii="Times New Roman" w:cs="Times New Roman" w:eastAsia="Times New Roman" w:hAnsi="Times New Roman"/>
          <w:sz w:val="18"/>
          <w:szCs w:val="18"/>
          <w:color w:val="auto"/>
        </w:rPr>
      </w:pPr>
    </w:p>
    <w:p>
      <w:pPr>
        <w:ind w:left="-8" w:firstLine="972"/>
        <w:spacing w:after="0" w:line="245" w:lineRule="auto"/>
        <w:tabs>
          <w:tab w:leader="none" w:pos="120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Borrower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91" w:lineRule="exact"/>
        <w:rPr>
          <w:rFonts w:ascii="Times New Roman" w:cs="Times New Roman" w:eastAsia="Times New Roman" w:hAnsi="Times New Roman"/>
          <w:sz w:val="18"/>
          <w:szCs w:val="18"/>
          <w:color w:val="auto"/>
        </w:rPr>
      </w:pPr>
    </w:p>
    <w:p>
      <w:pPr>
        <w:ind w:left="-8" w:right="40" w:firstLine="972"/>
        <w:spacing w:after="0" w:line="248" w:lineRule="auto"/>
        <w:tabs>
          <w:tab w:leader="none" w:pos="119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8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18"/>
          <w:szCs w:val="18"/>
          <w:color w:val="auto"/>
        </w:rPr>
        <w:t>(a) If any Change in Law shall:</w:t>
      </w:r>
    </w:p>
    <w:p>
      <w:pPr>
        <w:spacing w:after="0" w:line="108" w:lineRule="exact"/>
        <w:rPr>
          <w:sz w:val="20"/>
          <w:szCs w:val="20"/>
          <w:color w:val="auto"/>
        </w:rPr>
      </w:pPr>
    </w:p>
    <w:p>
      <w:pPr>
        <w:ind w:left="532" w:right="20" w:firstLine="410"/>
        <w:spacing w:after="0" w:line="267" w:lineRule="auto"/>
        <w:tabs>
          <w:tab w:leader="none" w:pos="114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against assets of, deposits with or for the account of, or credit extended by, any Lender (except any such reserve requirement reflected in Term SOFR); or</w:t>
      </w:r>
    </w:p>
    <w:p>
      <w:pPr>
        <w:spacing w:after="0" w:line="1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692"/>
          </w:cols>
          <w:pgMar w:left="588" w:top="265" w:right="619" w:bottom="1440" w:gutter="0" w:footer="0" w:header="0"/>
        </w:sectPr>
      </w:pPr>
    </w:p>
    <w:bookmarkStart w:id="366" w:name="page367"/>
    <w:bookmarkEnd w:id="366"/>
    <w:p>
      <w:pPr>
        <w:ind w:left="540" w:right="100" w:firstLine="410"/>
        <w:spacing w:after="0" w:line="267" w:lineRule="auto"/>
        <w:tabs>
          <w:tab w:leader="none" w:pos="120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impose on any Lender any Taxes (except for Indemnified Taxes, Other Taxes, and Excluded Taxes) on its loans, loan principal, letters of credit, commitments, or other obligations, or its deposits, reserves, other liabilities or capital attributable thereto; or</w:t>
      </w:r>
    </w:p>
    <w:p>
      <w:pPr>
        <w:spacing w:after="0" w:line="64" w:lineRule="exact"/>
        <w:rPr>
          <w:rFonts w:ascii="Times New Roman" w:cs="Times New Roman" w:eastAsia="Times New Roman" w:hAnsi="Times New Roman"/>
          <w:sz w:val="18"/>
          <w:szCs w:val="18"/>
          <w:color w:val="auto"/>
        </w:rPr>
      </w:pPr>
    </w:p>
    <w:p>
      <w:pPr>
        <w:ind w:left="1260" w:hanging="310"/>
        <w:spacing w:after="0"/>
        <w:tabs>
          <w:tab w:leader="none" w:pos="12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any other condition affecting this Agreement or SOFR Loans made by such Lender or participation therein;</w:t>
      </w:r>
    </w:p>
    <w:p>
      <w:pPr>
        <w:spacing w:after="0" w:line="21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 xml:space="preserve">and the result of any of the foregoing shall be to increase the cost to such Lender or such other Recipient of making or maintaining any SOFR Loan (or of maintaining its obligation to make any such Loan) or to increase the cost to such Lender, or to reduce the amount of any sum received or receivable by such Lender or other Recipient hereunder (whether of principal, interest or otherwise), then the Borrower will pay to such Lender or other Recipient, as applicable, such additional amount or amounts as will compensate such Lender or other Recipient, as applicable, for such additional costs incurred or reduction suffered;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54" w:lineRule="exact"/>
        <w:rPr>
          <w:sz w:val="20"/>
          <w:szCs w:val="20"/>
          <w:color w:val="auto"/>
        </w:rPr>
      </w:pPr>
    </w:p>
    <w:p>
      <w:pPr>
        <w:ind w:firstLine="972"/>
        <w:spacing w:after="0" w:line="247" w:lineRule="auto"/>
        <w:tabs>
          <w:tab w:leader="none" w:pos="121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determines that any Change in Law affecting such Lender or any lending office of such Lender or such Lender’s holding company, if any, regarding capital or liquidity requirements has or would have the effect of reducing the rate of return on such Lender’s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Borrower will pay to such Lender such additional amount or amounts as will compensate such Lender or such Lender’s holding company for any such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only be entitled to seek such additional amounts if such Person is generally seeking the payment of similar additional amounts from similarly situated borrowers in comparable credit facilities to the extent it is entitled to do so.</w:t>
      </w:r>
    </w:p>
    <w:p>
      <w:pPr>
        <w:spacing w:after="0" w:line="81" w:lineRule="exact"/>
        <w:rPr>
          <w:rFonts w:ascii="Times New Roman" w:cs="Times New Roman" w:eastAsia="Times New Roman" w:hAnsi="Times New Roman"/>
          <w:sz w:val="18"/>
          <w:szCs w:val="18"/>
          <w:color w:val="auto"/>
        </w:rPr>
      </w:pPr>
    </w:p>
    <w:p>
      <w:pPr>
        <w:ind w:firstLine="972"/>
        <w:spacing w:after="0" w:line="249" w:lineRule="auto"/>
        <w:tabs>
          <w:tab w:leader="none" w:pos="120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in each case be deemed to be a change in law, regardless of the date enacted, adopted, issued or implemented.</w:t>
      </w:r>
    </w:p>
    <w:p>
      <w:pPr>
        <w:spacing w:after="0" w:line="81" w:lineRule="exact"/>
        <w:rPr>
          <w:rFonts w:ascii="Times New Roman" w:cs="Times New Roman" w:eastAsia="Times New Roman" w:hAnsi="Times New Roman"/>
          <w:sz w:val="18"/>
          <w:szCs w:val="18"/>
          <w:color w:val="auto"/>
        </w:rPr>
      </w:pPr>
    </w:p>
    <w:p>
      <w:pPr>
        <w:ind w:right="320" w:firstLine="972"/>
        <w:spacing w:after="0" w:line="251" w:lineRule="auto"/>
        <w:tabs>
          <w:tab w:leader="none" w:pos="121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setting forth in reasonable detail the basis for and computation of the amount or amounts necessary to compensate such Lender or its holding company, as applicable, as specified in Section 2.15(a) or (b) shall be delivered to the Borrower and shall be conclusive absent manifest error. The Borrower shall pay such Lender the amount shown as due on any such certificate within 10 days after receipt thereof.</w:t>
      </w:r>
    </w:p>
    <w:p>
      <w:pPr>
        <w:spacing w:after="0" w:line="79" w:lineRule="exact"/>
        <w:rPr>
          <w:rFonts w:ascii="Times New Roman" w:cs="Times New Roman" w:eastAsia="Times New Roman" w:hAnsi="Times New Roman"/>
          <w:sz w:val="18"/>
          <w:szCs w:val="18"/>
          <w:color w:val="auto"/>
        </w:rPr>
      </w:pPr>
    </w:p>
    <w:p>
      <w:pPr>
        <w:ind w:right="20" w:firstLine="972"/>
        <w:spacing w:after="0" w:line="248" w:lineRule="auto"/>
        <w:tabs>
          <w:tab w:leader="none" w:pos="120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2.15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2.15 for any increased costs or reductions incurred more than 270 days prior to the date that such Lender notifies the Borrower of the Change in Law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270-day period referred to above shall be extended to include the period of retroactive effect thereof.</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660"/>
          </w:cols>
          <w:pgMar w:left="580" w:top="265" w:right="659" w:bottom="1440" w:gutter="0" w:footer="0" w:header="0"/>
        </w:sectPr>
      </w:pPr>
    </w:p>
    <w:bookmarkStart w:id="367" w:name="page368"/>
    <w:bookmarkEnd w:id="367"/>
    <w:p>
      <w:pPr>
        <w:ind w:firstLine="964"/>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other than on the last day of the Interest Period applicable thereto, (c) the failure to borrow, convert, continue or prepay any Term Loan on the date specified in any notice delivered pursuant hereto (regardless of whether such notice may be revoked under Section 2.11(f) and is revoked in accordance therewith), or (d) the assignment of any SOFR Loan other than on the last day of the Interest Period applicable thereto as a result of a request by the Borrower pursuant to Section 2.19, then, in any such event, the Borrower shall compensate each Lender for the loss, cost and expense attributable to such event (but not lost profits). In the case of a SOFR Loan, such loss, cost or expense to any Lender shall be deemed to include an amount determined by such Lender to be the excess, if any, of (i) the amount of interest that would have accrued on the principal amount of such Loan had such event not occurred, at Term SOFR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dollar deposits of a comparable amount and period from other banks in the SOFR market. A certificate of any Lender setting forth any amount or amounts that such Lender is entitled to receive pursuant to this Section 2.16 shall be delivered to the Borrower and shall be conclusive absent manifest error. The Borrower shall pay such Lender the amount shown as due on any such certificate within 10 days after receipt thereof. Notwithstanding the foregoing, no additional amounts shall be due and payable pursuant to this Section 2.16 to the extent that on the relevant due date the Borrower deposits in a Prepayment Account an amount equal to any payment of SOFR Loans otherwise required to be made on a date that is not the last day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the last day of the applicable Interest Period, the Administrative Agent shall be authorized, without any further action by or notice to or from the Borrower or any other Loan Party, to apply such amount to the prepayment of such SOFR Loans. For purposes of this Agreement, the term “Prepayment Account” shall mean a non-interest bearing account established by the Borrower with the Administrative Agent and over which the Administrative Agent shall have exclusive dominion and control, including the right of withdrawal for application in accordance with this Section 2.16.</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firstLine="972"/>
        <w:spacing w:after="0" w:line="247" w:lineRule="auto"/>
        <w:tabs>
          <w:tab w:leader="none" w:pos="120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or Other Tax, then the sum payable by the Borrower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20"/>
          </w:cols>
          <w:pgMar w:left="580" w:top="265" w:right="599" w:bottom="1440" w:gutter="0" w:footer="0" w:header="0"/>
        </w:sectPr>
      </w:pPr>
    </w:p>
    <w:bookmarkStart w:id="368" w:name="page369"/>
    <w:bookmarkEnd w:id="368"/>
    <w:p>
      <w:pPr>
        <w:ind w:left="-40" w:right="240" w:firstLine="972"/>
        <w:spacing w:after="0" w:line="267" w:lineRule="auto"/>
        <w:tabs>
          <w:tab w:leader="none" w:pos="117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Without duplication of other amounts paid by any Loan Party under this Section 2.17, the applicable Loan Party shall pay any Other Taxes to the relevant Governmental Authority in accordance with applicable law.</w:t>
      </w:r>
    </w:p>
    <w:p>
      <w:pPr>
        <w:spacing w:after="0" w:line="64" w:lineRule="exact"/>
        <w:rPr>
          <w:rFonts w:ascii="Times New Roman" w:cs="Times New Roman" w:eastAsia="Times New Roman" w:hAnsi="Times New Roman"/>
          <w:sz w:val="18"/>
          <w:szCs w:val="18"/>
          <w:color w:val="auto"/>
        </w:rPr>
      </w:pPr>
    </w:p>
    <w:p>
      <w:pPr>
        <w:ind w:left="-40" w:right="20" w:firstLine="972"/>
        <w:spacing w:after="0" w:line="247" w:lineRule="auto"/>
        <w:tabs>
          <w:tab w:leader="none" w:pos="116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Loan Party shall indemnify the Administrative Agent and each Lender within 30 days after written demand therefor, for the full amount of any Indemnified Taxes or Other Taxes paid by the Administrative Agent or such Lender, as applicable, on or with respect to any payment by or on account of any obligation of such Loan Party hereunder or under any other Loan Document (including Indemnified Taxes or Other Taxes imposed or asserted on or attributable to amounts payable under this Section 2.17), whether or not such Indemnified Taxes or Other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84" w:lineRule="exact"/>
        <w:rPr>
          <w:rFonts w:ascii="Times New Roman" w:cs="Times New Roman" w:eastAsia="Times New Roman" w:hAnsi="Times New Roman"/>
          <w:sz w:val="18"/>
          <w:szCs w:val="18"/>
          <w:color w:val="auto"/>
        </w:rPr>
      </w:pPr>
    </w:p>
    <w:p>
      <w:pPr>
        <w:ind w:left="-40" w:right="20" w:firstLine="972"/>
        <w:spacing w:after="0" w:line="246" w:lineRule="auto"/>
        <w:tabs>
          <w:tab w:leader="none" w:pos="1172"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Administrative Agent, within ten (10) days after demand therefor, for (i) any Indemnified Taxes or Other Taxes attributable to such Lender (but only to the extent that the Loan Parties have not already indemnified the Administrative Agent for such Indemnified Taxes or Other Taxes and without limiting or expanding the obligation of the Loan Parties to do so), (ii) any Taxes attributable to such Lender’s failure to comply with the provisions of Section 9.04(e)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83" w:lineRule="exact"/>
        <w:rPr>
          <w:rFonts w:ascii="Times New Roman" w:cs="Times New Roman" w:eastAsia="Times New Roman" w:hAnsi="Times New Roman"/>
          <w:sz w:val="18"/>
          <w:szCs w:val="18"/>
          <w:color w:val="auto"/>
        </w:rPr>
      </w:pPr>
    </w:p>
    <w:p>
      <w:pPr>
        <w:ind w:left="-40" w:firstLine="972"/>
        <w:spacing w:after="0" w:line="302" w:lineRule="auto"/>
        <w:tabs>
          <w:tab w:leader="none" w:pos="1162"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practicable after any payment of Indemnified Taxes or Other Taxes by any Loan Party to a Governmental Authority, such Loan Party shall deliver to the Administrative Agent the original or a certified copy of a receipt issued by such Governmental Authority evidencing such payment, if any, a copy of the return reporting such payment or other evidence of such payment reasonably satisfactory to the Administrative Agent.</w:t>
      </w:r>
    </w:p>
    <w:p>
      <w:pPr>
        <w:spacing w:after="0" w:line="40" w:lineRule="exact"/>
        <w:rPr>
          <w:rFonts w:ascii="Times New Roman" w:cs="Times New Roman" w:eastAsia="Times New Roman" w:hAnsi="Times New Roman"/>
          <w:sz w:val="16"/>
          <w:szCs w:val="16"/>
          <w:color w:val="auto"/>
        </w:rPr>
      </w:pPr>
    </w:p>
    <w:p>
      <w:pPr>
        <w:ind w:left="1120" w:hanging="210"/>
        <w:spacing w:after="0"/>
        <w:tabs>
          <w:tab w:leader="none" w:pos="112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500" w:right="60" w:firstLine="410"/>
        <w:spacing w:after="0" w:line="247" w:lineRule="auto"/>
        <w:tabs>
          <w:tab w:leader="none" w:pos="111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660"/>
          </w:cols>
          <w:pgMar w:left="620" w:top="265" w:right="619" w:bottom="1440" w:gutter="0" w:footer="0" w:header="0"/>
        </w:sectPr>
      </w:pPr>
    </w:p>
    <w:bookmarkStart w:id="369" w:name="page370"/>
    <w:bookmarkEnd w:id="369"/>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submission of such documentation (other than such documentation set forth in this Section 2.17(f)(ii)(1), (ii)(2) and (ii)(4)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108" w:lineRule="exact"/>
        <w:rPr>
          <w:sz w:val="20"/>
          <w:szCs w:val="20"/>
          <w:color w:val="auto"/>
        </w:rPr>
      </w:pPr>
    </w:p>
    <w:p>
      <w:pPr>
        <w:ind w:right="400" w:firstLine="410"/>
        <w:spacing w:after="0" w:line="302" w:lineRule="auto"/>
        <w:tabs>
          <w:tab w:leader="none" w:pos="655"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not subject to U.S. federal backup withholding tax;</w:t>
      </w:r>
    </w:p>
    <w:p>
      <w:pPr>
        <w:spacing w:after="0" w:line="40" w:lineRule="exact"/>
        <w:rPr>
          <w:rFonts w:ascii="Times New Roman" w:cs="Times New Roman" w:eastAsia="Times New Roman" w:hAnsi="Times New Roman"/>
          <w:sz w:val="16"/>
          <w:szCs w:val="16"/>
          <w:color w:val="auto"/>
        </w:rPr>
      </w:pPr>
    </w:p>
    <w:p>
      <w:pPr>
        <w:ind w:right="360" w:firstLine="410"/>
        <w:spacing w:after="0" w:line="251" w:lineRule="auto"/>
        <w:tabs>
          <w:tab w:leader="none" w:pos="65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9" w:lineRule="exact"/>
        <w:rPr>
          <w:rFonts w:ascii="Times New Roman" w:cs="Times New Roman" w:eastAsia="Times New Roman" w:hAnsi="Times New Roman"/>
          <w:sz w:val="18"/>
          <w:szCs w:val="18"/>
          <w:color w:val="auto"/>
        </w:rPr>
      </w:pPr>
    </w:p>
    <w:p>
      <w:pPr>
        <w:ind w:left="640" w:firstLine="387"/>
        <w:spacing w:after="0" w:line="249" w:lineRule="auto"/>
        <w:tabs>
          <w:tab w:leader="none" w:pos="1308"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81" w:lineRule="exact"/>
        <w:rPr>
          <w:rFonts w:ascii="Times New Roman" w:cs="Times New Roman" w:eastAsia="Times New Roman" w:hAnsi="Times New Roman"/>
          <w:sz w:val="18"/>
          <w:szCs w:val="18"/>
          <w:color w:val="auto"/>
        </w:rPr>
      </w:pPr>
    </w:p>
    <w:p>
      <w:pPr>
        <w:ind w:left="1300" w:hanging="273"/>
        <w:spacing w:after="0"/>
        <w:tabs>
          <w:tab w:leader="none" w:pos="130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08" w:lineRule="exact"/>
        <w:rPr>
          <w:rFonts w:ascii="Times New Roman" w:cs="Times New Roman" w:eastAsia="Times New Roman" w:hAnsi="Times New Roman"/>
          <w:sz w:val="18"/>
          <w:szCs w:val="18"/>
          <w:color w:val="auto"/>
        </w:rPr>
      </w:pPr>
    </w:p>
    <w:p>
      <w:pPr>
        <w:ind w:left="1300" w:hanging="273"/>
        <w:spacing w:after="0"/>
        <w:tabs>
          <w:tab w:leader="none" w:pos="1300" w:val="left"/>
        </w:tabs>
        <w:numPr>
          <w:ilvl w:val="2"/>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Foreign Lender claiming the benefits of the exemption for portfolio interest under Section 881(c) of the Code,</w:t>
      </w:r>
    </w:p>
    <w:p>
      <w:pPr>
        <w:spacing w:after="0" w:line="43" w:lineRule="exact"/>
        <w:rPr>
          <w:rFonts w:ascii="Times New Roman" w:cs="Times New Roman" w:eastAsia="Times New Roman" w:hAnsi="Times New Roman"/>
          <w:sz w:val="16"/>
          <w:szCs w:val="16"/>
          <w:color w:val="auto"/>
        </w:rPr>
      </w:pPr>
    </w:p>
    <w:p>
      <w:pPr>
        <w:ind w:left="640" w:right="20" w:firstLine="6"/>
        <w:spacing w:after="0" w:line="244" w:lineRule="auto"/>
        <w:tabs>
          <w:tab w:leader="none" w:pos="88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substantially in the form of Exhibit I-1 to the effect that such Foreign Lender is not a “bank” within the meaning of Section 881(c)(3)(A) of the Code, a “10 percent shareholder” of the Borrower within the meaning of Section 881(c)(3)(B) of the Code, or a “controlled foreign corporation” related to the Borrower as described in Section 881(c)(3)(C) of the Code (a “U.S. Tax Compliance Certificate”) and (y) executed copies of IRS Form W-8BEN or W-8BEN-E; or</w:t>
      </w:r>
    </w:p>
    <w:p>
      <w:pPr>
        <w:spacing w:after="0" w:line="85" w:lineRule="exact"/>
        <w:rPr>
          <w:rFonts w:ascii="Times New Roman" w:cs="Times New Roman" w:eastAsia="Times New Roman" w:hAnsi="Times New Roman"/>
          <w:sz w:val="18"/>
          <w:szCs w:val="18"/>
          <w:color w:val="auto"/>
        </w:rPr>
      </w:pPr>
    </w:p>
    <w:p>
      <w:pPr>
        <w:ind w:left="640" w:right="60" w:firstLine="387"/>
        <w:spacing w:after="0" w:line="248" w:lineRule="auto"/>
        <w:tabs>
          <w:tab w:leader="none" w:pos="1308"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executed copies of IRS Form W-8IMY, accompanied by IRS Form W-8ECI, IRS Form W-8BEN or W-8BEN-E, a U.S. Tax Compliance Certificate substantially in the form of Exhibit I-2 or Exhibit I-3,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I-4 on behalf of each such direct and indirect partner;</w:t>
      </w:r>
    </w:p>
    <w:p>
      <w:pPr>
        <w:spacing w:after="0" w:line="1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160"/>
          </w:cols>
          <w:pgMar w:left="1120" w:top="265" w:right="619" w:bottom="1440" w:gutter="0" w:footer="0" w:header="0"/>
        </w:sectPr>
      </w:pPr>
    </w:p>
    <w:bookmarkStart w:id="370" w:name="page371"/>
    <w:bookmarkEnd w:id="370"/>
    <w:p>
      <w:pPr>
        <w:ind w:left="540" w:right="60" w:firstLine="410"/>
        <w:spacing w:after="0" w:line="248" w:lineRule="auto"/>
        <w:tabs>
          <w:tab w:leader="none" w:pos="11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2"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w:t>
      </w:r>
    </w:p>
    <w:p>
      <w:pPr>
        <w:spacing w:after="0" w:line="21" w:lineRule="exact"/>
        <w:rPr>
          <w:sz w:val="20"/>
          <w:szCs w:val="20"/>
          <w:color w:val="auto"/>
        </w:rPr>
      </w:pPr>
    </w:p>
    <w:p>
      <w:pPr>
        <w:ind w:left="540" w:right="60" w:firstLine="407"/>
        <w:spacing w:after="0" w:line="244" w:lineRule="auto"/>
        <w:rPr>
          <w:sz w:val="20"/>
          <w:szCs w:val="20"/>
          <w:color w:val="auto"/>
        </w:rPr>
      </w:pPr>
      <w:r>
        <w:rPr>
          <w:rFonts w:ascii="Times New Roman" w:cs="Times New Roman" w:eastAsia="Times New Roman" w:hAnsi="Times New Roman"/>
          <w:sz w:val="18"/>
          <w:szCs w:val="18"/>
          <w:color w:val="auto"/>
        </w:rPr>
        <w:t>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(4), “FATCA” shall include any amendments made to FATCA after the date of this Agreement.</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inability to do so.</w:t>
      </w:r>
    </w:p>
    <w:p>
      <w:pPr>
        <w:spacing w:after="0" w:line="75" w:lineRule="exact"/>
        <w:rPr>
          <w:sz w:val="20"/>
          <w:szCs w:val="20"/>
          <w:color w:val="auto"/>
        </w:rPr>
      </w:pPr>
    </w:p>
    <w:p>
      <w:pPr>
        <w:ind w:firstLine="972"/>
        <w:spacing w:after="0" w:line="247" w:lineRule="auto"/>
        <w:tabs>
          <w:tab w:leader="none" w:pos="121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the Administrative Agent becomes a party to this Agreement, the Administrative Agent shall provide to the Borrower,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spacing w:after="0" w:line="84" w:lineRule="exact"/>
        <w:rPr>
          <w:rFonts w:ascii="Times New Roman" w:cs="Times New Roman" w:eastAsia="Times New Roman" w:hAnsi="Times New Roman"/>
          <w:sz w:val="18"/>
          <w:szCs w:val="18"/>
          <w:color w:val="auto"/>
        </w:rPr>
      </w:pPr>
    </w:p>
    <w:p>
      <w:pPr>
        <w:ind w:right="80" w:firstLine="972"/>
        <w:spacing w:after="0" w:line="283" w:lineRule="auto"/>
        <w:tabs>
          <w:tab w:leader="none" w:pos="1212"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party determines, in its sole discretion exercised in good faith, that it has received a refund of any Taxes as to which it has been indemnified (including by payment of additional amounts) pursuant to this Section 2.17, it shall pay over such refund to the indemnifying party (but only to the extent of indemnity payments made, or additional amounts paid, by the indemnifying party under this Section 2.17 with respect to the Taxes giving rise to such refund), net of all out-of-pocket expenses of such indemnified party and without interest (other than any interest paid by the relevant Governmental Authority with respect to such refund),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indemnifying party, upon the request of the indemnified party, agrees to repay the amount paid over to the indemnifying party pursuant to this paragraph (h)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any penalties, interest or other charges imposed by the relevant Governmental Authority) to the indemnified party in the event the indemnified party is required to repay such refund to</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00"/>
          </w:cols>
          <w:pgMar w:left="580" w:top="265" w:right="619" w:bottom="1440" w:gutter="0" w:footer="0" w:header="0"/>
        </w:sectPr>
      </w:pPr>
    </w:p>
    <w:bookmarkStart w:id="371" w:name="page372"/>
    <w:bookmarkEnd w:id="371"/>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paragraph (h) shall not be construed to require any indemnified party to make available its tax returns (or any other information relating to its taxes that it deems confidential) to the indemnifying party or any other Person.</w:t>
      </w:r>
    </w:p>
    <w:p>
      <w:pPr>
        <w:spacing w:after="0" w:line="82" w:lineRule="exact"/>
        <w:rPr>
          <w:sz w:val="20"/>
          <w:szCs w:val="20"/>
          <w:color w:val="auto"/>
        </w:rPr>
      </w:pPr>
    </w:p>
    <w:p>
      <w:pPr>
        <w:ind w:right="40" w:firstLine="972"/>
        <w:spacing w:after="0" w:line="247" w:lineRule="auto"/>
        <w:tabs>
          <w:tab w:leader="none" w:pos="117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Administrative Agent to demand compensation pursuant to the foregoing provisions of this Section 2.17 shall not constitute a waiver of such Lender’s or Administrative Agent’s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Administrative Agent pursuant to the foregoing provisions of Section 2.17 for any Taxes or related costs suffered more than 270 days prior to the date that such Lender or the Administrative Agent notifies the Borrower of the event giving rise to such claim and of such Lender’s or the Administrative Agent’s intention to claim compensation therefor (except that, if the circumstance giving rise to such demand for compensation is retroactive, then the 270-day period referred to above shall be extended to include the period of retroactive effect thereof).</w:t>
      </w:r>
    </w:p>
    <w:p>
      <w:pPr>
        <w:spacing w:after="0" w:line="84" w:lineRule="exact"/>
        <w:rPr>
          <w:rFonts w:ascii="Times New Roman" w:cs="Times New Roman" w:eastAsia="Times New Roman" w:hAnsi="Times New Roman"/>
          <w:sz w:val="18"/>
          <w:szCs w:val="18"/>
          <w:color w:val="auto"/>
        </w:rPr>
      </w:pPr>
    </w:p>
    <w:p>
      <w:pPr>
        <w:jc w:val="both"/>
        <w:ind w:right="600" w:firstLine="972"/>
        <w:spacing w:after="0" w:line="255" w:lineRule="auto"/>
        <w:tabs>
          <w:tab w:leader="none" w:pos="117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75" w:lineRule="exact"/>
        <w:rPr>
          <w:rFonts w:ascii="Times New Roman" w:cs="Times New Roman" w:eastAsia="Times New Roman" w:hAnsi="Times New Roman"/>
          <w:sz w:val="18"/>
          <w:szCs w:val="18"/>
          <w:color w:val="auto"/>
        </w:rPr>
      </w:pPr>
    </w:p>
    <w:p>
      <w:pPr>
        <w:ind w:right="40" w:firstLine="972"/>
        <w:spacing w:after="0" w:line="248" w:lineRule="auto"/>
        <w:tabs>
          <w:tab w:leader="none" w:pos="121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Lender acknowledge and agree that, for U.S. federal and other applicable income tax purposes, the Term Loans have original issue discount (“OID”) within the meaning of Section 1272 of the Code, and shall not be treated as “contingent payment debt instruments” as defined pursuant to Treasury Regulation Section 1.1275-4. Information regarding the amount of any OID, the issue price, the issue date and the yield to maturity of the Term Loans may be obtained by writing to the Borrower at the address specified in Section 9.01. Neither Borrower nor any Lender shall take any tax position inconsistent with this </w:t>
      </w:r>
      <w:r>
        <w:rPr>
          <w:rFonts w:ascii="Times New Roman" w:cs="Times New Roman" w:eastAsia="Times New Roman" w:hAnsi="Times New Roman"/>
          <w:sz w:val="18"/>
          <w:szCs w:val="18"/>
          <w:u w:val="single" w:color="auto"/>
          <w:color w:val="auto"/>
        </w:rPr>
        <w:t>Section 2.17(k)</w:t>
      </w:r>
      <w:r>
        <w:rPr>
          <w:rFonts w:ascii="Times New Roman" w:cs="Times New Roman" w:eastAsia="Times New Roman" w:hAnsi="Times New Roman"/>
          <w:sz w:val="18"/>
          <w:szCs w:val="18"/>
          <w:color w:val="auto"/>
        </w:rPr>
        <w:t xml:space="preserve"> unless otherwise required by the final determination of a tax authority following a tax audit or examination.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72"/>
        <w:spacing w:after="0" w:line="245" w:lineRule="auto"/>
        <w:tabs>
          <w:tab w:leader="none" w:pos="120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hereunder or under any other Loan Document (whether of principal, interest or fees (including any Make Whole/Prepayment Fee Amount), or of amounts payable under Section 2.15, 2.16 or 2.17, or otherwise) at or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the account as most recently designated in writing for the receipt of such payments, except that payments pursuant to Sections 2.15, 2.16, 2.17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under each Loan Document shall be made in dollars.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20"/>
          </w:cols>
          <w:pgMar w:left="580" w:top="265" w:right="599" w:bottom="1440" w:gutter="0" w:footer="0" w:header="0"/>
        </w:sectPr>
      </w:pPr>
    </w:p>
    <w:bookmarkStart w:id="372" w:name="page373"/>
    <w:bookmarkEnd w:id="372"/>
    <w:p>
      <w:pPr>
        <w:ind w:left="-60" w:firstLine="972"/>
        <w:spacing w:after="0" w:line="251" w:lineRule="auto"/>
        <w:tabs>
          <w:tab w:leader="none" w:pos="115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w:t>
      </w:r>
    </w:p>
    <w:p>
      <w:pPr>
        <w:spacing w:after="0" w:line="79" w:lineRule="exact"/>
        <w:rPr>
          <w:rFonts w:ascii="Times New Roman" w:cs="Times New Roman" w:eastAsia="Times New Roman" w:hAnsi="Times New Roman"/>
          <w:sz w:val="18"/>
          <w:szCs w:val="18"/>
          <w:color w:val="auto"/>
        </w:rPr>
      </w:pPr>
    </w:p>
    <w:p>
      <w:pPr>
        <w:ind w:left="1140" w:hanging="228"/>
        <w:spacing w:after="0"/>
        <w:tabs>
          <w:tab w:leader="none" w:pos="11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60" w:right="20" w:firstLine="972"/>
        <w:spacing w:after="0" w:line="247" w:lineRule="auto"/>
        <w:tabs>
          <w:tab w:leader="none" w:pos="115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84" w:lineRule="exact"/>
        <w:rPr>
          <w:rFonts w:ascii="Times New Roman" w:cs="Times New Roman" w:eastAsia="Times New Roman" w:hAnsi="Times New Roman"/>
          <w:sz w:val="18"/>
          <w:szCs w:val="18"/>
          <w:color w:val="auto"/>
        </w:rPr>
      </w:pPr>
    </w:p>
    <w:p>
      <w:pPr>
        <w:ind w:left="-60" w:right="140" w:firstLine="972"/>
        <w:spacing w:after="0" w:line="251" w:lineRule="auto"/>
        <w:tabs>
          <w:tab w:leader="none" w:pos="1142"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2.06, 2.18(d)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79" w:lineRule="exact"/>
        <w:rPr>
          <w:rFonts w:ascii="Times New Roman" w:cs="Times New Roman" w:eastAsia="Times New Roman" w:hAnsi="Times New Roman"/>
          <w:sz w:val="18"/>
          <w:szCs w:val="18"/>
          <w:color w:val="auto"/>
        </w:rPr>
      </w:pPr>
    </w:p>
    <w:p>
      <w:pPr>
        <w:ind w:left="-60" w:right="260" w:firstLine="972"/>
        <w:spacing w:after="0" w:line="249" w:lineRule="auto"/>
        <w:tabs>
          <w:tab w:leader="none" w:pos="1123"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set forth herein or in any other Loan Document, (i) during the continuance of an Event of Default, the Administrative Agent may, and shall upon the direction of Required Lenders apply any and all payments received by the Administrative Agent in respect of any Obligation in accordance with clauses first through sixth below; and (ii) all payments made by Loan Parties to the Administrative Agent after any or all of the Obligations under the Loan Documents have been accelerated (so long as such acceleration has not been rescinded) or have otherwise matured, including proceeds of Collateral, shall be applied as follows:</w:t>
      </w:r>
    </w:p>
    <w:p>
      <w:pPr>
        <w:spacing w:after="0" w:line="81" w:lineRule="exact"/>
        <w:rPr>
          <w:rFonts w:ascii="Times New Roman" w:cs="Times New Roman" w:eastAsia="Times New Roman" w:hAnsi="Times New Roman"/>
          <w:sz w:val="18"/>
          <w:szCs w:val="18"/>
          <w:color w:val="auto"/>
        </w:rPr>
      </w:pPr>
    </w:p>
    <w:p>
      <w:pPr>
        <w:ind w:left="480" w:right="40" w:firstLine="410"/>
        <w:spacing w:after="0" w:line="267" w:lineRule="auto"/>
        <w:tabs>
          <w:tab w:leader="none" w:pos="109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payment of costs, expenses and indemnities of the Administrative Agent payable or reimbursable by the Loan Parties under the Loan Documents;</w:t>
      </w:r>
    </w:p>
    <w:p>
      <w:pPr>
        <w:spacing w:after="0" w:line="64" w:lineRule="exact"/>
        <w:rPr>
          <w:rFonts w:ascii="Times New Roman" w:cs="Times New Roman" w:eastAsia="Times New Roman" w:hAnsi="Times New Roman"/>
          <w:sz w:val="18"/>
          <w:szCs w:val="18"/>
          <w:color w:val="auto"/>
        </w:rPr>
      </w:pPr>
    </w:p>
    <w:p>
      <w:pPr>
        <w:ind w:left="1140" w:hanging="250"/>
        <w:spacing w:after="0"/>
        <w:tabs>
          <w:tab w:leader="none" w:pos="114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to payment of costs, expenses and indemnities of Lenders payable or reimbursable by the Loan Parties under this Agreement;</w:t>
      </w:r>
    </w:p>
    <w:p>
      <w:pPr>
        <w:spacing w:after="0" w:line="131" w:lineRule="exact"/>
        <w:rPr>
          <w:rFonts w:ascii="Times New Roman" w:cs="Times New Roman" w:eastAsia="Times New Roman" w:hAnsi="Times New Roman"/>
          <w:sz w:val="16"/>
          <w:szCs w:val="16"/>
          <w:color w:val="auto"/>
        </w:rPr>
      </w:pPr>
    </w:p>
    <w:p>
      <w:pPr>
        <w:ind w:left="480" w:right="160" w:firstLine="410"/>
        <w:spacing w:after="0" w:line="255" w:lineRule="auto"/>
        <w:tabs>
          <w:tab w:leader="none" w:pos="119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payment of all accrued unpaid interest on the Obligations and fees owed to the Administrative Agent and the Lenders (whether or not accruing after the filing of any case under the Bankruptcy Code with respect to any Obligations and whether or not a claim for such post-filing or post-petition interest, fees, and charges is allowed or allowable in any such proceeding);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600"/>
          </w:cols>
          <w:pgMar w:left="640" w:top="265" w:right="659" w:bottom="1440" w:gutter="0" w:footer="0" w:header="0"/>
        </w:sectPr>
      </w:pPr>
    </w:p>
    <w:bookmarkStart w:id="373" w:name="page374"/>
    <w:bookmarkEnd w:id="373"/>
    <w:p>
      <w:pPr>
        <w:ind w:left="540" w:right="140" w:firstLine="410"/>
        <w:spacing w:after="0" w:line="267" w:lineRule="auto"/>
        <w:tabs>
          <w:tab w:leader="none" w:pos="124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fourth, to payment of principal of the Obligations (including any Make Whole/Prepayment Fee Amount) then due and payable to the extent not then due and payable;</w:t>
      </w:r>
    </w:p>
    <w:p>
      <w:pPr>
        <w:spacing w:after="0" w:line="64"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fifth, to payment of any other amounts owing constituting Obligations; and</w:t>
      </w:r>
    </w:p>
    <w:p>
      <w:pPr>
        <w:spacing w:after="0" w:line="108" w:lineRule="exact"/>
        <w:rPr>
          <w:rFonts w:ascii="Times New Roman" w:cs="Times New Roman" w:eastAsia="Times New Roman" w:hAnsi="Times New Roman"/>
          <w:sz w:val="18"/>
          <w:szCs w:val="18"/>
          <w:color w:val="auto"/>
        </w:rPr>
      </w:pPr>
    </w:p>
    <w:p>
      <w:pPr>
        <w:ind w:left="1240" w:hanging="290"/>
        <w:spacing w:after="0"/>
        <w:tabs>
          <w:tab w:leader="none" w:pos="12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any remainder shall be for the account of and paid to whoever may be lawfully entitled thereto.</w:t>
      </w:r>
    </w:p>
    <w:p>
      <w:pPr>
        <w:spacing w:after="0" w:line="21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Swap Obligation. Notwithstanding the foregoing, obligations in respect of Swap Agreements with parties that are not Affiliates of the Administrative Agent shall be excluded from the application described above unless at least three Business Days prior to any distribution, the Administrative Agent has received written notice from the applicable Credit Party (or its Affiliate) of the amount of Obligations in respect of Swap Agreements or then due and payable, together with such supporting documentation as Agent may request.</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72"/>
        <w:spacing w:after="0" w:line="247" w:lineRule="auto"/>
        <w:tabs>
          <w:tab w:leader="none" w:pos="1202"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 is required to pay any additional amount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applicable,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84" w:lineRule="exact"/>
        <w:rPr>
          <w:rFonts w:ascii="Times New Roman" w:cs="Times New Roman" w:eastAsia="Times New Roman" w:hAnsi="Times New Roman"/>
          <w:sz w:val="18"/>
          <w:szCs w:val="18"/>
          <w:color w:val="auto"/>
        </w:rPr>
      </w:pPr>
    </w:p>
    <w:p>
      <w:pPr>
        <w:ind w:right="60" w:firstLine="972"/>
        <w:spacing w:after="0" w:line="277" w:lineRule="auto"/>
        <w:tabs>
          <w:tab w:leader="none" w:pos="1212" w:val="left"/>
        </w:tabs>
        <w:numPr>
          <w:ilvl w:val="1"/>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(i) any Lender requests compensation under Section 2.15, or if the Borrower is required to pay any additional amount to any Lender or any Governmental Authority for the account of any Lender pursuant to Section 2.17, or (ii)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the Borrower shall have received the prior written consent of the Administrative Agent, which consent shall not unreasonably be withheld,</w:t>
      </w:r>
    </w:p>
    <w:p>
      <w:pPr>
        <w:spacing w:after="0" w:line="4" w:lineRule="exact"/>
        <w:rPr>
          <w:rFonts w:ascii="Times New Roman" w:cs="Times New Roman" w:eastAsia="Times New Roman" w:hAnsi="Times New Roman"/>
          <w:sz w:val="16"/>
          <w:szCs w:val="16"/>
          <w:color w:val="auto"/>
        </w:rPr>
      </w:pPr>
    </w:p>
    <w:p>
      <w:pPr>
        <w:ind w:right="80" w:firstLine="8"/>
        <w:spacing w:after="0" w:line="245" w:lineRule="auto"/>
        <w:tabs>
          <w:tab w:leader="none" w:pos="25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680"/>
          </w:cols>
          <w:pgMar w:left="580" w:top="265" w:right="639" w:bottom="1440" w:gutter="0" w:footer="0" w:header="0"/>
        </w:sectPr>
      </w:pPr>
    </w:p>
    <w:bookmarkStart w:id="374" w:name="page375"/>
    <w:bookmarkEnd w:id="374"/>
    <w:p>
      <w:pPr>
        <w:ind w:right="3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payments required to be made pursuant to Section 2.17, such assignment will result in a material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213" w:lineRule="exact"/>
        <w:rPr>
          <w:sz w:val="20"/>
          <w:szCs w:val="20"/>
          <w:color w:val="auto"/>
        </w:rPr>
      </w:pPr>
    </w:p>
    <w:p>
      <w:pPr>
        <w:ind w:right="14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w:t>
      </w:r>
      <w:r>
        <w:rPr>
          <w:rFonts w:ascii="Times New Roman" w:cs="Times New Roman" w:eastAsia="Times New Roman" w:hAnsi="Times New Roman"/>
          <w:sz w:val="18"/>
          <w:szCs w:val="18"/>
          <w:color w:val="auto"/>
        </w:rPr>
        <w:t>. Each of the Borrower and the Subsidiaries (a) is duly organized or formed, validly existing and in good standing under the laws of the jurisdiction of its incorporation or organization, (b) has the power and authority and all governmental rights, qualifications, approvals, authorizations, permits, accreditations, licenses and franchises material to the business of the Borrower and the Subsidiaries taken as a whole that are necessary to own its assets, to carry on its business as now conducted and as proposed to be conducted and, in the case of the Loan Parties, to execute, deliver and perform its obligations under each Loan Document to which it is a party and (c) except where the failure to do so, individually or in the aggregate, is not reasonably likely to result in a Material Adverse Effect, is qualified to do business in, and is in good standing in, every jurisdiction where such qualification is required.</w:t>
      </w:r>
    </w:p>
    <w:p>
      <w:pPr>
        <w:spacing w:after="0" w:line="189"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to be entered into by each Loan Party have been duly authorized by all necessary corporate or other action and, if required, stockholder action. This Agreement has been duly executed and delivered by the Borrower and constitutes, and each other Loan Document to which any Loan Party is to be a party, when executed and delivered by such Loan Party, will constitute, a legal, valid and binding obligation of the Borrower or such Loan Party,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3.03</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those that are required or permitted to be obtained following consummation of the Transactions, the absence of which individually or in the aggregate are not reasonably likely to result in a Material Adverse Effect and filings necessary to perfect Liens created under the Loan Documents, (b) will not violate any Requirement of Law applicable to the Borrower or any of the Subsidiaries, as applicable, (c) will not violate or result in a default under any indenture or other material agreement or instrument binding upon the Borrower or any of the Subsidiaries or any of their assets, or give rise to a right thereunder to require any payment to be made by the Borrower or any of the Subsidiaries or give rise to a right of, or result in, termination, cancellation or acceleration of any material obligation thereunder, (d) will not result in the creation or imposition of any Lien on any asset of the Borrower or any of the Subsidiaries, except Liens created under the Loan Documents and (e) will not violate any judgment, order, decree or injunction that is binding upon any Loan Party or any of their respective properties.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20"/>
          </w:cols>
          <w:pgMar w:left="580" w:top="265" w:right="599" w:bottom="1440" w:gutter="0" w:footer="0" w:header="0"/>
        </w:sectPr>
      </w:pPr>
    </w:p>
    <w:bookmarkStart w:id="375" w:name="page376"/>
    <w:bookmarkEnd w:id="375"/>
    <w:p>
      <w:pPr>
        <w:ind w:left="97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Change; Projections; No Default.</w:t>
      </w:r>
    </w:p>
    <w:p>
      <w:pPr>
        <w:spacing w:after="0" w:line="108" w:lineRule="exact"/>
        <w:rPr>
          <w:sz w:val="20"/>
          <w:szCs w:val="20"/>
          <w:color w:val="auto"/>
        </w:rPr>
      </w:pPr>
    </w:p>
    <w:p>
      <w:pPr>
        <w:ind w:left="-8" w:right="220" w:firstLine="972"/>
        <w:spacing w:after="0" w:line="255" w:lineRule="auto"/>
        <w:tabs>
          <w:tab w:leader="none" w:pos="119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the Annual Financial Statements. Such Annual Financial Statements present fairly, in all material respects, the financial position and results of operations and cash flows of the Borrower and the Subsidiaries as of such dates and for such periods in accordance with GAAP consistently applied.</w:t>
      </w:r>
    </w:p>
    <w:p>
      <w:pPr>
        <w:spacing w:after="0" w:line="75" w:lineRule="exact"/>
        <w:rPr>
          <w:rFonts w:ascii="Times New Roman" w:cs="Times New Roman" w:eastAsia="Times New Roman" w:hAnsi="Times New Roman"/>
          <w:sz w:val="18"/>
          <w:szCs w:val="18"/>
          <w:color w:val="auto"/>
        </w:rPr>
      </w:pPr>
    </w:p>
    <w:p>
      <w:pPr>
        <w:ind w:left="-8" w:right="60" w:firstLine="972"/>
        <w:spacing w:after="0" w:line="267" w:lineRule="auto"/>
        <w:tabs>
          <w:tab w:leader="none" w:pos="120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the Pro Forma Financial Statements. Such Pro Forma Financial Statements have been prepared in good faith by the Borrower.</w:t>
      </w:r>
    </w:p>
    <w:p>
      <w:pPr>
        <w:spacing w:after="0" w:line="64" w:lineRule="exact"/>
        <w:rPr>
          <w:rFonts w:ascii="Times New Roman" w:cs="Times New Roman" w:eastAsia="Times New Roman" w:hAnsi="Times New Roman"/>
          <w:sz w:val="18"/>
          <w:szCs w:val="18"/>
          <w:color w:val="auto"/>
        </w:rPr>
      </w:pPr>
    </w:p>
    <w:p>
      <w:pPr>
        <w:jc w:val="both"/>
        <w:ind w:left="-8" w:right="140" w:firstLine="972"/>
        <w:spacing w:after="0" w:line="251" w:lineRule="auto"/>
        <w:tabs>
          <w:tab w:leader="none" w:pos="119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liabilities reflected in or reserved against in the financial statements referred to above or the notes thereto, (ii) liabilities incurred in the ordinary course of business and (iii) liabilities incurred in connection with the Transactions, after giving effect to the Transactions, none of the Borrower or the Subsidiaries has, as of the Effective Date, any liabilities that are, individually or in the aggregate, reasonably likely to result in a Material Adverse Effect.</w:t>
      </w:r>
    </w:p>
    <w:p>
      <w:pPr>
        <w:spacing w:after="0" w:line="79" w:lineRule="exact"/>
        <w:rPr>
          <w:rFonts w:ascii="Times New Roman" w:cs="Times New Roman" w:eastAsia="Times New Roman" w:hAnsi="Times New Roman"/>
          <w:sz w:val="18"/>
          <w:szCs w:val="18"/>
          <w:color w:val="auto"/>
        </w:rPr>
      </w:pPr>
    </w:p>
    <w:p>
      <w:pPr>
        <w:ind w:left="-8" w:right="140" w:firstLine="972"/>
        <w:spacing w:after="0" w:line="267" w:lineRule="auto"/>
        <w:tabs>
          <w:tab w:leader="none" w:pos="120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condition or state of facts has occurred that has resulted in, or is reasonably likely to result in, individually or in the aggregate, a Material Adverse Effect since June 30, 2022.</w:t>
      </w:r>
    </w:p>
    <w:p>
      <w:pPr>
        <w:spacing w:after="0" w:line="64" w:lineRule="exact"/>
        <w:rPr>
          <w:rFonts w:ascii="Times New Roman" w:cs="Times New Roman" w:eastAsia="Times New Roman" w:hAnsi="Times New Roman"/>
          <w:sz w:val="18"/>
          <w:szCs w:val="18"/>
          <w:color w:val="auto"/>
        </w:rPr>
      </w:pPr>
    </w:p>
    <w:p>
      <w:pPr>
        <w:ind w:left="-8" w:right="40" w:firstLine="972"/>
        <w:spacing w:after="0" w:line="255" w:lineRule="auto"/>
        <w:tabs>
          <w:tab w:leader="none" w:pos="119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based upon assumptions believed by the Borrower to be reasonable at the time furnished, it being recognized by the Agents and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75" w:lineRule="exact"/>
        <w:rPr>
          <w:rFonts w:ascii="Times New Roman" w:cs="Times New Roman" w:eastAsia="Times New Roman" w:hAnsi="Times New Roman"/>
          <w:sz w:val="18"/>
          <w:szCs w:val="18"/>
          <w:color w:val="auto"/>
        </w:rPr>
      </w:pPr>
    </w:p>
    <w:p>
      <w:pPr>
        <w:ind w:left="-8" w:right="680" w:firstLine="972"/>
        <w:spacing w:after="0" w:line="267" w:lineRule="auto"/>
        <w:tabs>
          <w:tab w:leader="none" w:pos="117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would immediately result from the incurrence by any Loan Party of any Indebtedness hereunder or under any other Loan Document.</w:t>
      </w:r>
    </w:p>
    <w:p>
      <w:pPr>
        <w:spacing w:after="0" w:line="64" w:lineRule="exact"/>
        <w:rPr>
          <w:rFonts w:ascii="Times New Roman" w:cs="Times New Roman" w:eastAsia="Times New Roman" w:hAnsi="Times New Roman"/>
          <w:sz w:val="18"/>
          <w:szCs w:val="18"/>
          <w:color w:val="auto"/>
        </w:rPr>
      </w:pPr>
    </w:p>
    <w:p>
      <w:pPr>
        <w:ind w:left="-8" w:firstLine="972"/>
        <w:spacing w:after="0" w:line="267" w:lineRule="auto"/>
        <w:tabs>
          <w:tab w:leader="none" w:pos="120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the Borrower and its Subsidiaries have no Indebtedness other than the Google Note and Indebtedness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8" w:right="140" w:firstLine="972"/>
        <w:spacing w:after="0" w:line="278" w:lineRule="auto"/>
        <w:tabs>
          <w:tab w:leader="none" w:pos="1204" w:val="left"/>
        </w:tabs>
        <w:numPr>
          <w:ilvl w:val="1"/>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Effective Date, other than the Loan Documents, the Borrower and its Subsidiaries are not party to any agreement or other arrangement that prohibits, restricts or imposes any condition upon (i) the ability of the Borrower or any Subsidiary to create, incur or permit to exist any Lien upon any of its property or assets or (ii) the ability of any Subsidiary to make Investments or to pay dividends or other distributions with respect to any shares of its capital stock or to make or repay loans or advances to the Borrower or any Subsidiary or to Guarantee Indebtedness of the Borrower or any other Subsidiary. The foregoing sentence shall not apply to restrictions and conditions (A) imposed by law or by any Loan Document,</w:t>
      </w:r>
    </w:p>
    <w:p>
      <w:pPr>
        <w:spacing w:after="0" w:line="2" w:lineRule="exact"/>
        <w:rPr>
          <w:rFonts w:ascii="Times New Roman" w:cs="Times New Roman" w:eastAsia="Times New Roman" w:hAnsi="Times New Roman"/>
          <w:sz w:val="16"/>
          <w:szCs w:val="16"/>
          <w:color w:val="auto"/>
        </w:rPr>
      </w:pPr>
    </w:p>
    <w:p>
      <w:pPr>
        <w:ind w:left="-8" w:right="20" w:firstLine="8"/>
        <w:spacing w:after="0" w:line="280" w:lineRule="auto"/>
        <w:tabs>
          <w:tab w:leader="none" w:pos="269"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existing on the Effective Date and identified on </w:t>
      </w:r>
      <w:r>
        <w:rPr>
          <w:rFonts w:ascii="Times New Roman" w:cs="Times New Roman" w:eastAsia="Times New Roman" w:hAnsi="Times New Roman"/>
          <w:sz w:val="16"/>
          <w:szCs w:val="16"/>
          <w:u w:val="single" w:color="auto"/>
          <w:color w:val="auto"/>
        </w:rPr>
        <w:t>Schedule 6.10</w:t>
      </w:r>
      <w:r>
        <w:rPr>
          <w:rFonts w:ascii="Times New Roman" w:cs="Times New Roman" w:eastAsia="Times New Roman" w:hAnsi="Times New Roman"/>
          <w:sz w:val="16"/>
          <w:szCs w:val="16"/>
          <w:color w:val="auto"/>
        </w:rPr>
        <w:t xml:space="preserve"> (but shall apply to any extension or renewal of, or any amendment or modification expanding the scope of, any such restriction or condition unless such amendment is not otherwise prohibited by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(C) contained in agreements relating to the sale of a Subsidiary pending such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restrictions and conditions apply only to the Subsidiary that is to be sold and such sale is permitted hereunder, (D) imposed by any customary provisions restricting assignment of any agreement entered into the ordinary course of business, (E)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12"/>
          </w:cols>
          <w:pgMar w:left="588" w:top="265" w:right="599" w:bottom="1440" w:gutter="0" w:footer="0" w:header="0"/>
        </w:sectPr>
      </w:pPr>
    </w:p>
    <w:bookmarkStart w:id="376" w:name="page377"/>
    <w:bookmarkEnd w:id="376"/>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Indebtedness was permitted by Section 6.01 to be incurred), (F) imposed by any instrument or agreement governing Indebtedness of the Borrower or any Subsidiary that is incurred or issued subsequent to the Effective Date and is permitted pursuant to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restrictions in such Indebtedness are not materially more restrictive in the aggregate than the restrictions contained in this Agreement) and (G) solely with respect to clause (i), customary provisions in leases restricting the assignment thereof.</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p>
    <w:p>
      <w:pPr>
        <w:spacing w:after="0" w:line="108" w:lineRule="exact"/>
        <w:rPr>
          <w:sz w:val="20"/>
          <w:szCs w:val="20"/>
          <w:color w:val="auto"/>
        </w:rPr>
      </w:pPr>
    </w:p>
    <w:p>
      <w:pPr>
        <w:ind w:right="100" w:firstLine="972"/>
        <w:spacing w:after="0" w:line="267" w:lineRule="auto"/>
        <w:tabs>
          <w:tab w:leader="none" w:pos="120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the Subsidiaries has good title to, or valid leasehold interests in, all its real and personal property material to its business, free and clear of all Liens, except for Liens expressly permitted pursuant to Section 6.02.</w:t>
      </w:r>
    </w:p>
    <w:p>
      <w:pPr>
        <w:spacing w:after="0" w:line="64" w:lineRule="exact"/>
        <w:rPr>
          <w:rFonts w:ascii="Times New Roman" w:cs="Times New Roman" w:eastAsia="Times New Roman" w:hAnsi="Times New Roman"/>
          <w:sz w:val="18"/>
          <w:szCs w:val="18"/>
          <w:color w:val="auto"/>
        </w:rPr>
      </w:pPr>
    </w:p>
    <w:p>
      <w:pPr>
        <w:ind w:right="120" w:firstLine="972"/>
        <w:spacing w:after="0" w:line="255" w:lineRule="auto"/>
        <w:tabs>
          <w:tab w:leader="none" w:pos="121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the Subsidiaries owns, licenses or possesses the right to use all trademarks, trade names, copyrights, patents and other intellectual property material to its business, and the use thereof by the Borrower and the Subsidiaries does not, to the knowledge of the Borrower, infringe upon the rights of any other Person.</w:t>
      </w:r>
    </w:p>
    <w:p>
      <w:pPr>
        <w:spacing w:after="0" w:line="75" w:lineRule="exact"/>
        <w:rPr>
          <w:rFonts w:ascii="Times New Roman" w:cs="Times New Roman" w:eastAsia="Times New Roman" w:hAnsi="Times New Roman"/>
          <w:sz w:val="18"/>
          <w:szCs w:val="18"/>
          <w:color w:val="auto"/>
        </w:rPr>
      </w:pPr>
    </w:p>
    <w:p>
      <w:pPr>
        <w:ind w:firstLine="972"/>
        <w:spacing w:after="0" w:line="267" w:lineRule="auto"/>
        <w:tabs>
          <w:tab w:leader="none" w:pos="120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real property owned, leased or otherwise held by any of the Loan Parties as of the Effective Date after giving effect to the Transactions.</w:t>
      </w:r>
    </w:p>
    <w:p>
      <w:pPr>
        <w:spacing w:after="0" w:line="64" w:lineRule="exact"/>
        <w:rPr>
          <w:rFonts w:ascii="Times New Roman" w:cs="Times New Roman" w:eastAsia="Times New Roman" w:hAnsi="Times New Roman"/>
          <w:sz w:val="18"/>
          <w:szCs w:val="18"/>
          <w:color w:val="auto"/>
        </w:rPr>
      </w:pPr>
    </w:p>
    <w:p>
      <w:pPr>
        <w:jc w:val="both"/>
        <w:ind w:right="360" w:firstLine="972"/>
        <w:spacing w:after="0" w:line="302" w:lineRule="auto"/>
        <w:tabs>
          <w:tab w:leader="none" w:pos="121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Mortgage encumbers improved real property that is located in an area that has been identified by the Secretary of Housing and Urban Development as an area having special flood hazards within the meaning of the National Flood Insurance Act of 1968 unless flood insurance available under such Act has been obtained in accordance with Section 5.07 unless waived by the Administrative Agent in its sole discretion.</w:t>
      </w:r>
    </w:p>
    <w:p>
      <w:pPr>
        <w:spacing w:after="0" w:line="146"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there are no actions, suits or proceedings by or before any arbitrator or Governmental Authority pending against or, to the knowledge of the Borrower, threatened in writing against or affecting the Borrower or any Subsidiary that would reasonably be likely to, individually or in the aggregate, (i) result in a Material Adverse Effect or (ii) adversely affect in any material respect the ability of the Loan Parties to consummate the Transactions or the other transactions contemplated hereby.</w:t>
      </w:r>
    </w:p>
    <w:p>
      <w:pPr>
        <w:spacing w:after="0" w:line="184" w:lineRule="exact"/>
        <w:rPr>
          <w:sz w:val="20"/>
          <w:szCs w:val="20"/>
          <w:color w:val="auto"/>
        </w:rPr>
      </w:pPr>
    </w:p>
    <w:p>
      <w:pPr>
        <w:ind w:right="1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and as is not reasonably likely to result in, individually or in the aggregate, a Material Adverse Effect, each of the Borrower and the Subsidiaries is in compliance with all Requirements of Law (including all Health Care Laws and Public Health Laws) applicable to it or its property and all indentures, agreements and other instruments binding upon it or its property.</w:t>
      </w:r>
    </w:p>
    <w:p>
      <w:pPr>
        <w:spacing w:after="0" w:line="184" w:lineRule="exact"/>
        <w:rPr>
          <w:sz w:val="20"/>
          <w:szCs w:val="20"/>
          <w:color w:val="auto"/>
        </w:rPr>
      </w:pPr>
    </w:p>
    <w:p>
      <w:pPr>
        <w:ind w:right="4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or is required to be registered as an “investment company” under the Investment Company Act of 1940.</w:t>
      </w:r>
    </w:p>
    <w:p>
      <w:pPr>
        <w:spacing w:after="0" w:line="170" w:lineRule="exact"/>
        <w:rPr>
          <w:sz w:val="20"/>
          <w:szCs w:val="20"/>
          <w:color w:val="auto"/>
        </w:rPr>
      </w:pPr>
    </w:p>
    <w:p>
      <w:pPr>
        <w:ind w:right="8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the Subsidiaries has filed or caused to be filed all Federal and other material Tax returns and reports required to have been filed and has paid or caused to be paid all Taxes required to have been paid by it, except (a) any Taxes that are being contested in good faith by appropriate proceedings and for which the Borrower or such Subsidiary, as applicable, has set aside on its books adequate reserves in accordance with GAAP or (b) to the extent that the failure to do so is not reasonably likely, individually or in the aggregate, to result in a Material Adverse Effect.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20"/>
          </w:cols>
          <w:pgMar w:left="580" w:top="265" w:right="599" w:bottom="1440" w:gutter="0" w:footer="0" w:header="0"/>
        </w:sectPr>
      </w:pPr>
    </w:p>
    <w:bookmarkStart w:id="377" w:name="page378"/>
    <w:bookmarkEnd w:id="377"/>
    <w:p>
      <w:pPr>
        <w:ind w:right="200" w:firstLine="96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likely to occur that, when taken together with all other such ERISA Events for which liability is reasonably likely to occur, is reasonably likely to result in a Material Adverse Effect. The present value of all accumulated benefit obligations under each Plan did not, as of the date of the most recent financial statements reflecting such amounts, exceed the fair value of the assets of such Plan, except as would not reasonably be likely to result in a Material Adverse Effect.</w:t>
      </w:r>
    </w:p>
    <w:p>
      <w:pPr>
        <w:spacing w:after="0" w:line="184"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xml:space="preserve">. As of the Effective Date, none of the other written reports, financial statements, certificates or other written information furnished by or on behalf of any Loan Party to the Administrative Agent or any Lender in connection with the negotiation of this Agreement or any other Loan Document or delivered hereunder or thereunder (as modified or supplemented by other information so furnished and taken as a whole)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any projected financial information other than the projected financial information included in such information and with respect to such projected financial information, the Borrower represents only that such information was prepared in good faith based upon assumptions believed by it to be reasonable at the time delivered.</w:t>
      </w:r>
    </w:p>
    <w:p>
      <w:pPr>
        <w:spacing w:after="0" w:line="189" w:lineRule="exact"/>
        <w:rPr>
          <w:sz w:val="20"/>
          <w:szCs w:val="20"/>
          <w:color w:val="auto"/>
        </w:rPr>
      </w:pPr>
    </w:p>
    <w:p>
      <w:pPr>
        <w:ind w:right="10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Effective Date, the Borrower does not have any subsidiaries other than the Subsidiaries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xml:space="preserve"> sets forth the name of, and the ownership or beneficial interest of the Borrower in, each Subsidiary and identifies whether such Subsidiary is a Subsidiary Loan Party.</w:t>
      </w:r>
    </w:p>
    <w:p>
      <w:pPr>
        <w:spacing w:after="0" w:line="180" w:lineRule="exact"/>
        <w:rPr>
          <w:sz w:val="20"/>
          <w:szCs w:val="20"/>
          <w:color w:val="auto"/>
        </w:rPr>
      </w:pPr>
    </w:p>
    <w:p>
      <w:pPr>
        <w:ind w:right="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3.13</w:t>
      </w:r>
      <w:r>
        <w:rPr>
          <w:rFonts w:ascii="Times New Roman" w:cs="Times New Roman" w:eastAsia="Times New Roman" w:hAnsi="Times New Roman"/>
          <w:sz w:val="18"/>
          <w:szCs w:val="18"/>
          <w:color w:val="auto"/>
        </w:rPr>
        <w:t xml:space="preserve"> sets forth a description of all insurance maintained by or on behalf of the Borrower and the Subsidiaries as of the Effective Date. As of the Effective Date, all premiums in respect of such insurance have been paid. The Borrower believes that the insurance maintained by or on behalf of the Borrower and the Subsidiaries is adequate.</w:t>
      </w:r>
    </w:p>
    <w:p>
      <w:pPr>
        <w:spacing w:after="0" w:line="180" w:lineRule="exact"/>
        <w:rPr>
          <w:sz w:val="20"/>
          <w:szCs w:val="20"/>
          <w:color w:val="auto"/>
        </w:rPr>
      </w:pPr>
    </w:p>
    <w:p>
      <w:pPr>
        <w:ind w:right="20"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3.14. </w:t>
      </w:r>
      <w:r>
        <w:rPr>
          <w:rFonts w:ascii="Times New Roman" w:cs="Times New Roman" w:eastAsia="Times New Roman" w:hAnsi="Times New Roman"/>
          <w:sz w:val="16"/>
          <w:szCs w:val="16"/>
          <w:u w:val="single" w:color="auto"/>
          <w:color w:val="auto"/>
        </w:rPr>
        <w:t>Labor Matters</w:t>
      </w:r>
      <w:r>
        <w:rPr>
          <w:rFonts w:ascii="Times New Roman" w:cs="Times New Roman" w:eastAsia="Times New Roman" w:hAnsi="Times New Roman"/>
          <w:sz w:val="16"/>
          <w:szCs w:val="16"/>
          <w:color w:val="auto"/>
        </w:rPr>
        <w:t xml:space="preserve">. As of the Effective Date, there are no strikes, lockouts or slowdowns against the Borrower or any Subsidiary pending or, to the knowledge of the Borrower, threatened in writing. The hours worked by and payments made to employees of the Borrower or the Subsidiaries have not been in violation of the Fair Labor Standards Act or any other applicable Federal, state, local or foreign law dealing with such matters in any manner. All payments due from the Borrower or any Subsidiary, or for which any claim may be made against the Borrower or any Subsidiary, on account of wages and employee health and welfare insurance and other benefits, have been paid or accrued as a liability on the books of the Borrower or such Subsidiary. The consummation of the Transactions will not give rise to any right of termination or right of renegotiation on the part of any union under any collective bargaining agreement to which the Borrower or any Subsidiary is bound. Set forth on </w:t>
      </w:r>
      <w:r>
        <w:rPr>
          <w:rFonts w:ascii="Times New Roman" w:cs="Times New Roman" w:eastAsia="Times New Roman" w:hAnsi="Times New Roman"/>
          <w:sz w:val="16"/>
          <w:szCs w:val="16"/>
          <w:u w:val="single" w:color="auto"/>
          <w:color w:val="auto"/>
        </w:rPr>
        <w:t>Schedule 3.14</w:t>
      </w:r>
      <w:r>
        <w:rPr>
          <w:rFonts w:ascii="Times New Roman" w:cs="Times New Roman" w:eastAsia="Times New Roman" w:hAnsi="Times New Roman"/>
          <w:sz w:val="16"/>
          <w:szCs w:val="16"/>
          <w:color w:val="auto"/>
        </w:rPr>
        <w:t xml:space="preserve"> is a list and description (including dates of termination) of all collective bargaining or similar agreements between or applicable to the Borrower or any of its Subsidiaries and any union, labor organization or other bargaining agent in respect of the employees of the Borrower or any of its Subsidiaries.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20"/>
          </w:cols>
          <w:pgMar w:left="580" w:top="265" w:right="599" w:bottom="1440" w:gutter="0" w:footer="0" w:header="0"/>
        </w:sectPr>
      </w:pPr>
    </w:p>
    <w:bookmarkStart w:id="378" w:name="page379"/>
    <w:bookmarkEnd w:id="378"/>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3.15.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the consummation of the Transactions to occur on the Effective Date, (a) the fair value of the assets of the Borrower, and its subsidiaries, on a consolidated basis, at fair valuation, exceeds, on a consolidated basis, their debts and liabilities, subordinated, contingent or otherwise, (b) the present fair saleable value of the property of the Borrower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(c) the Borrower and its subsidiaries, on a consolidated basis, are able to pay their debts and liabilities, subordinated, contingent or otherwise, as such liabilities become absolute and matured and (d) the Borrower and its subsidiaries, on a consolidated basis, do not have unreasonably small capital with which to conduct the business in which they are engaged as such business is now conducted and is proposed to be conducted following the date hereof.</w:t>
      </w:r>
    </w:p>
    <w:p>
      <w:pPr>
        <w:spacing w:after="0" w:line="186" w:lineRule="exact"/>
        <w:rPr>
          <w:sz w:val="20"/>
          <w:szCs w:val="20"/>
          <w:color w:val="auto"/>
        </w:rPr>
      </w:pPr>
    </w:p>
    <w:p>
      <w:pPr>
        <w:jc w:val="both"/>
        <w:ind w:right="220" w:firstLine="964"/>
        <w:spacing w:after="0" w:line="302" w:lineRule="auto"/>
        <w:rPr>
          <w:sz w:val="20"/>
          <w:szCs w:val="20"/>
          <w:color w:val="auto"/>
        </w:rPr>
      </w:pPr>
      <w:r>
        <w:rPr>
          <w:rFonts w:ascii="Times New Roman" w:cs="Times New Roman" w:eastAsia="Times New Roman" w:hAnsi="Times New Roman"/>
          <w:sz w:val="16"/>
          <w:szCs w:val="16"/>
          <w:color w:val="auto"/>
        </w:rPr>
        <w:t xml:space="preserve">SECTION 3.16. </w:t>
      </w:r>
      <w:r>
        <w:rPr>
          <w:rFonts w:ascii="Times New Roman" w:cs="Times New Roman" w:eastAsia="Times New Roman" w:hAnsi="Times New Roman"/>
          <w:sz w:val="16"/>
          <w:szCs w:val="16"/>
          <w:u w:val="single" w:color="auto"/>
          <w:color w:val="auto"/>
        </w:rPr>
        <w:t>Margin Regulations</w:t>
      </w:r>
      <w:r>
        <w:rPr>
          <w:rFonts w:ascii="Times New Roman" w:cs="Times New Roman" w:eastAsia="Times New Roman" w:hAnsi="Times New Roman"/>
          <w:sz w:val="16"/>
          <w:szCs w:val="16"/>
          <w:color w:val="auto"/>
        </w:rPr>
        <w:t>. The Borrower is not engaged nor will it engage, principally or as one of its important activities, in the business of purchasing or carrying margin stock (within the meaning of Regulation U issued by the Board), or extending credit for the purpose of purchasing or carrying margin stock, and no proceeds of any Borrowings will be used for any purpose that violates Regulation U.</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972"/>
        <w:spacing w:after="0" w:line="251" w:lineRule="auto"/>
        <w:tabs>
          <w:tab w:leader="none" w:pos="1202"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is in violation of any requirement of applicable Law relating to terrorism or money laundering (“</w:t>
      </w:r>
      <w:r>
        <w:rPr>
          <w:rFonts w:ascii="Times New Roman" w:cs="Times New Roman" w:eastAsia="Times New Roman" w:hAnsi="Times New Roman"/>
          <w:sz w:val="18"/>
          <w:szCs w:val="18"/>
          <w:u w:val="single" w:color="auto"/>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u w:val="single" w:color="auto"/>
          <w:color w:val="auto"/>
        </w:rPr>
        <w:t>Executive 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firstLine="972"/>
        <w:spacing w:after="0" w:line="267" w:lineRule="auto"/>
        <w:tabs>
          <w:tab w:leader="none" w:pos="1212"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nor, to the knowledge of the Borrower, any broker or other agent of the Borrower or any of its Subsidiaries acting or benefiting in any capacity in connection with the Loans is any of the following:</w:t>
      </w:r>
    </w:p>
    <w:p>
      <w:pPr>
        <w:spacing w:after="0" w:line="64" w:lineRule="exact"/>
        <w:rPr>
          <w:rFonts w:ascii="Times New Roman" w:cs="Times New Roman" w:eastAsia="Times New Roman" w:hAnsi="Times New Roman"/>
          <w:sz w:val="18"/>
          <w:szCs w:val="18"/>
          <w:color w:val="auto"/>
        </w:rPr>
      </w:pPr>
    </w:p>
    <w:p>
      <w:pPr>
        <w:ind w:left="1160" w:hanging="210"/>
        <w:spacing w:after="0"/>
        <w:tabs>
          <w:tab w:leader="none" w:pos="11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w:t>
      </w:r>
    </w:p>
    <w:p>
      <w:pPr>
        <w:spacing w:after="0" w:line="108" w:lineRule="exact"/>
        <w:rPr>
          <w:rFonts w:ascii="Times New Roman" w:cs="Times New Roman" w:eastAsia="Times New Roman" w:hAnsi="Times New Roman"/>
          <w:sz w:val="18"/>
          <w:szCs w:val="18"/>
          <w:color w:val="auto"/>
        </w:rPr>
      </w:pPr>
    </w:p>
    <w:p>
      <w:pPr>
        <w:ind w:left="540" w:right="280" w:firstLine="410"/>
        <w:spacing w:after="0" w:line="267" w:lineRule="auto"/>
        <w:tabs>
          <w:tab w:leader="none" w:pos="120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64" w:lineRule="exact"/>
        <w:rPr>
          <w:rFonts w:ascii="Times New Roman" w:cs="Times New Roman" w:eastAsia="Times New Roman" w:hAnsi="Times New Roman"/>
          <w:sz w:val="18"/>
          <w:szCs w:val="18"/>
          <w:color w:val="auto"/>
        </w:rPr>
      </w:pPr>
    </w:p>
    <w:p>
      <w:pPr>
        <w:ind w:left="1260" w:hanging="310"/>
        <w:spacing w:after="0"/>
        <w:tabs>
          <w:tab w:leader="none" w:pos="12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Anti-Terrorism Law;</w:t>
      </w:r>
    </w:p>
    <w:p>
      <w:pPr>
        <w:spacing w:after="0" w:line="108" w:lineRule="exact"/>
        <w:rPr>
          <w:rFonts w:ascii="Times New Roman" w:cs="Times New Roman" w:eastAsia="Times New Roman" w:hAnsi="Times New Roman"/>
          <w:sz w:val="18"/>
          <w:szCs w:val="18"/>
          <w:color w:val="auto"/>
        </w:rPr>
      </w:pPr>
    </w:p>
    <w:p>
      <w:pPr>
        <w:ind w:left="1240" w:hanging="290"/>
        <w:spacing w:after="0"/>
        <w:tabs>
          <w:tab w:leader="none" w:pos="12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the Executive Order; or</w:t>
      </w:r>
    </w:p>
    <w:p>
      <w:pPr>
        <w:spacing w:after="0" w:line="108" w:lineRule="exact"/>
        <w:rPr>
          <w:rFonts w:ascii="Times New Roman" w:cs="Times New Roman" w:eastAsia="Times New Roman" w:hAnsi="Times New Roman"/>
          <w:sz w:val="18"/>
          <w:szCs w:val="18"/>
          <w:color w:val="auto"/>
        </w:rPr>
      </w:pPr>
    </w:p>
    <w:p>
      <w:pPr>
        <w:ind w:left="540" w:right="120" w:firstLine="410"/>
        <w:spacing w:after="0" w:line="255" w:lineRule="auto"/>
        <w:tabs>
          <w:tab w:leader="none" w:pos="119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w:t>
      </w:r>
    </w:p>
    <w:p>
      <w:pPr>
        <w:spacing w:after="0" w:line="75" w:lineRule="exact"/>
        <w:rPr>
          <w:rFonts w:ascii="Times New Roman" w:cs="Times New Roman" w:eastAsia="Times New Roman" w:hAnsi="Times New Roman"/>
          <w:sz w:val="18"/>
          <w:szCs w:val="18"/>
          <w:color w:val="auto"/>
        </w:rPr>
      </w:pPr>
    </w:p>
    <w:p>
      <w:pPr>
        <w:ind w:right="60" w:firstLine="972"/>
        <w:spacing w:after="0" w:line="255" w:lineRule="auto"/>
        <w:tabs>
          <w:tab w:leader="none" w:pos="120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Subsidiaries and, to the knowledge of the Borrower, no broker or other agent of the Borrower or any of its Subsidiaries acting in any capacity in connection with the Loans (i) conducts any business or engages in making or receiving any contribution of funds, goods or services to or for the benefit of any person described in Section 3.17(b) above 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00"/>
          </w:cols>
          <w:pgMar w:left="580" w:top="265" w:right="619" w:bottom="1440" w:gutter="0" w:footer="0" w:header="0"/>
        </w:sectPr>
      </w:pPr>
    </w:p>
    <w:bookmarkStart w:id="379" w:name="page380"/>
    <w:bookmarkEnd w:id="379"/>
    <w:p>
      <w:pPr>
        <w:jc w:val="both"/>
        <w:ind w:right="400"/>
        <w:spacing w:after="0" w:line="30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violation of any Anti-Terrorism Law, (ii) deals in, or otherwise engages in any transaction relating to, any property or interests in property blocked pursuant to the Executive Order in violation of any Anti-Terrorism Law, or (iii) engages in or conspires to engage in any transaction that evades or avoids, or has the purpose of evading or avoiding, or attempts to violate, any of the prohibitions set forth in any Anti-Terrorism Law.</w:t>
      </w:r>
    </w:p>
    <w:p>
      <w:pPr>
        <w:spacing w:after="0" w:line="146" w:lineRule="exact"/>
        <w:rPr>
          <w:sz w:val="20"/>
          <w:szCs w:val="20"/>
          <w:color w:val="auto"/>
        </w:rPr>
      </w:pPr>
    </w:p>
    <w:p>
      <w:pPr>
        <w:ind w:right="2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Borrower has implemented and maintains in effect policies and procedures reasonably designed to ensure compliance by the Borrower, its Subsidiaries, and their respective directors, officers, employees and agents with applicable Anti-Corruption Laws, and except as is not reasonably likely to result in, individually or in the aggregate, a Material Adverse Effect, the Borrower, its Subsidiaries and their respective officers and employees and to the knowledge of the Borrower, its directors and agents, are in compliance with Anti-Corruption Laws in all material respects. No part of the proceeds of any Loans hereunder will be used directly, by the Borrower or any Subsidiary or indirectly, to the knowledge of the Borrower, in order to obtain, retain or direct business or obtain any improper advantage, in violation of any Anti-Corruption Laws.</w:t>
      </w:r>
    </w:p>
    <w:p>
      <w:pPr>
        <w:spacing w:after="0" w:line="189" w:lineRule="exact"/>
        <w:rPr>
          <w:sz w:val="20"/>
          <w:szCs w:val="20"/>
          <w:color w:val="auto"/>
        </w:rPr>
      </w:pPr>
    </w:p>
    <w:p>
      <w:pPr>
        <w:ind w:right="6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The Borrower and the Subsidiaries own, license or possess the right to use, all of the trademarks, service marks, trade names, domain names, copyrights, patents, patent rights, licenses, technology, software, know-how database rights, design rights and other intellectual property rights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that are reasonably necessary for the operation of their respective businesses as currently conducted, and, without conflict with the rights of any Person, except to the extent such conflicts, either individually or in the aggregate, are not reasonably likely to result in a Material Adverse Effect. The Borrower and the Subsidiaries in the operation of their respective businesses as currently conducted do not infringe upon any rights held by any Person except for such infringements, individually or in the aggregate, which are not reasonably likely to result in a Material Adverse Effect. No claim or litigation regarding any of the IP Rights, owned by the Borrower or the Subsidiaries is pending or, to the knowledge of the Borrower, threatened against the Borrower or any Subsidiary in which the amount of damages claimed is $2,500,000 or more.</w:t>
      </w:r>
    </w:p>
    <w:p>
      <w:pPr>
        <w:spacing w:after="0" w:line="191" w:lineRule="exact"/>
        <w:rPr>
          <w:sz w:val="20"/>
          <w:szCs w:val="20"/>
          <w:color w:val="auto"/>
        </w:rPr>
      </w:pPr>
    </w:p>
    <w:p>
      <w:pPr>
        <w:ind w:firstLine="964"/>
        <w:spacing w:after="0" w:line="288" w:lineRule="auto"/>
        <w:rPr>
          <w:sz w:val="20"/>
          <w:szCs w:val="20"/>
          <w:color w:val="auto"/>
        </w:rPr>
      </w:pPr>
      <w:r>
        <w:rPr>
          <w:rFonts w:ascii="Times New Roman" w:cs="Times New Roman" w:eastAsia="Times New Roman" w:hAnsi="Times New Roman"/>
          <w:sz w:val="16"/>
          <w:szCs w:val="16"/>
          <w:color w:val="auto"/>
        </w:rPr>
        <w:t>Except pursuant to licenses and other user agreements entered into by the Borrower or any Subsidiary in the ordinary course of business, on and as of the date hereof (i) each such Person owns and possesses the right to use, and has done nothing to authorize or enable any other Person to use, any copyright, patent or trademark listed in Section 10(a), 10(b) or 10(c) of the Perfection Certificate and (ii) all registrations listed in Section 10(c) of the Perfection Certificate are valid and in full force and effect, except, in each case, to the extent failure to own or possess such right to use or of such registrations to be valid and in full force and effect is not reasonably likely, individually or in the aggregate, to result in a Material Adverse Effect.</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[Reserved].</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80" w:firstLine="972"/>
        <w:spacing w:after="0" w:line="248" w:lineRule="auto"/>
        <w:tabs>
          <w:tab w:leader="none" w:pos="120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matters that have been resolved in compliance with Environmental Law or that, individually or in the aggregate, are not reasonably likely to result in a Material Adverse Effect, (i) neither the Borrower nor any Subsidiary has failed to comply with any Environmental Law or to obtain, maintain or comply with any required Environmental Permit or to provide any notification required under any Environmental Law or has become subject to any Environmental Liability, and (ii) neither the Borrower nor any Subsidiary has received any written notice of any claims, actions, suits, or proceedings alleging potential liability or violation of, any Environmental Law, and to Borrower’s knowledge no such claims, actions, suits or proceedings are threatened.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660"/>
          </w:cols>
          <w:pgMar w:left="580" w:top="265" w:right="659" w:bottom="1440" w:gutter="0" w:footer="0" w:header="0"/>
        </w:sectPr>
      </w:pPr>
    </w:p>
    <w:bookmarkStart w:id="380" w:name="page381"/>
    <w:bookmarkEnd w:id="380"/>
    <w:p>
      <w:pPr>
        <w:ind w:left="-60" w:right="60" w:firstLine="972"/>
        <w:spacing w:after="0" w:line="246" w:lineRule="auto"/>
        <w:tabs>
          <w:tab w:leader="none" w:pos="115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Except as not reasonably likely to result in, individually or in the aggregate, a Material Adverse Effect, (i) none of the properties currently or formerly owned, leased or operated by the Borrower or any of the Subsidiaries is listed or proposed for listing on the NPL or on the CERCLIS or any analogous foreign, state or local list; (ii) there are no underground storage tanks or surface impoundments, septic tanks, pits, sumps or lagoons in which Hazardous Materials are being or have been treated, stored or disposed on any property currently owned, leased or operated by the Borrower or any of the Subsidiaries, or, to the Borrower’s knowledge, on any property formerly owned or operated by the Borrower or any of its Subsidiaries; (iii) there is no asbestos or asbestos-containing material in violation of Environmental Law at or on any facility, equipment or property currently owned or operated by the Borrower or any of the Subsidiaries; and (iv) to the Borrower’s knowledge, there has been no Release of Hazardous Materials by any Person on any property currently or formerly owned, leased or operated by the Borrower or any of the Subsidiaries and there has been no Release of Hazardous Materials by the Borrower or any of the Subsidiaries at any other location.</w:t>
      </w:r>
    </w:p>
    <w:p>
      <w:pPr>
        <w:spacing w:after="0" w:line="86" w:lineRule="exact"/>
        <w:rPr>
          <w:rFonts w:ascii="Times New Roman" w:cs="Times New Roman" w:eastAsia="Times New Roman" w:hAnsi="Times New Roman"/>
          <w:sz w:val="18"/>
          <w:szCs w:val="18"/>
          <w:color w:val="auto"/>
        </w:rPr>
      </w:pPr>
    </w:p>
    <w:p>
      <w:pPr>
        <w:ind w:left="-60" w:firstLine="972"/>
        <w:spacing w:after="0" w:line="302" w:lineRule="auto"/>
        <w:tabs>
          <w:tab w:leader="none" w:pos="114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Borrower’s knowledge, the properties owned, leased or operated by the Borrower or the Subsidiaries do not contain any Hazardous Materials in amounts or concentrations which (i) constitute, or constituted a violation of, or (ii) require remedial action under, Environmental Laws, which violations and remedial actions, individually or in the aggregate, are reasonably likely to result in a Material Adverse Effect.</w:t>
      </w:r>
    </w:p>
    <w:p>
      <w:pPr>
        <w:spacing w:after="0" w:line="40" w:lineRule="exact"/>
        <w:rPr>
          <w:rFonts w:ascii="Times New Roman" w:cs="Times New Roman" w:eastAsia="Times New Roman" w:hAnsi="Times New Roman"/>
          <w:sz w:val="16"/>
          <w:szCs w:val="16"/>
          <w:color w:val="auto"/>
        </w:rPr>
      </w:pPr>
    </w:p>
    <w:p>
      <w:pPr>
        <w:ind w:left="-60" w:right="60" w:firstLine="972"/>
        <w:spacing w:after="0" w:line="249" w:lineRule="auto"/>
        <w:tabs>
          <w:tab w:leader="none" w:pos="115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are conducting or financing, either individually or together with other potentially responsible parties, any investigation or assessment or remedial or response action relating to any actual or threatened Release of Hazardous Materials at any site, location or operation, either voluntarily or pursuant to the order of any Governmental Authority or the requirements of any Environmental Law except for such investigation or assessment or remedial or response action that, individually or in the aggregate, is not reasonably likely to result in a Material Adverse Effect.</w:t>
      </w:r>
    </w:p>
    <w:p>
      <w:pPr>
        <w:spacing w:after="0" w:line="81" w:lineRule="exact"/>
        <w:rPr>
          <w:rFonts w:ascii="Times New Roman" w:cs="Times New Roman" w:eastAsia="Times New Roman" w:hAnsi="Times New Roman"/>
          <w:sz w:val="18"/>
          <w:szCs w:val="18"/>
          <w:color w:val="auto"/>
        </w:rPr>
      </w:pPr>
    </w:p>
    <w:p>
      <w:pPr>
        <w:ind w:left="-60" w:right="60" w:firstLine="972"/>
        <w:spacing w:after="0" w:line="255" w:lineRule="auto"/>
        <w:tabs>
          <w:tab w:leader="none" w:pos="114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Borrower’s knowledge, all Hazardous Materials generated, used, treated, handled or stored at, or transported to or from, any property currently or formerly owned or operated by the Borrower, or any Subsidiary have been disposed of in a manner compliant with Environmental Law, except to the extent not reasonably likely to result in, individually or in the aggregate, a Material Adverse Effect.</w:t>
      </w:r>
    </w:p>
    <w:p>
      <w:pPr>
        <w:spacing w:after="0" w:line="75" w:lineRule="exact"/>
        <w:rPr>
          <w:rFonts w:ascii="Times New Roman" w:cs="Times New Roman" w:eastAsia="Times New Roman" w:hAnsi="Times New Roman"/>
          <w:sz w:val="18"/>
          <w:szCs w:val="18"/>
          <w:color w:val="auto"/>
        </w:rPr>
      </w:pPr>
    </w:p>
    <w:p>
      <w:pPr>
        <w:jc w:val="both"/>
        <w:ind w:left="-60" w:right="360" w:firstLine="972"/>
        <w:spacing w:after="0" w:line="255" w:lineRule="auto"/>
        <w:tabs>
          <w:tab w:leader="none" w:pos="112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environmental provisions contained within leases executed by Borrower or any Subsidiary, and except as would not be reasonably likely to result in, individually or in the aggregate, a Material Adverse Effect, neither the Borrower nor any Subsidiary has contractually assumed any liability or obligation under or relating to any Environmental Law.</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Health Care Regulatory Matters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60" w:right="80" w:firstLine="972"/>
        <w:spacing w:after="0" w:line="255" w:lineRule="auto"/>
        <w:tabs>
          <w:tab w:leader="none" w:pos="114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each Loan Party is in compliance with, and is conducting and, for the six years preceding the Effective Date, has conducted its respective business and operations in compliance with, the requirements of all Health Care Laws and Public Health Laws, except for such non-compliance which, individually or in the aggregate, is not reasonably likely to result in a Material Adverse Effect.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620"/>
          </w:cols>
          <w:pgMar w:left="640" w:top="265" w:right="639" w:bottom="1440" w:gutter="0" w:footer="0" w:header="0"/>
        </w:sectPr>
      </w:pPr>
    </w:p>
    <w:bookmarkStart w:id="381" w:name="page382"/>
    <w:bookmarkEnd w:id="381"/>
    <w:p>
      <w:pPr>
        <w:ind w:right="20" w:firstLine="972"/>
        <w:spacing w:after="0" w:line="278" w:lineRule="auto"/>
        <w:tabs>
          <w:tab w:leader="none" w:pos="1212"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Borrower and its Subsidiaries have all Registrations issued or supervised by any Public Health Regulatory Agency or other Governmental Authority required to conduct their respective businesses as currently conducted, except where the failure to have all such Registrations could not reasonably be expected to, individually or in the aggregate, result in Material Regulatory Liabilities. Each of such Registrations is valid and subsisting in full force and effect, except where the failure to be so could not reasonably be expected to, individually or in the aggregate, result in Material Regulatory Liabilities. To the knowledge of the Borrower and its Subsidiaries, none of any Public Health Regulatory Agency or any other Governmental Authority is considering limiting, suspending, or revoking such party’s submission to any Public Health Regulatory Agency or any other Governmental Authority; provided, that, in each case of the foregoing clauses, where such false or misleading information or omissions could not reasonably be expected to, individually or in the aggregate, result in Material Regulatory Liabilities and excluding any material limitations or omissions that were clearly disclosed to the recipient of a listed item. The Borrower and its Subsidiaries have not failed to fulfill and perform their obligations which are due under each Registration held by or licensed to them, and no event has occurred or condition or state of facts exists which would constitute a breach or default under any such Registration, in each case that would reasonably be expected to cause Material Regulatory Liabilities. To the knowledge of the Borrower and its Subsidiaries, any third party that is a manufacturer or contractor for the Borrower and its Subsidiaries is in compliance with all Registrations from any Public Health Regulatory Agency and any other Governmental Authority insofar as they pertain to the manufacture of product components or products or the analysis or generation of data for the Borrower and its Subsidiaries, except where the failure to so be in compliance would not reasonably be expected to, individually or in the aggregate, result in Material Regulatory Liabilities.</w:t>
      </w:r>
    </w:p>
    <w:p>
      <w:pPr>
        <w:spacing w:after="0" w:line="272" w:lineRule="exact"/>
        <w:rPr>
          <w:rFonts w:ascii="Times New Roman" w:cs="Times New Roman" w:eastAsia="Times New Roman" w:hAnsi="Times New Roman"/>
          <w:sz w:val="16"/>
          <w:szCs w:val="16"/>
          <w:color w:val="auto"/>
        </w:rPr>
      </w:pPr>
    </w:p>
    <w:p>
      <w:pPr>
        <w:ind w:right="80" w:firstLine="972"/>
        <w:spacing w:after="0" w:line="247" w:lineRule="auto"/>
        <w:tabs>
          <w:tab w:leader="none" w:pos="120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developed, manufactured, tested, distributed, marketed, or sold by or on behalf of the Borrower and its Subsidiaries that are subject to the jurisdiction of any Public Health Regulatory Agency or any other Governmental Authority (x) have been and are being developed, tested, manufactured, investigated, distributed, marketed, and sold in compliance with the applicable Public Health Laws or any other applicable Law, including, without limitation and to the extent applicable, in material compliance with any pre-market notification or pre-market approval requirements, good manufacturing practices, quality system requirements, labeling requirements, advertising requirements, record keeping requirements and adverse event reporting requirements, and (y) have been and are being tested, investigated, distributed, marketed, and sold in compliance with the applicable Public Health Laws or any other applicable Law, except, in each case of clauses (x) and (y), where such noncompliance would not reasonably be expected to, individually or in the aggregate, result in Material Regulatory Liabilities.</w:t>
      </w:r>
    </w:p>
    <w:p>
      <w:pPr>
        <w:spacing w:after="0" w:line="81" w:lineRule="exact"/>
        <w:rPr>
          <w:rFonts w:ascii="Times New Roman" w:cs="Times New Roman" w:eastAsia="Times New Roman" w:hAnsi="Times New Roman"/>
          <w:sz w:val="18"/>
          <w:szCs w:val="18"/>
          <w:color w:val="auto"/>
        </w:rPr>
      </w:pPr>
    </w:p>
    <w:p>
      <w:pPr>
        <w:ind w:firstLine="972"/>
        <w:spacing w:after="0" w:line="246" w:lineRule="auto"/>
        <w:tabs>
          <w:tab w:leader="none" w:pos="121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have not received and are not subject to any administrative or regulatory action, warning letter, notice of violation letter, or other similar written notice, complaint or inquiry made by any Public Health Regulatory Agency or any other Governmental Authority asserting that the development, testing, investigation, manufacture, distribution, marketing or sale of the products of any Borrower or any of its Subsidiaries is not in compliance with any applicable law, except those noncompliance that could not reasonably be expected to, individually or in the aggregate, result in Material Regulatory Liabilities. To the extent applicable, (x) the Borrower and its Subsidiaries have made all notifications, submissions, and reports required by any such Governmental Authority, and (y) all such notifications, submissions and reports provided by the Borrower and its Subsidiaries were, to their knowledge, true, complete, and correct in all material respects as of the date of submission to any Public Health Regulatory Agency or any other Governmental Authority, except, where such failure to comply with (x) or (y) could not reasonably be expected to, individually or in the aggregate, result in Material Regulatory Liabilities.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20"/>
          </w:cols>
          <w:pgMar w:left="580" w:top="265" w:right="599" w:bottom="1440" w:gutter="0" w:footer="0" w:header="0"/>
        </w:sectPr>
      </w:pPr>
    </w:p>
    <w:bookmarkStart w:id="382" w:name="page383"/>
    <w:bookmarkEnd w:id="382"/>
    <w:p>
      <w:pPr>
        <w:ind w:firstLine="972"/>
        <w:spacing w:after="0" w:line="247" w:lineRule="auto"/>
        <w:tabs>
          <w:tab w:leader="none" w:pos="120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product of the Borrower or its Subsidiaries has been seized, withdrawn, recalled, detained, or subject to a suspension of manufacturing, and, to the knowledge of the Borrower, there are no facts or circumstances reasonably likely to cause (x) the seizure, denial, withdrawal, recall, detention, field notification, field correction, safety alert or suspension of manufacturing relating to any such product; (y) a material adverse change in the labeling of any such product; or (z) a termination, seizure or suspension of marketing of any such product, except, in each case, where such events could not reasonably be expected to, individually or in the aggregate, result in Material Regulatory Liabilities. No proceedings in the United States or any other jurisdiction seeking the withdrawal, recall, suspension, import detention, or seizure of any such product are pending or, to the knowledge the Borrower or its Subsidiaries, threatened against the Borrower and its Subsidiaries, except where such proceeding could not reasonably be expected to, individually or in the aggregate, result in Material Regulatory Liability.</w:t>
      </w:r>
    </w:p>
    <w:p>
      <w:pPr>
        <w:spacing w:after="0" w:line="186" w:lineRule="exact"/>
        <w:rPr>
          <w:sz w:val="20"/>
          <w:szCs w:val="20"/>
          <w:color w:val="auto"/>
        </w:rPr>
      </w:pPr>
    </w:p>
    <w:p>
      <w:pPr>
        <w:ind w:right="10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Deposit Accounts and Securities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sets forth a complete and accurate list as of the Effective Date of all deposit, checking, and other bank accounts, all securities and other accounts maintained with any broker dealer or other securities intermediary, and all other similar accounts maintained by each Loan Party, together with a description thereof (including the bank, broker dealer, or securities intermediary at which each such account is maintained and the account number and the purpose thereof). All such accounts shall be subject to Control Agreements to the extent required by the Collateral Agreement.</w:t>
      </w:r>
    </w:p>
    <w:p>
      <w:pPr>
        <w:spacing w:after="0" w:line="187" w:lineRule="exact"/>
        <w:rPr>
          <w:sz w:val="20"/>
          <w:szCs w:val="20"/>
          <w:color w:val="auto"/>
        </w:rPr>
      </w:pPr>
    </w:p>
    <w:p>
      <w:pPr>
        <w:ind w:right="46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proceeds of the Term Loans will used by the Borrower </w:t>
      </w:r>
      <w:r>
        <w:rPr>
          <w:rFonts w:ascii="Times New Roman" w:cs="Times New Roman" w:eastAsia="Times New Roman" w:hAnsi="Times New Roman"/>
          <w:sz w:val="18"/>
          <w:szCs w:val="18"/>
          <w:color w:val="FF0000"/>
        </w:rPr>
        <w:t>on the Effective Date</w:t>
      </w:r>
      <w:r>
        <w:rPr>
          <w:rFonts w:ascii="Times New Roman" w:cs="Times New Roman" w:eastAsia="Times New Roman" w:hAnsi="Times New Roman"/>
          <w:sz w:val="18"/>
          <w:szCs w:val="18"/>
          <w:color w:val="auto"/>
        </w:rPr>
        <w:t xml:space="preserve"> for the purposes specified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4768215</wp:posOffset>
            </wp:positionH>
            <wp:positionV relativeFrom="paragraph">
              <wp:posOffset>-221615</wp:posOffset>
            </wp:positionV>
            <wp:extent cx="97282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150" w:lineRule="exact"/>
        <w:rPr>
          <w:sz w:val="20"/>
          <w:szCs w:val="20"/>
          <w:color w:val="auto"/>
        </w:rPr>
      </w:pPr>
    </w:p>
    <w:p>
      <w:pPr>
        <w:ind w:right="12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Neither the Borrower nor any Subsidiary has any Liabilities or obligations of any nature (whether known or unknown, accrued, absolute, contingent or otherwise, and whether due or to become due), whether based on strict liability, negligence, breach of warranty (express or implied), other than Liabilities (a) accrued, reflected or reserved against in the Annual Financial Statements dated December 31, 2021 or (b) that are current liabilities incurred in the ordinary course of business of the Borrower and its Subsidiaries since December 31, 2021.</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Conditions</w:t>
      </w:r>
    </w:p>
    <w:p>
      <w:pPr>
        <w:spacing w:after="0" w:line="108" w:lineRule="exact"/>
        <w:rPr>
          <w:sz w:val="20"/>
          <w:szCs w:val="20"/>
          <w:color w:val="auto"/>
        </w:rPr>
      </w:pPr>
    </w:p>
    <w:p>
      <w:pPr>
        <w:ind w:right="40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obligations of the Lenders to make Loans hereunder shall not become effective until the date on which each of the following conditions is satisfied (or waived):</w:t>
      </w:r>
    </w:p>
    <w:p>
      <w:pPr>
        <w:spacing w:after="0" w:line="65" w:lineRule="exact"/>
        <w:rPr>
          <w:sz w:val="20"/>
          <w:szCs w:val="20"/>
          <w:color w:val="auto"/>
        </w:rPr>
      </w:pPr>
    </w:p>
    <w:p>
      <w:pPr>
        <w:ind w:left="5220" w:right="180" w:hanging="4248"/>
        <w:spacing w:after="0" w:line="435" w:lineRule="auto"/>
        <w:tabs>
          <w:tab w:leader="none" w:pos="121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 Material Adverse Effect on the Borrower and its Subsidiaries, taken as a whole, since June 30, 2022. -61-</w:t>
      </w:r>
    </w:p>
    <w:p>
      <w:pPr>
        <w:sectPr>
          <w:pgSz w:w="11900" w:h="16838" w:orient="portrait"/>
          <w:cols w:equalWidth="0" w:num="1">
            <w:col w:w="10680"/>
          </w:cols>
          <w:pgMar w:left="580" w:top="265" w:right="639" w:bottom="1440" w:gutter="0" w:footer="0" w:header="0"/>
        </w:sectPr>
      </w:pPr>
    </w:p>
    <w:bookmarkStart w:id="383" w:name="page384"/>
    <w:bookmarkEnd w:id="383"/>
    <w:p>
      <w:pPr>
        <w:ind w:left="-20" w:right="120" w:firstLine="972"/>
        <w:spacing w:after="0" w:line="267" w:lineRule="auto"/>
        <w:tabs>
          <w:tab w:leader="none" w:pos="119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Administrative Agent shall have received unaudited consolidated balance sheets and related statements of income and cash flows of the Borrower for the fiscal quarter ending June 30, 2022.</w:t>
      </w:r>
    </w:p>
    <w:p>
      <w:pPr>
        <w:spacing w:after="0" w:line="64" w:lineRule="exact"/>
        <w:rPr>
          <w:rFonts w:ascii="Times New Roman" w:cs="Times New Roman" w:eastAsia="Times New Roman" w:hAnsi="Times New Roman"/>
          <w:sz w:val="18"/>
          <w:szCs w:val="18"/>
          <w:color w:val="auto"/>
        </w:rPr>
      </w:pPr>
    </w:p>
    <w:p>
      <w:pPr>
        <w:ind w:left="-20" w:right="460" w:firstLine="972"/>
        <w:spacing w:after="0" w:line="267" w:lineRule="auto"/>
        <w:tabs>
          <w:tab w:leader="none" w:pos="118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financial projections for the Borrower and its subsidiaries for the three year period following the Effective Date.</w:t>
      </w:r>
    </w:p>
    <w:p>
      <w:pPr>
        <w:spacing w:after="0" w:line="64" w:lineRule="exact"/>
        <w:rPr>
          <w:rFonts w:ascii="Times New Roman" w:cs="Times New Roman" w:eastAsia="Times New Roman" w:hAnsi="Times New Roman"/>
          <w:sz w:val="18"/>
          <w:szCs w:val="18"/>
          <w:color w:val="auto"/>
        </w:rPr>
      </w:pPr>
    </w:p>
    <w:p>
      <w:pPr>
        <w:ind w:left="-20" w:right="100" w:firstLine="972"/>
        <w:spacing w:after="0" w:line="255" w:lineRule="auto"/>
        <w:tabs>
          <w:tab w:leader="none" w:pos="119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from each party hereto either (i) a counterpart of this Agreement signed on behalf of such party or (ii) written evidence satisfactory to the Administrative Agent (which may include telecopy transmission of a signed signature page of this Agreement) that such party has signed a counterpart of this Agreement.</w:t>
      </w:r>
    </w:p>
    <w:p>
      <w:pPr>
        <w:spacing w:after="0" w:line="75" w:lineRule="exact"/>
        <w:rPr>
          <w:rFonts w:ascii="Times New Roman" w:cs="Times New Roman" w:eastAsia="Times New Roman" w:hAnsi="Times New Roman"/>
          <w:sz w:val="18"/>
          <w:szCs w:val="18"/>
          <w:color w:val="auto"/>
        </w:rPr>
      </w:pPr>
    </w:p>
    <w:p>
      <w:pPr>
        <w:ind w:left="-20" w:right="200" w:firstLine="972"/>
        <w:spacing w:after="0" w:line="267" w:lineRule="auto"/>
        <w:tabs>
          <w:tab w:leader="none" w:pos="118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Borrowing Request in substantially the form attached as Exhibit E, which shall have been delivered in accordance with the requirements hereof.</w:t>
      </w:r>
    </w:p>
    <w:p>
      <w:pPr>
        <w:spacing w:after="0" w:line="64" w:lineRule="exact"/>
        <w:rPr>
          <w:rFonts w:ascii="Times New Roman" w:cs="Times New Roman" w:eastAsia="Times New Roman" w:hAnsi="Times New Roman"/>
          <w:sz w:val="18"/>
          <w:szCs w:val="18"/>
          <w:color w:val="auto"/>
        </w:rPr>
      </w:pPr>
    </w:p>
    <w:p>
      <w:pPr>
        <w:ind w:left="1180" w:hanging="228"/>
        <w:spacing w:after="0"/>
        <w:tabs>
          <w:tab w:leader="none" w:pos="11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Confidential Disclosure Letter.</w:t>
      </w:r>
    </w:p>
    <w:p>
      <w:pPr>
        <w:spacing w:after="0" w:line="108" w:lineRule="exact"/>
        <w:rPr>
          <w:rFonts w:ascii="Times New Roman" w:cs="Times New Roman" w:eastAsia="Times New Roman" w:hAnsi="Times New Roman"/>
          <w:sz w:val="18"/>
          <w:szCs w:val="18"/>
          <w:color w:val="auto"/>
        </w:rPr>
      </w:pPr>
    </w:p>
    <w:p>
      <w:pPr>
        <w:ind w:left="-20" w:firstLine="972"/>
        <w:spacing w:after="0" w:line="255" w:lineRule="auto"/>
        <w:tabs>
          <w:tab w:leader="none" w:pos="119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written opinion (addressed to the Administrative Agent and the Lenders and dated the Effective Date) of Cooley LLP, counsel for the Borrower in form reasonably satisfactory to the Administrative Agent, and covering such matters relating to the Loan Parties, the Loan Documents or the Transactions as the Administrative Agent shall reasonably request.</w:t>
      </w:r>
    </w:p>
    <w:p>
      <w:pPr>
        <w:spacing w:after="0" w:line="75" w:lineRule="exact"/>
        <w:rPr>
          <w:rFonts w:ascii="Times New Roman" w:cs="Times New Roman" w:eastAsia="Times New Roman" w:hAnsi="Times New Roman"/>
          <w:sz w:val="18"/>
          <w:szCs w:val="18"/>
          <w:color w:val="auto"/>
        </w:rPr>
      </w:pPr>
    </w:p>
    <w:p>
      <w:pPr>
        <w:ind w:left="1200" w:hanging="248"/>
        <w:spacing w:after="0"/>
        <w:tabs>
          <w:tab w:leader="none" w:pos="12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w:t>
      </w:r>
    </w:p>
    <w:p>
      <w:pPr>
        <w:spacing w:after="0" w:line="108" w:lineRule="exact"/>
        <w:rPr>
          <w:rFonts w:ascii="Times New Roman" w:cs="Times New Roman" w:eastAsia="Times New Roman" w:hAnsi="Times New Roman"/>
          <w:sz w:val="18"/>
          <w:szCs w:val="18"/>
          <w:color w:val="auto"/>
        </w:rPr>
      </w:pPr>
    </w:p>
    <w:p>
      <w:pPr>
        <w:ind w:left="960" w:right="220" w:firstLine="381"/>
        <w:spacing w:after="0" w:line="255" w:lineRule="auto"/>
        <w:tabs>
          <w:tab w:leader="none" w:pos="1559"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articles or certificate of organization or incorporation or comparable document of each Loan Party, certified as of a recent date prior to the Effective Date by the Secretary of State (or comparable public official) of such Person’s jurisdiction of incorporation or formation;</w:t>
      </w:r>
    </w:p>
    <w:p>
      <w:pPr>
        <w:spacing w:after="0" w:line="75" w:lineRule="exact"/>
        <w:rPr>
          <w:rFonts w:ascii="Times New Roman" w:cs="Times New Roman" w:eastAsia="Times New Roman" w:hAnsi="Times New Roman"/>
          <w:sz w:val="18"/>
          <w:szCs w:val="18"/>
          <w:color w:val="auto"/>
        </w:rPr>
      </w:pPr>
    </w:p>
    <w:p>
      <w:pPr>
        <w:ind w:left="960" w:right="180" w:firstLine="381"/>
        <w:spacing w:after="0" w:line="331" w:lineRule="auto"/>
        <w:tabs>
          <w:tab w:leader="none" w:pos="1607"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good standing (or comparable certificate) for each Loan Party, certified as of a recent date prior to the Effective Date by the Secretary of State (or comparable public official) of such Person’s jurisdiction of incorporation or formation; and</w:t>
      </w:r>
    </w:p>
    <w:p>
      <w:pPr>
        <w:spacing w:after="0" w:line="17" w:lineRule="exact"/>
        <w:rPr>
          <w:rFonts w:ascii="Times New Roman" w:cs="Times New Roman" w:eastAsia="Times New Roman" w:hAnsi="Times New Roman"/>
          <w:sz w:val="16"/>
          <w:szCs w:val="16"/>
          <w:color w:val="auto"/>
        </w:rPr>
      </w:pPr>
    </w:p>
    <w:p>
      <w:pPr>
        <w:ind w:left="960" w:right="260" w:firstLine="381"/>
        <w:spacing w:after="0" w:line="281" w:lineRule="auto"/>
        <w:tabs>
          <w:tab w:leader="none" w:pos="1656"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of the Secretary or an Assistant Secretary (or comparable officer) of each Loan Party, dated the Effective Date, certifying (A) that attached thereto is a true and correct copy of (x) the charter, articles or certificate of organization or incorporation or comparable document and (y) bylaws or other organizational or governing documents of such Person as in effect on the Effective Date;</w:t>
      </w:r>
    </w:p>
    <w:p>
      <w:pPr>
        <w:spacing w:after="0" w:line="1" w:lineRule="exact"/>
        <w:rPr>
          <w:rFonts w:ascii="Times New Roman" w:cs="Times New Roman" w:eastAsia="Times New Roman" w:hAnsi="Times New Roman"/>
          <w:sz w:val="16"/>
          <w:szCs w:val="16"/>
          <w:color w:val="auto"/>
        </w:rPr>
      </w:pPr>
    </w:p>
    <w:p>
      <w:pPr>
        <w:ind w:left="960" w:right="60"/>
        <w:spacing w:after="0" w:line="2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that attached thereto are true and correct copies of resolutions duly adopted by the board of directors or other governing body of such Person and continuing in effect, which authorize the execution, delivery and performance by such Person each Loan Document executed or to be executed by such Person and the consummation of the transactions contemplated thereby; and (C) the incumbency, signatures and authority of the officers of such Person authorized to execute, deliver and perform the Loan Documents to be executed by such Person.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680"/>
          </w:cols>
          <w:pgMar w:left="600" w:top="265" w:right="619" w:bottom="1440" w:gutter="0" w:footer="0" w:header="0"/>
        </w:sectPr>
      </w:pPr>
    </w:p>
    <w:bookmarkStart w:id="384" w:name="page385"/>
    <w:bookmarkEnd w:id="384"/>
    <w:p>
      <w:pPr>
        <w:ind w:left="-20" w:right="100" w:firstLine="972"/>
        <w:spacing w:after="0" w:line="251" w:lineRule="auto"/>
        <w:tabs>
          <w:tab w:leader="none" w:pos="115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Administrative Agent shall have received a certificate from a Financial Officer of the Borrower confirming of the absence of any material action, suit, investigation or proceeding, pending or threatened, that is reasonably likely to result in a Material Adverse Effect or could materially affect (i) the ability of the Borrower or any Subsidiary to perform its obligations under the Loan Documents or (ii) the rights and remedies of the Lenders and Agents under the Loan Documents.</w:t>
      </w:r>
    </w:p>
    <w:p>
      <w:pPr>
        <w:spacing w:after="0" w:line="79" w:lineRule="exact"/>
        <w:rPr>
          <w:rFonts w:ascii="Times New Roman" w:cs="Times New Roman" w:eastAsia="Times New Roman" w:hAnsi="Times New Roman"/>
          <w:sz w:val="18"/>
          <w:szCs w:val="18"/>
          <w:color w:val="auto"/>
        </w:rPr>
      </w:pPr>
    </w:p>
    <w:p>
      <w:pPr>
        <w:ind w:left="-20" w:right="480" w:firstLine="972"/>
        <w:spacing w:after="0" w:line="267" w:lineRule="auto"/>
        <w:tabs>
          <w:tab w:leader="none" w:pos="115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in substantially the form attached as Exhibit J hereto, certifying that the Borrower and the Subsidiaries, on a consolidated basis after giving effect to the Transactions, are solvent.</w:t>
      </w:r>
    </w:p>
    <w:p>
      <w:pPr>
        <w:spacing w:after="0" w:line="64" w:lineRule="exact"/>
        <w:rPr>
          <w:rFonts w:ascii="Times New Roman" w:cs="Times New Roman" w:eastAsia="Times New Roman" w:hAnsi="Times New Roman"/>
          <w:sz w:val="18"/>
          <w:szCs w:val="18"/>
          <w:color w:val="auto"/>
        </w:rPr>
      </w:pPr>
    </w:p>
    <w:p>
      <w:pPr>
        <w:ind w:left="-20" w:right="380" w:firstLine="972"/>
        <w:spacing w:after="0" w:line="267" w:lineRule="auto"/>
        <w:tabs>
          <w:tab w:leader="none" w:pos="119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Financial Officer of the Borrower, confirming satisfaction of the conditions set forth in Sections 4.01(o) and (p).</w:t>
      </w:r>
    </w:p>
    <w:p>
      <w:pPr>
        <w:spacing w:after="0" w:line="64" w:lineRule="exact"/>
        <w:rPr>
          <w:rFonts w:ascii="Times New Roman" w:cs="Times New Roman" w:eastAsia="Times New Roman" w:hAnsi="Times New Roman"/>
          <w:sz w:val="18"/>
          <w:szCs w:val="18"/>
          <w:color w:val="auto"/>
        </w:rPr>
      </w:pPr>
    </w:p>
    <w:p>
      <w:pPr>
        <w:ind w:left="-20" w:right="40" w:firstLine="972"/>
        <w:spacing w:after="0" w:line="251" w:lineRule="auto"/>
        <w:tabs>
          <w:tab w:leader="none" w:pos="115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requested at least ten Business Days prior to the Effective Date, the Lenders and the Administrative Agent shall have received, at least five days prior to the Effective Date, a duly executed IRS Form W-9 (or other applicable tax form) and all documentation and other information required by regulatory authorities concerning the Loan Parties under applicable “know your customer” and anti-money laundering rules and regulations, including, without limitation, the USA Patriot Act.</w:t>
      </w:r>
    </w:p>
    <w:p>
      <w:pPr>
        <w:spacing w:after="0" w:line="79" w:lineRule="exact"/>
        <w:rPr>
          <w:rFonts w:ascii="Times New Roman" w:cs="Times New Roman" w:eastAsia="Times New Roman" w:hAnsi="Times New Roman"/>
          <w:sz w:val="18"/>
          <w:szCs w:val="18"/>
          <w:color w:val="auto"/>
        </w:rPr>
      </w:pPr>
    </w:p>
    <w:p>
      <w:pPr>
        <w:ind w:left="-20" w:right="200" w:firstLine="972"/>
        <w:spacing w:after="0" w:line="267" w:lineRule="auto"/>
        <w:tabs>
          <w:tab w:leader="none" w:pos="124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fees and expenses required to be paid on the Effective Date shall have been paid, to the extent invoiced in reasonable detail with supporting documentation, from the proceeds of the initial funding under this Agreement.</w:t>
      </w:r>
    </w:p>
    <w:p>
      <w:pPr>
        <w:spacing w:after="0" w:line="64" w:lineRule="exact"/>
        <w:rPr>
          <w:rFonts w:ascii="Times New Roman" w:cs="Times New Roman" w:eastAsia="Times New Roman" w:hAnsi="Times New Roman"/>
          <w:sz w:val="18"/>
          <w:szCs w:val="18"/>
          <w:color w:val="auto"/>
        </w:rPr>
      </w:pPr>
    </w:p>
    <w:p>
      <w:pPr>
        <w:ind w:left="-20" w:firstLine="972"/>
        <w:spacing w:after="0" w:line="293" w:lineRule="auto"/>
        <w:tabs>
          <w:tab w:leader="none" w:pos="1192"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have, for the benefit of the Lenders, a first priority security interest (subject to Permitted Encumbrances) in all Collateral in which a lien can be perfected by (i) the filing of a Uniform Commercial Code financing statement, and/or (ii) in the case of Equity Interests or other certificated security of the Borrower and the Subsidiary Loan Parties, possession of such Equity Interests or other certificated securities and the Collateral Agent shall have received (i) the duly executed Perfection Certificate and (ii) the duly executed Collateral Agreement.</w:t>
      </w:r>
    </w:p>
    <w:p>
      <w:pPr>
        <w:spacing w:after="0" w:line="46" w:lineRule="exact"/>
        <w:rPr>
          <w:rFonts w:ascii="Times New Roman" w:cs="Times New Roman" w:eastAsia="Times New Roman" w:hAnsi="Times New Roman"/>
          <w:sz w:val="16"/>
          <w:szCs w:val="16"/>
          <w:color w:val="auto"/>
        </w:rPr>
      </w:pPr>
    </w:p>
    <w:p>
      <w:pPr>
        <w:ind w:left="-20" w:right="40" w:firstLine="972"/>
        <w:spacing w:after="0" w:line="248" w:lineRule="auto"/>
        <w:tabs>
          <w:tab w:leader="none" w:pos="119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Loan Party set forth in the Loan Documents shall be true and correct in all material respects (except to the extent any such representation or warranty is qualified by “materially”, “Material Adverse Effect” or a similar term, in which case such representation and warranty shall be true and correct in all respects) on and as of the date of such Borrowing, except to the extent such representations and warranties expressly relate to an earlier date (in which case such representations and warranties shall be true and correct in all material respects (except to the extent any such representation or warranty is qualified by “materially”, “Material Adverse Effect” or a similar term, in which case such representation and warranty shall be true and correct in all respects) as of such earlier date).</w:t>
      </w:r>
    </w:p>
    <w:p>
      <w:pPr>
        <w:spacing w:after="0" w:line="82" w:lineRule="exact"/>
        <w:rPr>
          <w:rFonts w:ascii="Times New Roman" w:cs="Times New Roman" w:eastAsia="Times New Roman" w:hAnsi="Times New Roman"/>
          <w:sz w:val="18"/>
          <w:szCs w:val="18"/>
          <w:color w:val="auto"/>
        </w:rPr>
      </w:pPr>
    </w:p>
    <w:p>
      <w:pPr>
        <w:ind w:left="-20" w:right="20" w:firstLine="972"/>
        <w:spacing w:after="0" w:line="267" w:lineRule="auto"/>
        <w:tabs>
          <w:tab w:leader="none" w:pos="119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and immediately after giving effect to the Borrowing of the </w:t>
      </w:r>
      <w:r>
        <w:rPr>
          <w:rFonts w:ascii="Times New Roman" w:cs="Times New Roman" w:eastAsia="Times New Roman" w:hAnsi="Times New Roman"/>
          <w:sz w:val="18"/>
          <w:szCs w:val="18"/>
          <w:u w:val="single" w:color="auto"/>
          <w:color w:val="0000FF"/>
        </w:rPr>
        <w:t>Effective Date</w:t>
      </w:r>
      <w:r>
        <w:rPr>
          <w:rFonts w:ascii="Times New Roman" w:cs="Times New Roman" w:eastAsia="Times New Roman" w:hAnsi="Times New Roman"/>
          <w:sz w:val="18"/>
          <w:szCs w:val="18"/>
          <w:color w:val="auto"/>
        </w:rPr>
        <w:t xml:space="preserve"> Term Loans on the Effective Date, no Default or Event of Default shall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-138430</wp:posOffset>
            </wp:positionV>
            <wp:extent cx="64198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41985" cy="825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700"/>
          </w:cols>
          <w:pgMar w:left="600" w:top="265" w:right="59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Administrative Agent shall notify the Borrower and the Lenders of the Effective Date, and such notice shall be conclusive and binding.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13" w:lineRule="exact"/>
        <w:rPr>
          <w:sz w:val="20"/>
          <w:szCs w:val="20"/>
          <w:color w:val="auto"/>
        </w:rPr>
      </w:pPr>
    </w:p>
    <w:p>
      <w:pPr>
        <w:ind w:right="160" w:firstLine="428"/>
        <w:spacing w:after="0" w:line="267"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expenses and other amounts payable under any Loan Document shall have been paid in full, each of the Borrower covenants and agrees with the Lenders that:</w:t>
      </w:r>
    </w:p>
    <w:p>
      <w:pPr>
        <w:spacing w:after="0" w:line="170" w:lineRule="exact"/>
        <w:rPr>
          <w:sz w:val="20"/>
          <w:szCs w:val="20"/>
          <w:color w:val="auto"/>
        </w:rPr>
      </w:pPr>
    </w:p>
    <w:p>
      <w:pPr>
        <w:ind w:right="20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(for distribution to each Lender):</w:t>
      </w:r>
    </w:p>
    <w:p>
      <w:pPr>
        <w:spacing w:after="0" w:line="65" w:lineRule="exact"/>
        <w:rPr>
          <w:sz w:val="20"/>
          <w:szCs w:val="20"/>
          <w:color w:val="auto"/>
        </w:rPr>
      </w:pPr>
    </w:p>
    <w:p>
      <w:pPr>
        <w:ind w:firstLine="972"/>
        <w:spacing w:after="0" w:line="282" w:lineRule="auto"/>
        <w:tabs>
          <w:tab w:leader="none" w:pos="1202"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(x) 150 days after the end of the fiscal year ended December 31, 2022 and (y) 120 days after the end of each fiscal year of the Borrower thereafter, in each case, subject to any SEC Extension (if applicable), its audited consolidated balance sheet as of the end of such fiscal year and statements of operations, changes in stockholders’ equity and cash flows for such fiscal year, and the related notes thereto, and setting forth in each case in comparative form the figures for the previous fiscal year, all reported on by an independent public accountant of recognized national standing (without a “going concern” or like qualification or exception (other than a disclosure, an exception or a qualification solely resulting from (1) the impending maturity of any Indebtedness or (2) an actual Default under the Financial Performance Covenants) and without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56" w:lineRule="exact"/>
        <w:rPr>
          <w:rFonts w:ascii="Times New Roman" w:cs="Times New Roman" w:eastAsia="Times New Roman" w:hAnsi="Times New Roman"/>
          <w:sz w:val="16"/>
          <w:szCs w:val="16"/>
          <w:color w:val="auto"/>
        </w:rPr>
      </w:pPr>
    </w:p>
    <w:p>
      <w:pPr>
        <w:ind w:right="80" w:firstLine="972"/>
        <w:spacing w:after="0" w:line="248" w:lineRule="auto"/>
        <w:tabs>
          <w:tab w:leader="none" w:pos="121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end of each fiscal quarter of the Borrower, commencing with the fiscal quarter ended September 30, 2022, in each case, subject to any SEC Extension (if applicable) its consolidated balance sheet as of the end of such fiscal quarter, and statements of operations and changes in stockholders’ equity, in each case for such fiscal quarter, and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82" w:lineRule="exact"/>
        <w:rPr>
          <w:rFonts w:ascii="Times New Roman" w:cs="Times New Roman" w:eastAsia="Times New Roman" w:hAnsi="Times New Roman"/>
          <w:sz w:val="18"/>
          <w:szCs w:val="18"/>
          <w:color w:val="auto"/>
        </w:rPr>
      </w:pPr>
    </w:p>
    <w:p>
      <w:pPr>
        <w:ind w:right="200" w:firstLine="972"/>
        <w:spacing w:after="0" w:line="267" w:lineRule="auto"/>
        <w:tabs>
          <w:tab w:leader="none" w:pos="120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IPO, within 35 days after the end of each of the first two months of each fiscal quarter of the Borrower, commencing with the month ending August 31, 2022, monthly reports;</w:t>
      </w:r>
    </w:p>
    <w:p>
      <w:pPr>
        <w:spacing w:after="0" w:line="64" w:lineRule="exact"/>
        <w:rPr>
          <w:rFonts w:ascii="Times New Roman" w:cs="Times New Roman" w:eastAsia="Times New Roman" w:hAnsi="Times New Roman"/>
          <w:sz w:val="18"/>
          <w:szCs w:val="18"/>
          <w:color w:val="auto"/>
        </w:rPr>
      </w:pPr>
    </w:p>
    <w:p>
      <w:pPr>
        <w:ind w:firstLine="972"/>
        <w:spacing w:after="0" w:line="251" w:lineRule="auto"/>
        <w:tabs>
          <w:tab w:leader="none" w:pos="121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Section 5.01(a) or in the case of the first three fiscal quarters of each fiscal year in 5.01(b), a certificate of a Financial Officer (i) certifying as to whether a Default or Event of Default has occurred and, if a Default or Event of Default has occurred, specifying the details thereof and any action taken or proposed to be taken with respect thereto and (ii) setting forth reasonably detailed calculations demonstrating compliance with the Financial Performance Covenants;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700"/>
          </w:cols>
          <w:pgMar w:left="580" w:top="265" w:right="619" w:bottom="1440" w:gutter="0" w:footer="0" w:header="0"/>
        </w:sectPr>
      </w:pPr>
    </w:p>
    <w:bookmarkStart w:id="386" w:name="page387"/>
    <w:bookmarkEnd w:id="386"/>
    <w:p>
      <w:pPr>
        <w:ind w:right="60" w:firstLine="972"/>
        <w:spacing w:after="0" w:line="255" w:lineRule="auto"/>
        <w:tabs>
          <w:tab w:leader="none" w:pos="120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within 60 days after the commencement of each fiscal year of the Borrower, a detailed consolidated budget for such fiscal year (including a projected consolidated balance sheet and consolidated statements of projected operations and cash flows as of the end of and for such fiscal year);</w:t>
      </w:r>
    </w:p>
    <w:p>
      <w:pPr>
        <w:spacing w:after="0" w:line="75"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right="140" w:firstLine="972"/>
        <w:spacing w:after="0" w:line="267" w:lineRule="auto"/>
        <w:tabs>
          <w:tab w:leader="none" w:pos="121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the Borrower or any Subsidiary with the SEC or with any national securities exchange, as applicable;</w:t>
      </w:r>
    </w:p>
    <w:p>
      <w:pPr>
        <w:spacing w:after="0" w:line="64"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08" w:lineRule="exact"/>
        <w:rPr>
          <w:rFonts w:ascii="Times New Roman" w:cs="Times New Roman" w:eastAsia="Times New Roman" w:hAnsi="Times New Roman"/>
          <w:sz w:val="18"/>
          <w:szCs w:val="18"/>
          <w:color w:val="auto"/>
        </w:rPr>
      </w:pPr>
    </w:p>
    <w:p>
      <w:pPr>
        <w:ind w:right="60" w:firstLine="972"/>
        <w:spacing w:after="0" w:line="255" w:lineRule="auto"/>
        <w:tabs>
          <w:tab w:leader="none" w:pos="117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written request therefor, such other information regarding the operations, business affairs and financial condition of the Borrower, any Subsidiary or any Plan, or compliance with the terms of any Loan Document, as the Administrative Agent or any Lender through the Administrative Agent may reasonably request, in each case subject to the limitations set forth herein.</w:t>
      </w:r>
    </w:p>
    <w:p>
      <w:pPr>
        <w:spacing w:after="0" w:line="18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this Section 5.01 may be satisfied with respect to information of the Borrower or any Subsidiary by furnishing the applicable financial statements of the Borrower (or any direct or indirect parent of the Borrower) Form 10-K, 10-Q or 8-K,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clauses (A) and (B), (i) to the extent such information relates to a parent of the Borrower, such information is accompanied by consolidating information that explains in reasonable detail the differences between the information relating to the Borrower (or such parent), on the one hand, and the information relating to the Borrower on a standalone basis, on the other hand and (ii) to the extent such information is in lieu of information required to be provided under Section 5.01(a), such materials are accompanied by a report and opinion of PricewaterhouseCoopers LLP or such other firm reasonably acceptable to the Administrative Agent or any other independent registered public accounting firm reasonably determined to be of nationally recognized standing, which report and opinion shall be prepared in accordance with generally accepted auditing standards and shall not be subject to any “going concern” or like qualification or exception (other than solely resulting from (1) the impending maturity of any Indebtedness or (2) an Default under the Financial Performance Covenants) or any qualification or exception as to the scope of such audit.</w:t>
      </w:r>
    </w:p>
    <w:p>
      <w:pPr>
        <w:spacing w:after="0" w:line="196" w:lineRule="exact"/>
        <w:rPr>
          <w:sz w:val="20"/>
          <w:szCs w:val="20"/>
          <w:color w:val="auto"/>
        </w:rPr>
      </w:pPr>
    </w:p>
    <w:p>
      <w:pPr>
        <w:jc w:val="both"/>
        <w:ind w:right="260"/>
        <w:spacing w:after="0" w:line="302" w:lineRule="auto"/>
        <w:rPr>
          <w:sz w:val="20"/>
          <w:szCs w:val="20"/>
          <w:color w:val="auto"/>
        </w:rPr>
      </w:pPr>
      <w:r>
        <w:rPr>
          <w:rFonts w:ascii="Times New Roman" w:cs="Times New Roman" w:eastAsia="Times New Roman" w:hAnsi="Times New Roman"/>
          <w:sz w:val="16"/>
          <w:szCs w:val="16"/>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on which the Borrower notifies the Administrative Agent that it has filed such documents on the SEC’s EDGAR system (or any successor system adopted by the SEC).</w:t>
      </w:r>
    </w:p>
    <w:p>
      <w:pPr>
        <w:spacing w:after="0" w:line="1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Notwithstanding anything to the contrary herein, neither Borrower nor any Subsidiary shall be required to deliver, disclose, permit the inspection, examination or making of copies of or excerpts from, or any discussion of, any document, information, or other matter (i) that constitutes a non-financial trade secret or non-financial proprietary information, (ii) in respect of which disclosure to the Administrative Agent (or any Lender (or their respective representatives or contractors)) is prohibited by applicable law, fiduciary duty or binding agreement, (iii) that is subject to attorney-client or similar privilege or constitutes attorney work product or (iv) with respect to which any Loan Party or any Subsidiary owes confidentiality obligations (to the extent not created in contemplation of such Loan Party’s or Subsidiary’s obligations under this Section 5.01) to any third party.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20"/>
          </w:cols>
          <w:pgMar w:left="580" w:top="266" w:right="599" w:bottom="1440" w:gutter="0" w:footer="0" w:header="0"/>
        </w:sectPr>
      </w:pPr>
    </w:p>
    <w:bookmarkStart w:id="387" w:name="page388"/>
    <w:bookmarkEnd w:id="387"/>
    <w:p>
      <w:pPr>
        <w:ind w:right="380" w:firstLine="964"/>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 written notice of the following promptly after obtaining knowledge thereof:</w:t>
      </w:r>
    </w:p>
    <w:p>
      <w:pPr>
        <w:spacing w:after="0" w:line="65" w:lineRule="exact"/>
        <w:rPr>
          <w:sz w:val="20"/>
          <w:szCs w:val="20"/>
          <w:color w:val="auto"/>
        </w:rPr>
      </w:pPr>
    </w:p>
    <w:p>
      <w:pPr>
        <w:ind w:right="300" w:firstLine="972"/>
        <w:spacing w:after="0" w:line="267" w:lineRule="auto"/>
        <w:tabs>
          <w:tab w:leader="none" w:pos="120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or Event of Default, which notice shall specify the nature thereof, the period of existence thereof and what action the applicable Loan Parties propose to take with respect thereto;</w:t>
      </w:r>
    </w:p>
    <w:p>
      <w:pPr>
        <w:spacing w:after="0" w:line="64" w:lineRule="exact"/>
        <w:rPr>
          <w:rFonts w:ascii="Times New Roman" w:cs="Times New Roman" w:eastAsia="Times New Roman" w:hAnsi="Times New Roman"/>
          <w:sz w:val="18"/>
          <w:szCs w:val="18"/>
          <w:color w:val="auto"/>
        </w:rPr>
      </w:pPr>
    </w:p>
    <w:p>
      <w:pPr>
        <w:ind w:right="20" w:firstLine="972"/>
        <w:spacing w:after="0" w:line="246" w:lineRule="auto"/>
        <w:tabs>
          <w:tab w:leader="none" w:pos="121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five (5) Business Days after an authorized officer of any Loan Party or any of its Subsidiaries obtains knowledge thereof, notice from an authorized officer of the Borrower of (i) the commencement of, or any material development in, any litigation, action, proceeding or labor controversy or proceeding affecting any Loan Party or any Subsidiary of any Loan Party or its respective property (including in respect of Environmental Laws and the Borrower’s and its Subsidiaries’ intellectual property) (A) in which the amount of damages could reasonably be expected to exceed $5,000,000, (B) which is reasonably likely to result in a Material Adverse Effect, or (C) which purports to affect the legality, validity or enforceability of any Loan Document or (ii) the occurrence of any material adverse development with respect to any litigation, action, proceeding or labor controversy described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and, in each case together with a statement of an authorized officer of the Borrower, which notice shall specify the nature thereof, and what actions the applicable Loan Parties propose to take with respect thereto, and, to the extent the Collateral Agent requests, copies of all documentation related thereto;</w:t>
      </w:r>
    </w:p>
    <w:p>
      <w:pPr>
        <w:spacing w:after="0" w:line="86"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which could reasonably be expected to result in a Material Adverse Effect;</w:t>
      </w:r>
    </w:p>
    <w:p>
      <w:pPr>
        <w:spacing w:after="0" w:line="108" w:lineRule="exact"/>
        <w:rPr>
          <w:rFonts w:ascii="Times New Roman" w:cs="Times New Roman" w:eastAsia="Times New Roman" w:hAnsi="Times New Roman"/>
          <w:sz w:val="18"/>
          <w:szCs w:val="18"/>
          <w:color w:val="auto"/>
        </w:rPr>
      </w:pPr>
    </w:p>
    <w:p>
      <w:pPr>
        <w:ind w:right="60" w:firstLine="972"/>
        <w:spacing w:after="0" w:line="293" w:lineRule="auto"/>
        <w:tabs>
          <w:tab w:leader="none" w:pos="1212"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five (5) Business Days after any Loan Party obtains knowledge of the occurrence of a material breach or default or notice of termination by any party under, or material amendment entered into by any party to, any document or agreement in respect of Subordinated Indebtedness (including, without limitation, the Google Note), a statement of an authorized officer of the Borrower setting forth details of such material breach or default or notice of termination and the actions taken or to be taken with respect thereto and, if applicable, a copy of such amendment;</w:t>
      </w:r>
    </w:p>
    <w:p>
      <w:pPr>
        <w:spacing w:after="0" w:line="46" w:lineRule="exact"/>
        <w:rPr>
          <w:rFonts w:ascii="Times New Roman" w:cs="Times New Roman" w:eastAsia="Times New Roman" w:hAnsi="Times New Roman"/>
          <w:sz w:val="16"/>
          <w:szCs w:val="16"/>
          <w:color w:val="auto"/>
        </w:rPr>
      </w:pPr>
    </w:p>
    <w:p>
      <w:pPr>
        <w:ind w:firstLine="972"/>
        <w:spacing w:after="0" w:line="267" w:lineRule="auto"/>
        <w:tabs>
          <w:tab w:leader="none" w:pos="120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receipt thereof, copies of all “management letters” submitted to any Loan Party by the independent public accountants referred to in Section 5.01 in connection with each audit made by such accountants;</w:t>
      </w:r>
    </w:p>
    <w:p>
      <w:pPr>
        <w:spacing w:after="0" w:line="64" w:lineRule="exact"/>
        <w:rPr>
          <w:rFonts w:ascii="Times New Roman" w:cs="Times New Roman" w:eastAsia="Times New Roman" w:hAnsi="Times New Roman"/>
          <w:sz w:val="18"/>
          <w:szCs w:val="18"/>
          <w:color w:val="auto"/>
        </w:rPr>
      </w:pPr>
    </w:p>
    <w:p>
      <w:pPr>
        <w:jc w:val="both"/>
        <w:ind w:right="100" w:firstLine="972"/>
        <w:spacing w:after="0" w:line="255" w:lineRule="auto"/>
        <w:tabs>
          <w:tab w:leader="none" w:pos="1183"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becoming aware thereof, notice (whether involuntary or voluntary) of the bankruptcy, insolvency, reorganization of any Loan Party, or the appointment of any trustee in connection with or anticipation of any such occurrence, or the taking of any step by any Person in furtherance of any such action or occurrence;</w:t>
      </w:r>
    </w:p>
    <w:p>
      <w:pPr>
        <w:spacing w:after="0" w:line="75" w:lineRule="exact"/>
        <w:rPr>
          <w:rFonts w:ascii="Times New Roman" w:cs="Times New Roman" w:eastAsia="Times New Roman" w:hAnsi="Times New Roman"/>
          <w:sz w:val="18"/>
          <w:szCs w:val="18"/>
          <w:color w:val="auto"/>
        </w:rPr>
      </w:pPr>
    </w:p>
    <w:p>
      <w:pPr>
        <w:ind w:right="180" w:firstLine="972"/>
        <w:spacing w:after="0" w:line="281" w:lineRule="auto"/>
        <w:tabs>
          <w:tab w:leader="none" w:pos="1212"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upon the receipt thereof, any written notice received by the Borrower or any Subsidiary that the FDA or other comparable Governmental Authority (including any Public Health Regulatory Agency) is (i) limiting, suspending or revoking any Registration of the Borrower or any Subsidiary, (ii) changing the market classification or labeling of the products of the Borrower or any Subsidiary under any such Registration,</w:t>
      </w:r>
    </w:p>
    <w:p>
      <w:pPr>
        <w:spacing w:after="0" w:line="1"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of the foregoing, or (iv) considering or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680"/>
          </w:cols>
          <w:pgMar w:left="580" w:top="265" w:right="639" w:bottom="1440" w:gutter="0" w:footer="0" w:header="0"/>
        </w:sectPr>
      </w:pPr>
    </w:p>
    <w:bookmarkStart w:id="388" w:name="page389"/>
    <w:bookmarkEnd w:id="388"/>
    <w:p>
      <w:pPr>
        <w:ind w:right="4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implementing any other such regulatory action either directly or indirectly involving the Borrower or any Subsidiary or their products, except where the regulatory action is focused on the further manufacturing, processing, packaging/repackaging, labeling/relabeling, marketing, use, or distribution of products by customers of the Borrower or any Subsidiary or other downstream purchasers or recipients;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the foregoing clauses (i) through (iv), where such action is not reasonably likely to result in (x) an obligation in excess of $5,000,000, individually or in the aggregate, or (y) a Material Adverse Effect;</w:t>
      </w:r>
    </w:p>
    <w:p>
      <w:pPr>
        <w:spacing w:after="0" w:line="82" w:lineRule="exact"/>
        <w:rPr>
          <w:sz w:val="20"/>
          <w:szCs w:val="20"/>
          <w:color w:val="auto"/>
        </w:rPr>
      </w:pPr>
    </w:p>
    <w:p>
      <w:pPr>
        <w:ind w:firstLine="972"/>
        <w:spacing w:after="0" w:line="245" w:lineRule="auto"/>
        <w:tabs>
          <w:tab w:leader="none" w:pos="121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receipt thereof, (i) any FDA Section 305 notice of hearing before report of criminal violation (21 U.S.C. § 335) or other written notice regarding the planned or actual institution of criminal proceedings against the Borrower or any Subsidiary, (ii) any written notice from any Governmental Authority proposing or threatening that any product of the Borrower or any Subsidiary will become the subject of seizure, embargo, withdrawal of marketing authorization, recall, detention, or suspension of manufacturing, (iii) any FDA warning letter, untitled letter, or Form FDA 483 notice of inspectional observations, and/or other similar written notice, complaint or inquiry made by the FDA or any comparable Governmental Authority (including any Public Health Regulatory Agency) asserting that the manufacture, distribution, marketing or sale of the products of the Borrower or any Subsidiary is not in compliance with any applicable law, (iv) any written notice asserting that a product of the Borrower or any Subsidiary has been or is being seized, embargoed, withdrawn, recalled, detained, or subject to a suspension of manufacturing by any Governmental Authority, or (v) any written notice of the commencement, or the threatened commencement, of any proceedings in the United States or any other applicable jurisdiction seeking the withdrawal, recall, suspension, import detention, or seizure of any product of any of the Borrower or any Subsidiary, except, in each case of the foregoing clauses (i) through (v), where such action could not reasonably be expected to result in (x) an obligation in excess of $5,000,000, individually or in the aggregate, or (y) a Material Adverse Effect;</w:t>
      </w:r>
    </w:p>
    <w:p>
      <w:pPr>
        <w:spacing w:after="0" w:line="90" w:lineRule="exact"/>
        <w:rPr>
          <w:rFonts w:ascii="Times New Roman" w:cs="Times New Roman" w:eastAsia="Times New Roman" w:hAnsi="Times New Roman"/>
          <w:sz w:val="18"/>
          <w:szCs w:val="18"/>
          <w:color w:val="auto"/>
        </w:rPr>
      </w:pPr>
    </w:p>
    <w:p>
      <w:pPr>
        <w:ind w:right="20" w:firstLine="972"/>
        <w:spacing w:after="0" w:line="251" w:lineRule="auto"/>
        <w:tabs>
          <w:tab w:leader="none" w:pos="117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information pursuant to Section 5.01(a), (b) or (c), information regarding any material amendment to the organizational documents of any Loan Party or changes in accounting or financial reporting practices, fiscal years or fiscal quarters of the Loan Parties, a certificate, certifying to the extent of any change from a prior certification, from an authorized officer of the Borrower notifying the Agents of such amendment and attaching thereto any relevant documentation in connection therewith; and</w:t>
      </w:r>
    </w:p>
    <w:p>
      <w:pPr>
        <w:spacing w:after="0" w:line="79" w:lineRule="exact"/>
        <w:rPr>
          <w:rFonts w:ascii="Times New Roman" w:cs="Times New Roman" w:eastAsia="Times New Roman" w:hAnsi="Times New Roman"/>
          <w:sz w:val="18"/>
          <w:szCs w:val="18"/>
          <w:color w:val="auto"/>
        </w:rPr>
      </w:pPr>
    </w:p>
    <w:p>
      <w:pPr>
        <w:ind w:left="1180" w:hanging="208"/>
        <w:spacing w:after="0"/>
        <w:tabs>
          <w:tab w:leader="none" w:pos="11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development that results in, or is reasonably likely, individually or in the aggregate, to result in, a Material Adverse Effect.</w:t>
      </w:r>
    </w:p>
    <w:p>
      <w:pPr>
        <w:spacing w:after="0" w:line="236" w:lineRule="exact"/>
        <w:rPr>
          <w:sz w:val="20"/>
          <w:szCs w:val="20"/>
          <w:color w:val="auto"/>
        </w:rPr>
      </w:pPr>
    </w:p>
    <w:p>
      <w:pPr>
        <w:ind w:right="380"/>
        <w:spacing w:after="0" w:line="331" w:lineRule="auto"/>
        <w:rPr>
          <w:sz w:val="20"/>
          <w:szCs w:val="20"/>
          <w:color w:val="auto"/>
        </w:rPr>
      </w:pPr>
      <w:r>
        <w:rPr>
          <w:rFonts w:ascii="Times New Roman" w:cs="Times New Roman" w:eastAsia="Times New Roman" w:hAnsi="Times New Roman"/>
          <w:sz w:val="16"/>
          <w:szCs w:val="16"/>
          <w:color w:val="auto"/>
        </w:rPr>
        <w:t>Each notice delivered under this Section 5.02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Information Regarding Collateral</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20" w:firstLine="972"/>
        <w:spacing w:after="0" w:line="249" w:lineRule="auto"/>
        <w:tabs>
          <w:tab w:leader="none" w:pos="120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furnish to the Collateral Agent prompt written notice (but in no event later than 10 days following such change) of any change (i) in any Loan Party’s legal name, (ii) in the jurisdiction of incorporation or organization of any Loan Party or (iii) in any Loan Party’s organizational identification number. The Borrower agrees not to effect or permit any change referred to in the preceding sentence unless all filings have been made under the Uniform Commercial Code or otherwise that are required in order for the Collateral Agent to continue at all times following such change to have a valid, legal and perfected security interest in all the Collateral.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700"/>
          </w:cols>
          <w:pgMar w:left="580" w:top="265" w:right="619" w:bottom="1440" w:gutter="0" w:footer="0" w:header="0"/>
        </w:sectPr>
      </w:pPr>
    </w:p>
    <w:bookmarkStart w:id="389" w:name="page390"/>
    <w:bookmarkEnd w:id="389"/>
    <w:p>
      <w:pPr>
        <w:ind w:firstLine="972"/>
        <w:spacing w:after="0" w:line="251" w:lineRule="auto"/>
        <w:tabs>
          <w:tab w:leader="none" w:pos="121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Each year, at the time of delivery of annual financial statements pursuant to Section 5.01(a), the Borrower shall deliver to the Collateral Agent a certificate executed by a Financial Officer of the Borrower setting forth the information required pursuant to the Perfection Certificate or confirming that there has been no change in such information since the date of the Perfection Certificate delivered on the Effective Date or the date of the most recent certificate delivered pursuant to this Section 5.03.</w:t>
      </w:r>
    </w:p>
    <w:p>
      <w:pPr>
        <w:spacing w:after="0" w:line="184" w:lineRule="exact"/>
        <w:rPr>
          <w:sz w:val="20"/>
          <w:szCs w:val="20"/>
          <w:color w:val="auto"/>
        </w:rPr>
      </w:pPr>
    </w:p>
    <w:p>
      <w:pPr>
        <w:ind w:right="40" w:firstLine="964"/>
        <w:spacing w:after="0" w:line="279"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u w:val="single" w:color="auto"/>
          <w:color w:val="auto"/>
        </w:rPr>
        <w:t>Existence; Conduct of Business; Public Health Laws</w:t>
      </w:r>
      <w:r>
        <w:rPr>
          <w:rFonts w:ascii="Times New Roman" w:cs="Times New Roman" w:eastAsia="Times New Roman" w:hAnsi="Times New Roman"/>
          <w:sz w:val="16"/>
          <w:szCs w:val="16"/>
          <w:color w:val="auto"/>
        </w:rPr>
        <w:t xml:space="preserve">. The Borrower will, and will cause each of the Subsidiaries to, do or cause to be done all things necessary to preserve, renew and keep in full force and effect its legal existence and the rights, qualifications, permits, approvals, accreditations, authorizations, licenses, franchises, patents, copyrights, trademarks and trade names material to the conduct of its business;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prohibit any merger, consolidation, liquidation or dissolution permitted under Section 6.03. Without limiting the generality of the foregoing, the Borrower will comply, and will cause each other Loan Party to comply, with all applicable Health Care Laws and Public Health Laws relating to the operation of such Person’s business, except where non-compliance is not reasonably likely to result in, individually or in the aggregate, Material Regulatory Liabilities. All products developed, manufactured, tested, investigated, distributed or marketed by or on behalf of the Borrower and its Subsidiaries that are subject to the jurisdiction of the FDA or any comparable Governmental Authority shall be developed, tested, manufactured, investigated, distributed and marketed in compliance with the applicable Public Health Laws and any other applicable Requirement of Law, including, without limitation, pre-market notification, good manufacturing practices, labeling, advertising, record-keeping, and adverse event reporting, except where the failure to comply is not reasonably likely to result, either individually or in the aggregate, in Material Regulatory Liabilities.</w:t>
      </w:r>
    </w:p>
    <w:p>
      <w:pPr>
        <w:spacing w:after="0" w:line="168" w:lineRule="exact"/>
        <w:rPr>
          <w:sz w:val="20"/>
          <w:szCs w:val="20"/>
          <w:color w:val="auto"/>
        </w:rPr>
      </w:pPr>
    </w:p>
    <w:p>
      <w:pPr>
        <w:jc w:val="both"/>
        <w:ind w:right="180" w:firstLine="964"/>
        <w:spacing w:after="0" w:line="293" w:lineRule="auto"/>
        <w:rPr>
          <w:sz w:val="20"/>
          <w:szCs w:val="20"/>
          <w:color w:val="auto"/>
        </w:rPr>
      </w:pPr>
      <w:r>
        <w:rPr>
          <w:rFonts w:ascii="Times New Roman" w:cs="Times New Roman" w:eastAsia="Times New Roman" w:hAnsi="Times New Roman"/>
          <w:sz w:val="16"/>
          <w:szCs w:val="16"/>
          <w:color w:val="auto"/>
        </w:rPr>
        <w:t xml:space="preserve">SECTION 5.05. </w:t>
      </w:r>
      <w:r>
        <w:rPr>
          <w:rFonts w:ascii="Times New Roman" w:cs="Times New Roman" w:eastAsia="Times New Roman" w:hAnsi="Times New Roman"/>
          <w:sz w:val="16"/>
          <w:szCs w:val="16"/>
          <w:u w:val="single" w:color="auto"/>
          <w:color w:val="auto"/>
        </w:rPr>
        <w:t>Payment of Taxes</w:t>
      </w:r>
      <w:r>
        <w:rPr>
          <w:rFonts w:ascii="Times New Roman" w:cs="Times New Roman" w:eastAsia="Times New Roman" w:hAnsi="Times New Roman"/>
          <w:sz w:val="16"/>
          <w:szCs w:val="16"/>
          <w:color w:val="auto"/>
        </w:rPr>
        <w:t>. The Borrower will, and will cause each of the Subsidiaries to, pay its Tax liabilities, before the same shall become delinquent or in default, except where (a) the validity or amount thereof is being contested in good faith by appropriate proceedings and the Borrower or such Subsidiary has set aside on its books adequate reserves with respect thereto in accordance with GAAP or (b) the failure to make payment pending such contest is not reasonably likely to, individually or in the aggregate, result in a Material Adverse Effect.</w:t>
      </w:r>
    </w:p>
    <w:p>
      <w:pPr>
        <w:spacing w:after="0" w:line="152" w:lineRule="exact"/>
        <w:rPr>
          <w:sz w:val="20"/>
          <w:szCs w:val="20"/>
          <w:color w:val="auto"/>
        </w:rPr>
      </w:pPr>
    </w:p>
    <w:p>
      <w:pPr>
        <w:ind w:right="280" w:firstLine="964"/>
        <w:spacing w:after="0" w:line="250"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will, and will cause each of the Subsidiaries to, (a) keep and maintain all tangible property material to the conduct of its business in good working order and condition, ordinary wear and tear and casualty and condemnation excepted and</w:t>
      </w:r>
    </w:p>
    <w:p>
      <w:pPr>
        <w:spacing w:after="0" w:line="1" w:lineRule="exact"/>
        <w:rPr>
          <w:sz w:val="20"/>
          <w:szCs w:val="20"/>
          <w:color w:val="auto"/>
        </w:rPr>
      </w:pPr>
    </w:p>
    <w:p>
      <w:pPr>
        <w:ind w:right="200" w:firstLine="972"/>
        <w:spacing w:after="0" w:line="245" w:lineRule="auto"/>
        <w:tabs>
          <w:tab w:leader="none" w:pos="121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IP Rights owned by the Borrower and its Subsidiaries, maintain, renew, protect and defend such IP Rights that are material to the conduct of the business of the Borrower and its Subsidiaries,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or any Disposition permitted under Section 6.05.</w:t>
      </w:r>
    </w:p>
    <w:p>
      <w:pPr>
        <w:spacing w:after="0" w:line="188" w:lineRule="exact"/>
        <w:rPr>
          <w:sz w:val="20"/>
          <w:szCs w:val="20"/>
          <w:color w:val="auto"/>
        </w:rPr>
      </w:pPr>
    </w:p>
    <w:p>
      <w:pPr>
        <w:ind w:right="160" w:firstLine="964"/>
        <w:spacing w:after="0" w:line="281" w:lineRule="auto"/>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Borrower will, and will cause each of the Subsidiaries to, maintain, with financially sound and reputable insurance companies (which may include self-insurance), (a) insurance in such amounts (with no greater risk retention) and against such risks as are customarily maintained by companies of established repute engaged in the same or similar businesses operating in the same or similar locations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all insurance required to be maintained pursuant to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700"/>
          </w:cols>
          <w:pgMar w:left="580" w:top="265" w:right="619" w:bottom="1440" w:gutter="0" w:footer="0" w:header="0"/>
        </w:sectPr>
      </w:pPr>
    </w:p>
    <w:bookmarkStart w:id="390" w:name="page391"/>
    <w:bookmarkEnd w:id="390"/>
    <w:p>
      <w:pPr>
        <w:spacing w:after="0" w:line="28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Security Documents; each insurance policy maintained by any Loan Party pursuant to this sentence shall name the Collateral Agent as additional insured or loss payee if permitted by law and the Borrower shall use commercially reasonable efforts to cause each such insurance policy to provide that no cancellation, material reduction in amount or material change in coverage thereof shall be effective until at least 30 days (10 days in the case of non-payment) after receipt by the Collateral Agent of written notice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prohibit any merger, consolidation, liquidation or dissolution permitted under Section 6.03. The Borrower will furnish to the Lenders, upon written request of the Administrative Agent, information in reasonable detail as to the insurance so maintained. The Borrower will, with respect to each Mortgaged Property, obtain flood insurance in such total amount as the Administrative Agent or the Required Lenders may from time to time reasonably require (but such amount may be no less than that amount required under the National Flood Insurance Program as set forth in the Flood Disaster Protection Act of 1973, as amended from time to time), if at any time the area in which any improvements located on any Mortgaged Property is designated a “flood hazard area” in any Flood Insurance Rate Map published by the Federal Emergency Management Agency (or any successor agency), and otherwise comply with the National Flood Insurance Program as set forth in the Flood Disaster Protection Act of 1973, as amended from time to time.</w:t>
      </w:r>
    </w:p>
    <w:p>
      <w:pPr>
        <w:spacing w:after="0" w:line="374"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The Borrower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Security Documents.</w:t>
      </w:r>
    </w:p>
    <w:p>
      <w:pPr>
        <w:spacing w:after="0" w:line="187" w:lineRule="exact"/>
        <w:rPr>
          <w:sz w:val="20"/>
          <w:szCs w:val="20"/>
          <w:color w:val="auto"/>
        </w:rPr>
      </w:pPr>
    </w:p>
    <w:p>
      <w:pPr>
        <w:ind w:right="40" w:firstLine="964"/>
        <w:spacing w:after="0" w:line="279" w:lineRule="auto"/>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u w:val="single" w:color="auto"/>
          <w:color w:val="auto"/>
        </w:rPr>
        <w:t>Books and Records; Inspection and Audit Rights</w:t>
      </w:r>
      <w:r>
        <w:rPr>
          <w:rFonts w:ascii="Times New Roman" w:cs="Times New Roman" w:eastAsia="Times New Roman" w:hAnsi="Times New Roman"/>
          <w:sz w:val="16"/>
          <w:szCs w:val="16"/>
          <w:color w:val="auto"/>
        </w:rPr>
        <w:t>. The Borrower will, and will cause each of the Subsidiaries to, keep proper books of record and account in which full, true and correct entries are made of all dealings and transactions in relation to its business and activities. The Borrower will, and will cause each of the Subsidiaries to, permit any representatives designated by the Administrative Agent, upon reasonable prior notice, to visit and inspect its properties during normal business hours, to examine and make extracts from its books and records, including any information relating to actual or potential compliance with or liability under Environmental Laws, and to discuss its affairs, finances and condition with its officers and independent accountants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Borrower shall be provided the opportunity to participate in any such discussions with its independent accountants), all at such reasonable times and as often as reasonably requested;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Administrative Agent shall not exercise such rights more often than one time during any calendar year absent the continuance of an Event of Default. Notwithstanding anything to the contrary in this Section 5.09, none of the Borrower nor any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(it being understood, in the case of clauses</w:t>
      </w:r>
    </w:p>
    <w:p>
      <w:pPr>
        <w:spacing w:after="0" w:line="186" w:lineRule="exact"/>
        <w:rPr>
          <w:sz w:val="20"/>
          <w:szCs w:val="20"/>
          <w:color w:val="auto"/>
        </w:rPr>
      </w:pPr>
    </w:p>
    <w:p>
      <w:pPr>
        <w:ind w:right="220" w:firstLine="8"/>
        <w:spacing w:after="0" w:line="247" w:lineRule="auto"/>
        <w:tabs>
          <w:tab w:leader="none" w:pos="25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that the Borrower shall use its commercially reasonable efforts to communicate any requested information in a way that would not violate the applicable law or agreement or waive the applicable privilege).</w:t>
      </w:r>
    </w:p>
    <w:p>
      <w:pPr>
        <w:spacing w:after="0" w:line="186" w:lineRule="exact"/>
        <w:rPr>
          <w:sz w:val="20"/>
          <w:szCs w:val="20"/>
          <w:color w:val="auto"/>
        </w:rPr>
      </w:pPr>
    </w:p>
    <w:p>
      <w:pPr>
        <w:ind w:right="4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of the Subsidiaries to comply with all Requirements of Law, including ERISA, Environmental Laws, Health Care Laws and Public Health Laws applicable to it, its operations and all property owned, operated and leased by any of them, except where the failure to do so, individually or in the aggregate, is not reasonably likely to result in a Material Adverse Effect.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720"/>
          </w:cols>
          <w:pgMar w:left="580" w:top="265" w:right="599" w:bottom="1440" w:gutter="0" w:footer="0" w:header="0"/>
        </w:sectPr>
      </w:pPr>
    </w:p>
    <w:bookmarkStart w:id="391" w:name="page392"/>
    <w:bookmarkEnd w:id="391"/>
    <w:p>
      <w:pPr>
        <w:ind w:right="220" w:firstLine="964"/>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5.11. </w:t>
      </w:r>
      <w:r>
        <w:rPr>
          <w:rFonts w:ascii="Times New Roman" w:cs="Times New Roman" w:eastAsia="Times New Roman" w:hAnsi="Times New Roman"/>
          <w:sz w:val="16"/>
          <w:szCs w:val="16"/>
          <w:u w:val="single" w:color="auto"/>
          <w:color w:val="auto"/>
        </w:rPr>
        <w:t>Use of Proceeds</w:t>
      </w:r>
      <w:r>
        <w:rPr>
          <w:rFonts w:ascii="Times New Roman" w:cs="Times New Roman" w:eastAsia="Times New Roman" w:hAnsi="Times New Roman"/>
          <w:sz w:val="16"/>
          <w:szCs w:val="16"/>
          <w:color w:val="auto"/>
        </w:rPr>
        <w:t xml:space="preserve">. The proceeds of the </w:t>
      </w:r>
      <w:r>
        <w:rPr>
          <w:rFonts w:ascii="Times New Roman" w:cs="Times New Roman" w:eastAsia="Times New Roman" w:hAnsi="Times New Roman"/>
          <w:sz w:val="16"/>
          <w:szCs w:val="16"/>
          <w:u w:val="single" w:color="auto"/>
          <w:color w:val="0000FF"/>
        </w:rPr>
        <w:t>Effective Date</w:t>
      </w:r>
      <w:r>
        <w:rPr>
          <w:rFonts w:ascii="Times New Roman" w:cs="Times New Roman" w:eastAsia="Times New Roman" w:hAnsi="Times New Roman"/>
          <w:sz w:val="16"/>
          <w:szCs w:val="16"/>
          <w:color w:val="auto"/>
        </w:rPr>
        <w:t xml:space="preserve"> Term Loans shall be used by the Borrower, solely (a) for working capital and general corporate purposes, (b) to finance growth initiatives, (c) to pay for operating expenses and (d) to pay the Transaction Costs. </w:t>
      </w:r>
      <w:r>
        <w:rPr>
          <w:rFonts w:ascii="Times New Roman" w:cs="Times New Roman" w:eastAsia="Times New Roman" w:hAnsi="Times New Roman"/>
          <w:sz w:val="16"/>
          <w:szCs w:val="16"/>
          <w:u w:val="single" w:color="auto"/>
          <w:color w:val="0000FF"/>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proceeds of the First Amendment Effective Date Term Loans shall be used by the Borrower for (a)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-256540</wp:posOffset>
            </wp:positionV>
            <wp:extent cx="64198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41985" cy="8255"/>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-123190</wp:posOffset>
            </wp:positionV>
            <wp:extent cx="1752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5260" cy="8255"/>
                    </a:xfrm>
                    <a:prstGeom prst="rect">
                      <a:avLst/>
                    </a:prstGeom>
                    <a:noFill/>
                  </pic:spPr>
                </pic:pic>
              </a:graphicData>
            </a:graphic>
          </wp:anchor>
        </w:drawing>
      </w:r>
    </w:p>
    <w:p>
      <w:pPr>
        <w:ind w:right="80" w:firstLine="8"/>
        <w:spacing w:after="0" w:line="245" w:lineRule="auto"/>
        <w:tabs>
          <w:tab w:leader="none" w:pos="248" w:val="left"/>
        </w:tabs>
        <w:numPr>
          <w:ilvl w:val="0"/>
          <w:numId w:val="24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to finance growth initiatives, (c) to pay for operating expenses and (d) to pay the costs, fees and expenses in connection with the consummation of the First 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No part of the proceeds of any Loan will be used, whether directly or indirectly, for any purpose that entails a violation of any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Regulations of the Board, including Regulations T, U and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654431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5443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665226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9753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168" w:lineRule="exact"/>
        <w:rPr>
          <w:sz w:val="20"/>
          <w:szCs w:val="20"/>
          <w:color w:val="auto"/>
        </w:rPr>
      </w:pPr>
    </w:p>
    <w:p>
      <w:pPr>
        <w:ind w:right="80" w:firstLine="964"/>
        <w:spacing w:after="0" w:line="285"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u w:val="single" w:color="auto"/>
          <w:color w:val="auto"/>
        </w:rPr>
        <w:t>Additional Subsidiaries</w:t>
      </w:r>
      <w:r>
        <w:rPr>
          <w:rFonts w:ascii="Times New Roman" w:cs="Times New Roman" w:eastAsia="Times New Roman" w:hAnsi="Times New Roman"/>
          <w:sz w:val="16"/>
          <w:szCs w:val="16"/>
          <w:color w:val="auto"/>
        </w:rPr>
        <w:t xml:space="preserve">. If any additional Subsidiary is formed or acquired after the Effective Date, the Borrower will, within 60 days of such event, notify the Collateral Agent and the Administrative Agent thereof and cause the Collateral and Guarantee Requirement to be satisfied with respect to such Subsidiary (if it is a Subsidiary Loan Party, it being understood that such Loan Party shall not be required to fulfill any requirements not in the Collateral and Guarantee Agreement and is subject to any exclusions and exceptions) and with respect to any Equity Interest in such Subsidiary owned by or on behalf of any Loan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Collateral Agent may, in its reasonable judgment, grant extensions of time for compliance, or exceptions from compliance, with the provisions of this paragraph by any Loan Party.</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72"/>
        <w:spacing w:after="0" w:line="293" w:lineRule="auto"/>
        <w:tabs>
          <w:tab w:leader="none" w:pos="1202"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will, and will cause each Subsidiary Loan Party to, execute any and all further documents, financing statements, agreements and instruments, and take all such further actions (including the filing and recording of financing statements, fixture filings, mortgages, deeds of trust and other documents), which may be required under any applicable law, or which the Administrative Agent or the Required Lenders may reasonably request, to cause the Collateral and Guarantee Requirement to be and remain satisfied, all at the expense of the Loan Parties.</w:t>
      </w:r>
    </w:p>
    <w:p>
      <w:pPr>
        <w:spacing w:after="0" w:line="46" w:lineRule="exact"/>
        <w:rPr>
          <w:rFonts w:ascii="Times New Roman" w:cs="Times New Roman" w:eastAsia="Times New Roman" w:hAnsi="Times New Roman"/>
          <w:sz w:val="16"/>
          <w:szCs w:val="16"/>
          <w:color w:val="auto"/>
        </w:rPr>
      </w:pPr>
    </w:p>
    <w:p>
      <w:pPr>
        <w:ind w:firstLine="972"/>
        <w:spacing w:after="0" w:line="245" w:lineRule="auto"/>
        <w:tabs>
          <w:tab w:leader="none" w:pos="121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material assets (including any Material Real Property but excluding any Excluded Assets or any other asset located outside the United States) or improvements thereto or any interest therein are acquired by the Borrower or any Subsidiary Loan Party after the Effective Date (other than assets constituting Collateral under the Collateral Agreement that become subject to the Lien in favor of the Collateral Agent upon acquisition thereof), the Borrower will promptly notify the Administrative Agent and the Lenders thereof and, if requested in writing by the Administrative Agent or the Required Lenders, the Borrower will cause such assets to be subjected to the Lien of the Security Documents securing the Obligations and will take, and cause the Subsidiary Loan Parties to take, such actions as shall be necessary or reasonably requested in writing by the Administrative Agent to grant and perfect such Liens, including actions described in Section 5.13(a), all at the expense of the Loan Parties, all within 90 days of such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may, in its reasonable judgment, grant extensions of time for compliance or exceptions with the provisions of this paragraph by any Loan Party. Notwithstanding anything to the contrary in this Agreement or any Security Document, no Loan Party shall be required to pledge or grant security interests in particular assets if, in the reasonable judgment of the Administrative Agent or the Collateral Agent, the costs of creating or perfecting such pledges or security interests in such assets (including any mortgage, stamp, intangibles or other tax) are excessive in relation to the benefits to the Lenders therefrom.</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660"/>
          </w:cols>
          <w:pgMar w:left="580" w:top="265" w:right="659" w:bottom="1440" w:gutter="0" w:footer="0" w:header="0"/>
        </w:sectPr>
      </w:pPr>
    </w:p>
    <w:bookmarkStart w:id="392" w:name="page393"/>
    <w:bookmarkEnd w:id="392"/>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5.14.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in each case, to the extent that the failure to do so is not reasonably likely to have, individually or in the aggregate, a Material Adverse Effect, the Borrower will comply, and make commercially reasonable efforts to cause all lessees and other Persons operating or occupying its properties to comply with all applicable Environmental Laws and Environmental Permits; obtain and renew all Environmental Permits necessary for its operations and properties; and, in each case to the extent the Borrower or any Subsidiary is required by Environmental Laws, conduct any investigation, study, sampling and testing, and undertake any cleanup, removal, remedial or other action necessary to remove and clean up all Hazardous Materials at, on, under or emanating from any affected property, in accordance with the requirements of all Environmental Laws.</w:t>
      </w:r>
    </w:p>
    <w:p>
      <w:pPr>
        <w:spacing w:after="0" w:line="189" w:lineRule="exact"/>
        <w:rPr>
          <w:sz w:val="20"/>
          <w:szCs w:val="20"/>
          <w:color w:val="auto"/>
        </w:rPr>
      </w:pPr>
    </w:p>
    <w:p>
      <w:pPr>
        <w:ind w:firstLine="964"/>
        <w:spacing w:after="0" w:line="293" w:lineRule="auto"/>
        <w:rPr>
          <w:sz w:val="20"/>
          <w:szCs w:val="20"/>
          <w:color w:val="auto"/>
        </w:rPr>
      </w:pPr>
      <w:r>
        <w:rPr>
          <w:rFonts w:ascii="Times New Roman" w:cs="Times New Roman" w:eastAsia="Times New Roman" w:hAnsi="Times New Roman"/>
          <w:sz w:val="16"/>
          <w:szCs w:val="16"/>
          <w:color w:val="auto"/>
        </w:rPr>
        <w:t xml:space="preserve">SECTION 5.15. </w:t>
      </w:r>
      <w:r>
        <w:rPr>
          <w:rFonts w:ascii="Times New Roman" w:cs="Times New Roman" w:eastAsia="Times New Roman" w:hAnsi="Times New Roman"/>
          <w:sz w:val="16"/>
          <w:szCs w:val="16"/>
          <w:u w:val="single" w:color="auto"/>
          <w:color w:val="auto"/>
        </w:rPr>
        <w:t>Annual Lender Meeting</w:t>
      </w:r>
      <w:r>
        <w:rPr>
          <w:rFonts w:ascii="Times New Roman" w:cs="Times New Roman" w:eastAsia="Times New Roman" w:hAnsi="Times New Roman"/>
          <w:sz w:val="16"/>
          <w:szCs w:val="16"/>
          <w:color w:val="auto"/>
        </w:rPr>
        <w:t>. The Borrower shall host a meeting (which may be in the form of a conference call) with representatives of the Administrative Agent and the Lenders once during each fiscal year of the Borrower, in each case, following delivery of the financial statements delivered pursuant to Section 5.01(a) and upon reasonable prior notice to be held at such time as reasonably designated by the Borrower (in consultation with the Administrative Agent), at which meeting shall be discussed the financial results of the Borrower and the Subsidiaries.</w:t>
      </w:r>
    </w:p>
    <w:p>
      <w:pPr>
        <w:spacing w:after="0" w:line="152" w:lineRule="exact"/>
        <w:rPr>
          <w:sz w:val="20"/>
          <w:szCs w:val="20"/>
          <w:color w:val="auto"/>
        </w:rPr>
      </w:pPr>
    </w:p>
    <w:p>
      <w:pPr>
        <w:ind w:right="10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Post-Closing Covenants</w:t>
      </w:r>
      <w:r>
        <w:rPr>
          <w:rFonts w:ascii="Times New Roman" w:cs="Times New Roman" w:eastAsia="Times New Roman" w:hAnsi="Times New Roman"/>
          <w:sz w:val="18"/>
          <w:szCs w:val="18"/>
          <w:color w:val="auto"/>
        </w:rPr>
        <w:t xml:space="preserve">. The Borrower agrees to deliver, or cause to be delivered, to the Administrative Agent, the items described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on the Effective Date by the times specified with respect to such items, or such later time as may be agreed to by the Administrative Agent in its sole discretion.</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13" w:lineRule="exact"/>
        <w:rPr>
          <w:sz w:val="20"/>
          <w:szCs w:val="20"/>
          <w:color w:val="auto"/>
        </w:rPr>
      </w:pPr>
    </w:p>
    <w:p>
      <w:pPr>
        <w:ind w:right="180" w:firstLine="428"/>
        <w:spacing w:after="0" w:line="331" w:lineRule="auto"/>
        <w:rPr>
          <w:sz w:val="20"/>
          <w:szCs w:val="20"/>
          <w:color w:val="auto"/>
        </w:rPr>
      </w:pPr>
      <w:r>
        <w:rPr>
          <w:rFonts w:ascii="Times New Roman" w:cs="Times New Roman" w:eastAsia="Times New Roman" w:hAnsi="Times New Roman"/>
          <w:sz w:val="16"/>
          <w:szCs w:val="16"/>
          <w:color w:val="auto"/>
        </w:rPr>
        <w:t>Until the Commitments have expired or been terminated and the principal of and interest on each Loan and all fees, expenses and other amounts payable under any Loan Document have been paid in full, each of the Borrower and the Subsidiaries covenant and agree with the Lenders that:</w:t>
      </w:r>
    </w:p>
    <w:p>
      <w:pPr>
        <w:spacing w:after="0" w:line="1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540" w:right="180" w:firstLine="410"/>
        <w:spacing w:after="0" w:line="267" w:lineRule="auto"/>
        <w:tabs>
          <w:tab w:leader="none" w:pos="118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directly or indirectly create, incur, issue, guarantee or assume or otherwise become directly or indirectly liable for any Indebtedness, contingently or otherwise, except:</w:t>
      </w:r>
    </w:p>
    <w:p>
      <w:pPr>
        <w:spacing w:after="0" w:line="65" w:lineRule="exact"/>
        <w:rPr>
          <w:sz w:val="20"/>
          <w:szCs w:val="20"/>
          <w:color w:val="auto"/>
        </w:rPr>
      </w:pPr>
    </w:p>
    <w:p>
      <w:pPr>
        <w:ind w:left="1160" w:hanging="210"/>
        <w:spacing w:after="0"/>
        <w:tabs>
          <w:tab w:leader="none" w:pos="11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under the Loan Documents;</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earn-outs, milestones and other similar deferred purchase price obligations;</w:t>
      </w:r>
    </w:p>
    <w:p>
      <w:pPr>
        <w:spacing w:after="0" w:line="108" w:lineRule="exact"/>
        <w:rPr>
          <w:rFonts w:ascii="Times New Roman" w:cs="Times New Roman" w:eastAsia="Times New Roman" w:hAnsi="Times New Roman"/>
          <w:sz w:val="18"/>
          <w:szCs w:val="18"/>
          <w:color w:val="auto"/>
        </w:rPr>
      </w:pPr>
    </w:p>
    <w:p>
      <w:pPr>
        <w:ind w:left="1260" w:hanging="310"/>
        <w:spacing w:after="0"/>
        <w:tabs>
          <w:tab w:leader="none" w:pos="12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Effective Date and set forth in </w:t>
      </w:r>
      <w:r>
        <w:rPr>
          <w:rFonts w:ascii="Times New Roman" w:cs="Times New Roman" w:eastAsia="Times New Roman" w:hAnsi="Times New Roman"/>
          <w:sz w:val="18"/>
          <w:szCs w:val="18"/>
          <w:u w:val="single" w:color="auto"/>
          <w:color w:val="auto"/>
        </w:rPr>
        <w:t>Schedule 6.01(iii)</w:t>
      </w:r>
      <w:r>
        <w:rPr>
          <w:rFonts w:ascii="Times New Roman" w:cs="Times New Roman" w:eastAsia="Times New Roman" w:hAnsi="Times New Roman"/>
          <w:sz w:val="18"/>
          <w:szCs w:val="18"/>
          <w:color w:val="auto"/>
        </w:rPr>
        <w:t xml:space="preserve"> and Permitted Refinancings thereof;</w:t>
      </w:r>
    </w:p>
    <w:p>
      <w:pPr>
        <w:spacing w:after="0" w:line="108" w:lineRule="exact"/>
        <w:rPr>
          <w:rFonts w:ascii="Times New Roman" w:cs="Times New Roman" w:eastAsia="Times New Roman" w:hAnsi="Times New Roman"/>
          <w:sz w:val="18"/>
          <w:szCs w:val="18"/>
          <w:color w:val="auto"/>
        </w:rPr>
      </w:pPr>
    </w:p>
    <w:p>
      <w:pPr>
        <w:ind w:left="540" w:right="40" w:firstLine="410"/>
        <w:spacing w:after="0" w:line="267" w:lineRule="auto"/>
        <w:tabs>
          <w:tab w:leader="none" w:pos="124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owed to any Subsidiary Loan Party and of any Subsidiary Loan Party owed to the Borrower or any other Subsidiary Loan Party;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720"/>
          </w:cols>
          <w:pgMar w:left="580" w:top="265" w:right="599" w:bottom="1440" w:gutter="0" w:footer="0" w:header="0"/>
        </w:sectPr>
      </w:pPr>
    </w:p>
    <w:bookmarkStart w:id="393" w:name="page394"/>
    <w:bookmarkEnd w:id="393"/>
    <w:p>
      <w:pPr>
        <w:ind w:left="540" w:right="300" w:firstLine="410"/>
        <w:spacing w:after="0" w:line="267" w:lineRule="auto"/>
        <w:tabs>
          <w:tab w:leader="none" w:pos="119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Guarantees by the Borrower of Indebtedness of any Subsidiary Loan Party and of any Subsidiary Loan Party of Indebtedness of the Borrower or any other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so Guaranteed is permitted by this Section 6.01;</w:t>
      </w:r>
    </w:p>
    <w:p>
      <w:pPr>
        <w:spacing w:after="0" w:line="64" w:lineRule="exact"/>
        <w:rPr>
          <w:rFonts w:ascii="Times New Roman" w:cs="Times New Roman" w:eastAsia="Times New Roman" w:hAnsi="Times New Roman"/>
          <w:sz w:val="18"/>
          <w:szCs w:val="18"/>
          <w:color w:val="auto"/>
        </w:rPr>
      </w:pPr>
    </w:p>
    <w:p>
      <w:pPr>
        <w:ind w:left="540" w:right="20" w:firstLine="410"/>
        <w:spacing w:after="0" w:line="278" w:lineRule="auto"/>
        <w:tabs>
          <w:tab w:leader="none" w:pos="1243" w:val="left"/>
        </w:tabs>
        <w:numPr>
          <w:ilvl w:val="1"/>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Indebtedness of the Borrower or any Subsidiary incurred to finance the acquisition, construction or improvement of any fixed or capital assets, including Capital Lease Obligations, and any Indebtedness assumed by the Borrower or any Subsidiary in connection with the acquisition of any such assets or secured by a Lien on any such assets prior to the acquisition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such Indebtedness is incurred prior to or within 270 days after such acquisition or the completion of such construction or improvement and (ii) the aggregate principal amount of Indebtedness permitted by clauses (A) and (B) of this clause (vi) shall not exceed $15,000,000 outstanding at any time; and</w:t>
      </w:r>
    </w:p>
    <w:p>
      <w:pPr>
        <w:spacing w:after="0" w:line="2" w:lineRule="exact"/>
        <w:rPr>
          <w:rFonts w:ascii="Times New Roman" w:cs="Times New Roman" w:eastAsia="Times New Roman" w:hAnsi="Times New Roman"/>
          <w:sz w:val="16"/>
          <w:szCs w:val="16"/>
          <w:color w:val="auto"/>
        </w:rPr>
      </w:pPr>
    </w:p>
    <w:p>
      <w:pPr>
        <w:ind w:left="820" w:hanging="277"/>
        <w:spacing w:after="0"/>
        <w:tabs>
          <w:tab w:leader="none" w:pos="8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Refinancings thereof;</w:t>
      </w:r>
    </w:p>
    <w:p>
      <w:pPr>
        <w:spacing w:after="0" w:line="90" w:lineRule="exact"/>
        <w:rPr>
          <w:rFonts w:ascii="Times New Roman" w:cs="Times New Roman" w:eastAsia="Times New Roman" w:hAnsi="Times New Roman"/>
          <w:sz w:val="18"/>
          <w:szCs w:val="18"/>
          <w:color w:val="auto"/>
        </w:rPr>
      </w:pPr>
    </w:p>
    <w:p>
      <w:pPr>
        <w:ind w:left="540" w:right="260" w:firstLine="410"/>
        <w:spacing w:after="0" w:line="285" w:lineRule="auto"/>
        <w:tabs>
          <w:tab w:leader="none" w:pos="1292" w:val="left"/>
        </w:tabs>
        <w:numPr>
          <w:ilvl w:val="1"/>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Indebtedness of any Person that becomes a Subsidiary after the date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Indebtedness exists at the time such Person becomes a Subsidiary and is not created in contemplation of or in connection with such Person becoming a Subsidiary and</w:t>
      </w:r>
    </w:p>
    <w:p>
      <w:pPr>
        <w:spacing w:after="0" w:line="1" w:lineRule="exact"/>
        <w:rPr>
          <w:rFonts w:ascii="Times New Roman" w:cs="Times New Roman" w:eastAsia="Times New Roman" w:hAnsi="Times New Roman"/>
          <w:sz w:val="16"/>
          <w:szCs w:val="16"/>
          <w:color w:val="auto"/>
        </w:rPr>
      </w:pPr>
    </w:p>
    <w:p>
      <w:pPr>
        <w:ind w:left="540" w:right="40" w:firstLine="3"/>
        <w:spacing w:after="0" w:line="247" w:lineRule="auto"/>
        <w:tabs>
          <w:tab w:leader="none" w:pos="81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Permitted Refinancings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aggregate amount of Indebtedness under this Section 6.01(a)(vii), shall not exceed $2,500,000;</w:t>
      </w:r>
    </w:p>
    <w:p>
      <w:pPr>
        <w:spacing w:after="0" w:line="81" w:lineRule="exact"/>
        <w:rPr>
          <w:rFonts w:ascii="Times New Roman" w:cs="Times New Roman" w:eastAsia="Times New Roman" w:hAnsi="Times New Roman"/>
          <w:sz w:val="18"/>
          <w:szCs w:val="18"/>
          <w:color w:val="auto"/>
        </w:rPr>
      </w:pPr>
    </w:p>
    <w:p>
      <w:pPr>
        <w:ind w:left="540" w:right="280" w:firstLine="410"/>
        <w:spacing w:after="0" w:line="255" w:lineRule="auto"/>
        <w:tabs>
          <w:tab w:leader="none" w:pos="134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75" w:lineRule="exact"/>
        <w:rPr>
          <w:rFonts w:ascii="Times New Roman" w:cs="Times New Roman" w:eastAsia="Times New Roman" w:hAnsi="Times New Roman"/>
          <w:sz w:val="18"/>
          <w:szCs w:val="18"/>
          <w:color w:val="auto"/>
        </w:rPr>
      </w:pPr>
    </w:p>
    <w:p>
      <w:pPr>
        <w:ind w:left="540" w:right="80" w:firstLine="410"/>
        <w:spacing w:after="0" w:line="267" w:lineRule="auto"/>
        <w:tabs>
          <w:tab w:leader="none" w:pos="124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Subsidiary in respect of performance bonds, bid bonds, appeal bonds, surety bonds, performance and completion guarantees and similar obligations, in each case provided in the ordinary course of business;</w:t>
      </w:r>
    </w:p>
    <w:p>
      <w:pPr>
        <w:spacing w:after="0" w:line="64"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pursuant to Swap Agreements permitted by Section 6.14;</w:t>
      </w:r>
    </w:p>
    <w:p>
      <w:pPr>
        <w:spacing w:after="0" w:line="108" w:lineRule="exact"/>
        <w:rPr>
          <w:rFonts w:ascii="Times New Roman" w:cs="Times New Roman" w:eastAsia="Times New Roman" w:hAnsi="Times New Roman"/>
          <w:sz w:val="18"/>
          <w:szCs w:val="18"/>
          <w:color w:val="auto"/>
        </w:rPr>
      </w:pPr>
    </w:p>
    <w:p>
      <w:pPr>
        <w:ind w:left="1240" w:hanging="290"/>
        <w:spacing w:after="0"/>
        <w:tabs>
          <w:tab w:leader="none" w:pos="12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540" w:right="160" w:firstLine="410"/>
        <w:spacing w:after="0" w:line="267" w:lineRule="auto"/>
        <w:tabs>
          <w:tab w:leader="none" w:pos="1292"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employees of the Borrower and the Subsidiaries incurred in the ordinary course of business;</w:t>
      </w:r>
    </w:p>
    <w:p>
      <w:pPr>
        <w:spacing w:after="0" w:line="64" w:lineRule="exact"/>
        <w:rPr>
          <w:rFonts w:ascii="Times New Roman" w:cs="Times New Roman" w:eastAsia="Times New Roman" w:hAnsi="Times New Roman"/>
          <w:sz w:val="18"/>
          <w:szCs w:val="18"/>
          <w:color w:val="auto"/>
        </w:rPr>
      </w:pPr>
    </w:p>
    <w:p>
      <w:pPr>
        <w:ind w:left="540" w:firstLine="410"/>
        <w:spacing w:after="0" w:line="248" w:lineRule="auto"/>
        <w:tabs>
          <w:tab w:leader="none" w:pos="134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of the Borrower or any Subsidiary Loan Party owed to any non-Loan Party Subsidiary existing on the Effective Date and set forth in </w:t>
      </w:r>
      <w:r>
        <w:rPr>
          <w:rFonts w:ascii="Times New Roman" w:cs="Times New Roman" w:eastAsia="Times New Roman" w:hAnsi="Times New Roman"/>
          <w:sz w:val="18"/>
          <w:szCs w:val="18"/>
          <w:u w:val="single" w:color="auto"/>
          <w:color w:val="auto"/>
        </w:rPr>
        <w:t>Schedule 6.01(xiii)</w:t>
      </w:r>
      <w:r>
        <w:rPr>
          <w:rFonts w:ascii="Times New Roman" w:cs="Times New Roman" w:eastAsia="Times New Roman" w:hAnsi="Times New Roman"/>
          <w:sz w:val="18"/>
          <w:szCs w:val="18"/>
          <w:color w:val="auto"/>
        </w:rPr>
        <w:t xml:space="preserve">, (B) Indebtedness of any non-Loan Party Subsidiary owed to the Borrower or any Subsidiary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Indebtedness under this Section 6.01(a)(xiii)(B), when taken together with Investments made under Section 6.04(a)(xvii)(C), shall not exceed $10,000,000 and (C) Indebtedness of the Borrower or any Subsidiary Loan Party owed to any non-Loan Party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such Indebtedness shall be unsecured and subordinated in right of payment to the payment in full of the Obligations pursuant to subordination terms reasonably satisfactory to the Administrative Agent;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700"/>
          </w:cols>
          <w:pgMar w:left="580" w:top="265" w:right="619" w:bottom="1440" w:gutter="0" w:footer="0" w:header="0"/>
        </w:sectPr>
      </w:pPr>
    </w:p>
    <w:bookmarkStart w:id="394" w:name="page395"/>
    <w:bookmarkEnd w:id="394"/>
    <w:p>
      <w:pPr>
        <w:ind w:left="1340" w:hanging="390"/>
        <w:spacing w:after="0"/>
        <w:tabs>
          <w:tab w:leader="none" w:pos="1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Indebtedness of the Borrower or a Subsidiary consisting of the financing of insurance premiums;</w:t>
      </w:r>
    </w:p>
    <w:p>
      <w:pPr>
        <w:spacing w:after="0" w:line="108" w:lineRule="exact"/>
        <w:rPr>
          <w:rFonts w:ascii="Times New Roman" w:cs="Times New Roman" w:eastAsia="Times New Roman" w:hAnsi="Times New Roman"/>
          <w:sz w:val="18"/>
          <w:szCs w:val="18"/>
          <w:color w:val="auto"/>
        </w:rPr>
      </w:pPr>
    </w:p>
    <w:p>
      <w:pPr>
        <w:ind w:left="540" w:right="300" w:firstLine="410"/>
        <w:spacing w:after="0" w:line="331" w:lineRule="auto"/>
        <w:tabs>
          <w:tab w:leader="none" w:pos="128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the Borrower or a Subsidiary in connection with cash management services (including netting services, automatic clearinghouse arrangements, overdraft protections, employee credit card programs and related or similar services or activities);</w:t>
      </w:r>
    </w:p>
    <w:p>
      <w:pPr>
        <w:spacing w:after="0" w:line="17" w:lineRule="exact"/>
        <w:rPr>
          <w:rFonts w:ascii="Times New Roman" w:cs="Times New Roman" w:eastAsia="Times New Roman" w:hAnsi="Times New Roman"/>
          <w:sz w:val="16"/>
          <w:szCs w:val="16"/>
          <w:color w:val="auto"/>
        </w:rPr>
      </w:pPr>
    </w:p>
    <w:p>
      <w:pPr>
        <w:ind w:left="1340" w:hanging="390"/>
        <w:spacing w:after="0"/>
        <w:tabs>
          <w:tab w:leader="none" w:pos="1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380" w:hanging="430"/>
        <w:spacing w:after="0"/>
        <w:tabs>
          <w:tab w:leader="none" w:pos="13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resulting from endorsements of negotiable instruments for collection in the ordinary course of</w:t>
      </w:r>
    </w:p>
    <w:p>
      <w:pPr>
        <w:spacing w:after="0" w:line="20"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0" w:lineRule="exact"/>
        <w:rPr>
          <w:rFonts w:ascii="Times New Roman" w:cs="Times New Roman" w:eastAsia="Times New Roman" w:hAnsi="Times New Roman"/>
          <w:sz w:val="18"/>
          <w:szCs w:val="18"/>
          <w:color w:val="auto"/>
        </w:rPr>
      </w:pPr>
    </w:p>
    <w:p>
      <w:pPr>
        <w:ind w:left="1440" w:hanging="490"/>
        <w:spacing w:after="0"/>
        <w:tabs>
          <w:tab w:leader="none" w:pos="14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Indebtedness in an aggregate principal amount not to exceed $5,000,000 at any time outstanding; and</w:t>
      </w:r>
    </w:p>
    <w:p>
      <w:pPr>
        <w:spacing w:after="0" w:line="108" w:lineRule="exact"/>
        <w:rPr>
          <w:rFonts w:ascii="Times New Roman" w:cs="Times New Roman" w:eastAsia="Times New Roman" w:hAnsi="Times New Roman"/>
          <w:sz w:val="18"/>
          <w:szCs w:val="18"/>
          <w:color w:val="auto"/>
        </w:rPr>
      </w:pPr>
    </w:p>
    <w:p>
      <w:pPr>
        <w:ind w:left="540" w:right="20" w:firstLine="410"/>
        <w:spacing w:after="0" w:line="255" w:lineRule="auto"/>
        <w:tabs>
          <w:tab w:leader="none" w:pos="133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Indebtedness arising from agreements of the Borrower or a Subsidiary providing for indemnification, adjustment of purchase price, holdback, contingency payment obligations or similar obligations, in each case, incurred or assumed in connection with the disposition or acquisition of any business, assets or capital stock of the Borrower or any Subsidiary.</w:t>
      </w:r>
    </w:p>
    <w:p>
      <w:pPr>
        <w:spacing w:after="0" w:line="75" w:lineRule="exact"/>
        <w:rPr>
          <w:rFonts w:ascii="Times New Roman" w:cs="Times New Roman" w:eastAsia="Times New Roman" w:hAnsi="Times New Roman"/>
          <w:sz w:val="18"/>
          <w:szCs w:val="18"/>
          <w:color w:val="auto"/>
        </w:rPr>
      </w:pPr>
    </w:p>
    <w:p>
      <w:pPr>
        <w:ind w:firstLine="972"/>
        <w:spacing w:after="0" w:line="279" w:lineRule="auto"/>
        <w:tabs>
          <w:tab w:leader="none" w:pos="1212" w:val="left"/>
        </w:tabs>
        <w:numPr>
          <w:ilvl w:val="1"/>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compliance with Section 6.01(a), in the event that an item of Indebtedness (or any portion thereof) at any time, whether at the time of incurrence or upon the application of all or a portion of the proceeds thereof or subsequently, meets the criteria of more than one of the categories of permitted Indebtedness described in Section 6.01(a)(i) through (xix) above, the Borrower, in its sole discretion, will classify and may subsequently reclassify such item of Indebtedness (or any portion thereof) in any one or more of the types of Indebtedness described in</w:t>
      </w:r>
    </w:p>
    <w:p>
      <w:pPr>
        <w:spacing w:after="0" w:line="2" w:lineRule="exact"/>
        <w:rPr>
          <w:rFonts w:ascii="Times New Roman" w:cs="Times New Roman" w:eastAsia="Times New Roman" w:hAnsi="Times New Roman"/>
          <w:sz w:val="16"/>
          <w:szCs w:val="16"/>
          <w:color w:val="auto"/>
        </w:rPr>
      </w:pPr>
    </w:p>
    <w:p>
      <w:pPr>
        <w:ind w:right="1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6.01(a)(i) through (xix) above and will only be required to include the amount and type of such Indebtedness in such of the above clauses as determined by the Borrower at such time. The Borrower will be entitled to divide and classify an item of Indebtedness in more than one of the types of Indebtedness described in Section 6.01(a)(i) through (xix) above.</w:t>
      </w:r>
    </w:p>
    <w:p>
      <w:pPr>
        <w:spacing w:after="0" w:line="188" w:lineRule="exact"/>
        <w:rPr>
          <w:sz w:val="20"/>
          <w:szCs w:val="20"/>
          <w:color w:val="auto"/>
        </w:rPr>
      </w:pPr>
    </w:p>
    <w:p>
      <w:pPr>
        <w:jc w:val="both"/>
        <w:ind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 The Borrower will not,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5" w:lineRule="exact"/>
        <w:rPr>
          <w:sz w:val="20"/>
          <w:szCs w:val="20"/>
          <w:color w:val="auto"/>
        </w:rPr>
      </w:pPr>
    </w:p>
    <w:p>
      <w:pPr>
        <w:ind w:left="1160" w:hanging="210"/>
        <w:spacing w:after="0"/>
        <w:tabs>
          <w:tab w:leader="none" w:pos="116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by the Loan Documents;</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108" w:lineRule="exact"/>
        <w:rPr>
          <w:rFonts w:ascii="Times New Roman" w:cs="Times New Roman" w:eastAsia="Times New Roman" w:hAnsi="Times New Roman"/>
          <w:sz w:val="18"/>
          <w:szCs w:val="18"/>
          <w:color w:val="auto"/>
        </w:rPr>
      </w:pPr>
    </w:p>
    <w:p>
      <w:pPr>
        <w:ind w:left="540" w:right="240" w:firstLine="410"/>
        <w:spacing w:after="0" w:line="251" w:lineRule="auto"/>
        <w:tabs>
          <w:tab w:leader="none" w:pos="1253"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any property or asset of the Borrower or any Subsidiary existing on the Effective Date and set forth in Schedule 6.02; provided that (A) such Lien shall not apply to any other property or asset of the Borrower or any Subsidiary (other than improvements, accessions, proceeds, dividends or distributions in respect thereof and assets fixed or appurtenant thereto) and (B) such Lien shall secure only those obligations which it secures on the Effective Date and Permitted Refinancings thereof;</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680"/>
          </w:cols>
          <w:pgMar w:left="580" w:top="265" w:right="639" w:bottom="1440" w:gutter="0" w:footer="0" w:header="0"/>
        </w:sectPr>
      </w:pPr>
    </w:p>
    <w:bookmarkStart w:id="395" w:name="page396"/>
    <w:bookmarkEnd w:id="395"/>
    <w:p>
      <w:pPr>
        <w:ind w:right="20" w:firstLine="410"/>
        <w:spacing w:after="0" w:line="248" w:lineRule="auto"/>
        <w:tabs>
          <w:tab w:leader="none" w:pos="70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any Lien existing on any property or asset prior to the acquisition thereof by the Borrower or any Subsidiary or existing on any property or asset or Equity Interests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secures Indebtedness permitted by Section 6.01(a)(vii) and such Lien is not created in contemplation of or in connection with such acquisition or such Person becoming a Subsidiary, as applicable, (B) such Lien shall not apply to any other property or asset of the Borrower or any Subsidiary and (C) such Lien shall secure only those obligations that it secures on the date of such acquisition or the date such Person becomes a Subsidiary, as applicable, and any Permitted Refinancings thereof;</w:t>
      </w:r>
    </w:p>
    <w:p>
      <w:pPr>
        <w:spacing w:after="0" w:line="82" w:lineRule="exact"/>
        <w:rPr>
          <w:rFonts w:ascii="Times New Roman" w:cs="Times New Roman" w:eastAsia="Times New Roman" w:hAnsi="Times New Roman"/>
          <w:sz w:val="18"/>
          <w:szCs w:val="18"/>
          <w:color w:val="auto"/>
        </w:rPr>
      </w:pPr>
    </w:p>
    <w:p>
      <w:pPr>
        <w:ind w:firstLine="410"/>
        <w:spacing w:after="0" w:line="249" w:lineRule="auto"/>
        <w:tabs>
          <w:tab w:leader="none" w:pos="65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security interests secure Indebtedness permitted by Sections 6.01(a)(vi), (B) such security interests and the Indebtedness secured thereby are incurred prior to or within 270 days after such acquisition or the completion of such construction or improvement and (C) such security interests shall not apply to any other property or assets of the Borrower or any Subsidiary (other than improvements, accessions, proceeds, dividends or distributions in respect thereof and assets fixed or appurtenant thereto);</w:t>
      </w:r>
    </w:p>
    <w:p>
      <w:pPr>
        <w:spacing w:after="0" w:line="81" w:lineRule="exact"/>
        <w:rPr>
          <w:rFonts w:ascii="Times New Roman" w:cs="Times New Roman" w:eastAsia="Times New Roman" w:hAnsi="Times New Roman"/>
          <w:sz w:val="18"/>
          <w:szCs w:val="18"/>
          <w:color w:val="auto"/>
        </w:rPr>
      </w:pPr>
    </w:p>
    <w:p>
      <w:pPr>
        <w:ind w:firstLine="410"/>
        <w:spacing w:after="0" w:line="267" w:lineRule="auto"/>
        <w:tabs>
          <w:tab w:leader="none" w:pos="70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274" w:lineRule="exact"/>
        <w:rPr>
          <w:rFonts w:ascii="Times New Roman" w:cs="Times New Roman" w:eastAsia="Times New Roman" w:hAnsi="Times New Roman"/>
          <w:sz w:val="18"/>
          <w:szCs w:val="18"/>
          <w:color w:val="auto"/>
        </w:rPr>
      </w:pPr>
    </w:p>
    <w:p>
      <w:pPr>
        <w:ind w:left="760" w:hanging="350"/>
        <w:spacing w:after="0"/>
        <w:tabs>
          <w:tab w:leader="none" w:pos="7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by Section 6.06;</w:t>
      </w:r>
    </w:p>
    <w:p>
      <w:pPr>
        <w:spacing w:after="0" w:line="108" w:lineRule="exact"/>
        <w:rPr>
          <w:rFonts w:ascii="Times New Roman" w:cs="Times New Roman" w:eastAsia="Times New Roman" w:hAnsi="Times New Roman"/>
          <w:sz w:val="18"/>
          <w:szCs w:val="18"/>
          <w:color w:val="auto"/>
        </w:rPr>
      </w:pPr>
    </w:p>
    <w:p>
      <w:pPr>
        <w:ind w:right="360" w:firstLine="410"/>
        <w:spacing w:after="0" w:line="267" w:lineRule="auto"/>
        <w:tabs>
          <w:tab w:leader="none" w:pos="80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the Borrower or another Loan Party in respect of Indebtedness owed by such Subsidiary;</w:t>
      </w:r>
    </w:p>
    <w:p>
      <w:pPr>
        <w:spacing w:after="0" w:line="64" w:lineRule="exact"/>
        <w:rPr>
          <w:rFonts w:ascii="Times New Roman" w:cs="Times New Roman" w:eastAsia="Times New Roman" w:hAnsi="Times New Roman"/>
          <w:sz w:val="18"/>
          <w:szCs w:val="18"/>
          <w:color w:val="auto"/>
        </w:rPr>
      </w:pPr>
    </w:p>
    <w:p>
      <w:pPr>
        <w:ind w:right="80" w:firstLine="410"/>
        <w:spacing w:after="0" w:line="267" w:lineRule="auto"/>
        <w:tabs>
          <w:tab w:leader="none" w:pos="70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or sublicenses, leases or subleases, granted to others not interfering in any material respect with the business of the Borrower or any Subsidiary;</w:t>
      </w:r>
    </w:p>
    <w:p>
      <w:pPr>
        <w:spacing w:after="0" w:line="64" w:lineRule="exact"/>
        <w:rPr>
          <w:rFonts w:ascii="Times New Roman" w:cs="Times New Roman" w:eastAsia="Times New Roman" w:hAnsi="Times New Roman"/>
          <w:sz w:val="18"/>
          <w:szCs w:val="18"/>
          <w:color w:val="auto"/>
        </w:rPr>
      </w:pPr>
    </w:p>
    <w:p>
      <w:pPr>
        <w:ind w:right="520" w:firstLine="410"/>
        <w:spacing w:after="0" w:line="267" w:lineRule="auto"/>
        <w:tabs>
          <w:tab w:leader="none" w:pos="65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64" w:lineRule="exact"/>
        <w:rPr>
          <w:rFonts w:ascii="Times New Roman" w:cs="Times New Roman" w:eastAsia="Times New Roman" w:hAnsi="Times New Roman"/>
          <w:sz w:val="18"/>
          <w:szCs w:val="18"/>
          <w:color w:val="auto"/>
        </w:rPr>
      </w:pPr>
    </w:p>
    <w:p>
      <w:pPr>
        <w:ind w:right="40" w:firstLine="410"/>
        <w:spacing w:after="0" w:line="251" w:lineRule="auto"/>
        <w:tabs>
          <w:tab w:leader="none" w:pos="70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contract rights of set-off (i) relating to the establishment of depositary relations with banks not given in connection with the issuance of Indebtedness, (ii) relating to pooled deposit or sweep accounts of the Borrower or any Subsidiary to permit satisfaction of overdraft or similar obligations incurred in the ordinary course of business of the Borrower and the Subsidiaries or (iii) relating to purchase orders and other agreements entered into with customers of the Borrower or any Subsidiary in the ordinary course of business;</w:t>
      </w:r>
    </w:p>
    <w:p>
      <w:pPr>
        <w:spacing w:after="0" w:line="79" w:lineRule="exact"/>
        <w:rPr>
          <w:rFonts w:ascii="Times New Roman" w:cs="Times New Roman" w:eastAsia="Times New Roman" w:hAnsi="Times New Roman"/>
          <w:sz w:val="18"/>
          <w:szCs w:val="18"/>
          <w:color w:val="auto"/>
        </w:rPr>
      </w:pPr>
    </w:p>
    <w:p>
      <w:pPr>
        <w:ind w:right="240" w:firstLine="410"/>
        <w:spacing w:after="0" w:line="267" w:lineRule="auto"/>
        <w:tabs>
          <w:tab w:leader="none" w:pos="75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earned money deposits made by the Borrower or any Subsidiary in connection with any letter of intent or purchase agreement permitted hereunder;</w:t>
      </w:r>
    </w:p>
    <w:p>
      <w:pPr>
        <w:spacing w:after="0" w:line="274" w:lineRule="exact"/>
        <w:rPr>
          <w:rFonts w:ascii="Times New Roman" w:cs="Times New Roman" w:eastAsia="Times New Roman" w:hAnsi="Times New Roman"/>
          <w:sz w:val="18"/>
          <w:szCs w:val="18"/>
          <w:color w:val="auto"/>
        </w:rPr>
      </w:pPr>
    </w:p>
    <w:p>
      <w:pPr>
        <w:ind w:left="800" w:hanging="390"/>
        <w:spacing w:after="0"/>
        <w:tabs>
          <w:tab w:leader="none" w:pos="8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 Loan Party securing Indebtedness permitted under Sections 6.01(a)(iv) and (v);</w:t>
      </w:r>
    </w:p>
    <w:p>
      <w:pPr>
        <w:spacing w:after="0" w:line="14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120"/>
          </w:cols>
          <w:pgMar w:left="1120" w:top="265" w:right="659" w:bottom="1440" w:gutter="0" w:footer="0" w:header="0"/>
        </w:sectPr>
      </w:pPr>
    </w:p>
    <w:bookmarkStart w:id="396" w:name="page397"/>
    <w:bookmarkEnd w:id="396"/>
    <w:p>
      <w:pPr>
        <w:ind w:left="1320" w:hanging="390"/>
        <w:spacing w:after="0"/>
        <w:tabs>
          <w:tab w:leader="none" w:pos="132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Liens on insurance proceeds in favor of insurance companies granted solely to secured financed insurance premiums;</w:t>
      </w:r>
    </w:p>
    <w:p>
      <w:pPr>
        <w:spacing w:after="0" w:line="108" w:lineRule="exact"/>
        <w:rPr>
          <w:rFonts w:ascii="Times New Roman" w:cs="Times New Roman" w:eastAsia="Times New Roman" w:hAnsi="Times New Roman"/>
          <w:sz w:val="18"/>
          <w:szCs w:val="18"/>
          <w:color w:val="auto"/>
        </w:rPr>
      </w:pPr>
    </w:p>
    <w:p>
      <w:pPr>
        <w:ind w:left="520" w:right="100" w:firstLine="410"/>
        <w:spacing w:after="0" w:line="267" w:lineRule="auto"/>
        <w:tabs>
          <w:tab w:leader="none" w:pos="1262"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the Borrower or the Subsidiaries not otherwise permitted by this Section 6.02, so long as the aggregate outstanding principal amount of the obligations secured thereby does not exceed $5,000,000;</w:t>
      </w:r>
    </w:p>
    <w:p>
      <w:pPr>
        <w:spacing w:after="0" w:line="64" w:lineRule="exact"/>
        <w:rPr>
          <w:rFonts w:ascii="Times New Roman" w:cs="Times New Roman" w:eastAsia="Times New Roman" w:hAnsi="Times New Roman"/>
          <w:sz w:val="18"/>
          <w:szCs w:val="18"/>
          <w:color w:val="auto"/>
        </w:rPr>
      </w:pPr>
    </w:p>
    <w:p>
      <w:pPr>
        <w:ind w:left="1320" w:hanging="390"/>
        <w:spacing w:after="0"/>
        <w:tabs>
          <w:tab w:leader="none" w:pos="132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Section 6.01(a)(xiii);</w:t>
      </w:r>
    </w:p>
    <w:p>
      <w:pPr>
        <w:spacing w:after="0" w:line="108" w:lineRule="exact"/>
        <w:rPr>
          <w:rFonts w:ascii="Times New Roman" w:cs="Times New Roman" w:eastAsia="Times New Roman" w:hAnsi="Times New Roman"/>
          <w:sz w:val="18"/>
          <w:szCs w:val="18"/>
          <w:color w:val="auto"/>
        </w:rPr>
      </w:pPr>
    </w:p>
    <w:p>
      <w:pPr>
        <w:ind w:left="520" w:right="480" w:firstLine="410"/>
        <w:spacing w:after="0" w:line="267" w:lineRule="auto"/>
        <w:tabs>
          <w:tab w:leader="none" w:pos="135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joint venture (a) securing obligations of such joint venture or (b) pursuant to the relevant joint venture agreement or arrangement;</w:t>
      </w:r>
    </w:p>
    <w:p>
      <w:pPr>
        <w:spacing w:after="0" w:line="64" w:lineRule="exact"/>
        <w:rPr>
          <w:rFonts w:ascii="Times New Roman" w:cs="Times New Roman" w:eastAsia="Times New Roman" w:hAnsi="Times New Roman"/>
          <w:sz w:val="18"/>
          <w:szCs w:val="18"/>
          <w:color w:val="auto"/>
        </w:rPr>
      </w:pPr>
    </w:p>
    <w:p>
      <w:pPr>
        <w:ind w:left="520" w:right="180" w:firstLine="410"/>
        <w:spacing w:after="0" w:line="331" w:lineRule="auto"/>
        <w:tabs>
          <w:tab w:leader="none" w:pos="1408"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in favor of a seller solely on any cash earnest money deposits made by the Borrower or any of its Subsidiaries in connection with any letter of intent or purchase agreement with respect to any Permitted Acquisition or other Investment permitted hereunder; and</w:t>
      </w:r>
    </w:p>
    <w:p>
      <w:pPr>
        <w:spacing w:after="0" w:line="17" w:lineRule="exact"/>
        <w:rPr>
          <w:rFonts w:ascii="Times New Roman" w:cs="Times New Roman" w:eastAsia="Times New Roman" w:hAnsi="Times New Roman"/>
          <w:sz w:val="16"/>
          <w:szCs w:val="16"/>
          <w:color w:val="auto"/>
        </w:rPr>
      </w:pPr>
    </w:p>
    <w:p>
      <w:pPr>
        <w:ind w:left="520" w:right="340" w:firstLine="410"/>
        <w:spacing w:after="0" w:line="267" w:lineRule="auto"/>
        <w:tabs>
          <w:tab w:leader="none" w:pos="131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the Borrower or any of its Subsidiaries in the ordinary course of business.</w:t>
      </w:r>
    </w:p>
    <w:p>
      <w:pPr>
        <w:spacing w:after="0" w:line="64" w:lineRule="exact"/>
        <w:rPr>
          <w:rFonts w:ascii="Times New Roman" w:cs="Times New Roman" w:eastAsia="Times New Roman" w:hAnsi="Times New Roman"/>
          <w:sz w:val="18"/>
          <w:szCs w:val="18"/>
          <w:color w:val="auto"/>
        </w:rPr>
      </w:pPr>
    </w:p>
    <w:p>
      <w:pPr>
        <w:ind w:left="-20" w:right="20" w:firstLine="972"/>
        <w:spacing w:after="0" w:line="285" w:lineRule="auto"/>
        <w:tabs>
          <w:tab w:leader="none" w:pos="1192" w:val="left"/>
        </w:tabs>
        <w:numPr>
          <w:ilvl w:val="1"/>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determining compliance with Section 6.02(a), in the event that a Lien (or any portion thereof) at any time, whether at the time of incurrence or upon the application of all or a portion of the proceeds thereof or subsequently, meets the criteria of more than one of the categories of permitted Liens described in Section 6.02(a)(i) through (xix) above, the Borrower, in its sole discretion, will classify and may subsequently reclassify such Lien (or any portion thereof) in any one or more of the types of Liens described in Section 6.02(a)(i) through (xix) above and will only be required to include the amount and type of such Lien in such of the above clauses as determined by the Borrower at such time. The Borrower will be entitled to divide and classify a Lien in more than one of the types of Liens described in Section 6.02(a)(i) through (xix) above.</w:t>
      </w:r>
    </w:p>
    <w:p>
      <w:pPr>
        <w:spacing w:after="0" w:line="1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 Line of Business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20" w:firstLine="972"/>
        <w:spacing w:after="0" w:line="245" w:lineRule="auto"/>
        <w:tabs>
          <w:tab w:leader="none" w:pos="118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will not, nor will it permit any Subsidiary to, merge into or consolidate with, or transfer substantially all of its assets to, any other Person, or permit any other Person to merge into or consolidate with it, or liquidate or dissolve, except that if at the time thereof and immediately after giving effect thereto no Default shall have occurred and be continuing, (i) any wholly-owned Subsidiary may merge into the Borrower in a transaction in which the surviving entity is the Borrower, (ii) any Subsidiary may merge with any one or more other Subsidiaries (in each case, other than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when any wholly-owned Subsidiary is merging with another Subsidiary, a wholly-owned Subsidiary shall be the continuing or surviving Person and (y) if any party to such merger is a Subsidiary Loan Party, the continuing or surviving Person is or becomes a Subsidiary Loan Party concurrently with such merger, (iii) any Subsidiary (other than a Subsidiary Loan Party) may liquidate or dissolve if the Borrower determines in good faith that such liquidation or dissolution is in the best interests of the Borrower and is not materially disadvantageous to the Lenders and (iv) any asset sale permitted by Section 6.05(g) may be effected through the merger of a subsidiary of the Borrower with a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referred to in clauses (ii), (iii) or (iv) above involving a Person that is not a wholly-owned Subsidiary immediately prior to such merger shall not be permitted unless also permitted by Section 6.04.</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700"/>
          </w:cols>
          <w:pgMar w:left="600" w:top="265" w:right="599" w:bottom="1440" w:gutter="0" w:footer="0" w:header="0"/>
        </w:sectPr>
      </w:pPr>
    </w:p>
    <w:bookmarkStart w:id="397" w:name="page398"/>
    <w:bookmarkEnd w:id="39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 The Borrower will not, and will not permit any Subsidiary to, engage to any material extent in any business other than a Permitted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195" w:lineRule="exact"/>
        <w:rPr>
          <w:sz w:val="20"/>
          <w:szCs w:val="20"/>
          <w:color w:val="auto"/>
        </w:rPr>
      </w:pPr>
    </w:p>
    <w:p>
      <w:pPr>
        <w:ind w:right="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(a) The Borrower will not, nor will it permit any Subsidiary to, purchase or acquire (including pursuant to any merger with any Person that was not a wholly owned Subsidiary prior to such merger) any Investments, except:</w:t>
      </w:r>
    </w:p>
    <w:p>
      <w:pPr>
        <w:spacing w:after="0" w:line="75" w:lineRule="exact"/>
        <w:rPr>
          <w:sz w:val="20"/>
          <w:szCs w:val="20"/>
          <w:color w:val="auto"/>
        </w:rPr>
      </w:pPr>
    </w:p>
    <w:p>
      <w:pPr>
        <w:ind w:left="1160" w:hanging="210"/>
        <w:spacing w:after="0"/>
        <w:tabs>
          <w:tab w:leader="none" w:pos="11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108" w:lineRule="exact"/>
        <w:rPr>
          <w:rFonts w:ascii="Times New Roman" w:cs="Times New Roman" w:eastAsia="Times New Roman" w:hAnsi="Times New Roman"/>
          <w:sz w:val="18"/>
          <w:szCs w:val="18"/>
          <w:color w:val="auto"/>
        </w:rPr>
      </w:pPr>
    </w:p>
    <w:p>
      <w:pPr>
        <w:ind w:left="540" w:right="860" w:firstLine="410"/>
        <w:spacing w:after="0" w:line="267" w:lineRule="auto"/>
        <w:tabs>
          <w:tab w:leader="none" w:pos="125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Effective Date and set forth on </w:t>
      </w:r>
      <w:r>
        <w:rPr>
          <w:rFonts w:ascii="Times New Roman" w:cs="Times New Roman" w:eastAsia="Times New Roman" w:hAnsi="Times New Roman"/>
          <w:sz w:val="18"/>
          <w:szCs w:val="18"/>
          <w:u w:val="single" w:color="auto"/>
          <w:color w:val="auto"/>
        </w:rPr>
        <w:t>Schedule 6.04(iii)</w:t>
      </w:r>
      <w:r>
        <w:rPr>
          <w:rFonts w:ascii="Times New Roman" w:cs="Times New Roman" w:eastAsia="Times New Roman" w:hAnsi="Times New Roman"/>
          <w:sz w:val="18"/>
          <w:szCs w:val="18"/>
          <w:color w:val="auto"/>
        </w:rPr>
        <w:t xml:space="preserve"> and any modification, replacement, renewal, reinvestment or extension thereof;</w:t>
      </w:r>
    </w:p>
    <w:p>
      <w:pPr>
        <w:spacing w:after="0" w:line="64" w:lineRule="exact"/>
        <w:rPr>
          <w:rFonts w:ascii="Times New Roman" w:cs="Times New Roman" w:eastAsia="Times New Roman" w:hAnsi="Times New Roman"/>
          <w:sz w:val="18"/>
          <w:szCs w:val="18"/>
          <w:color w:val="auto"/>
        </w:rPr>
      </w:pPr>
    </w:p>
    <w:p>
      <w:pPr>
        <w:ind w:left="540" w:right="140" w:firstLine="410"/>
        <w:spacing w:after="0" w:line="253" w:lineRule="auto"/>
        <w:tabs>
          <w:tab w:leader="none" w:pos="12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cash payments in respect of earn-outs, milestones and other similar deferred purchase price obligations) in an aggregate amount not to exceed, when taken together with the aggregate amount of payments made pursuant to Section 6.08(b)(iii),</w:t>
      </w:r>
    </w:p>
    <w:p>
      <w:pPr>
        <w:spacing w:after="0" w:line="1" w:lineRule="exact"/>
        <w:rPr>
          <w:rFonts w:ascii="Times New Roman" w:cs="Times New Roman" w:eastAsia="Times New Roman" w:hAnsi="Times New Roman"/>
          <w:sz w:val="18"/>
          <w:szCs w:val="18"/>
          <w:color w:val="auto"/>
        </w:rPr>
      </w:pPr>
    </w:p>
    <w:p>
      <w:pPr>
        <w:ind w:left="540" w:right="120" w:firstLine="407"/>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$5,000,000 per fiscal year of the Borrower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83" w:lineRule="exact"/>
        <w:rPr>
          <w:rFonts w:ascii="Times New Roman" w:cs="Times New Roman" w:eastAsia="Times New Roman" w:hAnsi="Times New Roman"/>
          <w:sz w:val="18"/>
          <w:szCs w:val="18"/>
          <w:color w:val="auto"/>
        </w:rPr>
      </w:pPr>
    </w:p>
    <w:p>
      <w:pPr>
        <w:ind w:left="540" w:right="60" w:firstLine="410"/>
        <w:spacing w:after="0" w:line="293" w:lineRule="auto"/>
        <w:tabs>
          <w:tab w:leader="none" w:pos="1195"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loans or advances made by the Borrower to any Subsidiary Loan Party and made by any Subsidiary Loan Party to the Borrower or any Subsidiary Loan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loans and advances made by a Loan Party shall be evidenced by a promissory note pledged pursuant to the Collateral Agreement; provided, however, that the foregoing pledge requirement with respect to any intercompany indebtedness may be satisfied by delivery of an omnibus or global intercompany note executed by all Loan Parties as payees and all such obligors as payors;</w:t>
      </w:r>
    </w:p>
    <w:p>
      <w:pPr>
        <w:spacing w:after="0" w:line="46" w:lineRule="exact"/>
        <w:rPr>
          <w:rFonts w:ascii="Times New Roman" w:cs="Times New Roman" w:eastAsia="Times New Roman" w:hAnsi="Times New Roman"/>
          <w:sz w:val="16"/>
          <w:szCs w:val="16"/>
          <w:color w:val="auto"/>
        </w:rPr>
      </w:pPr>
    </w:p>
    <w:p>
      <w:pPr>
        <w:ind w:left="1240" w:hanging="290"/>
        <w:spacing w:after="0"/>
        <w:tabs>
          <w:tab w:leader="none" w:pos="12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constituting Indebtedness permitted by Section 6.01;</w:t>
      </w:r>
    </w:p>
    <w:p>
      <w:pPr>
        <w:spacing w:after="0" w:line="108" w:lineRule="exact"/>
        <w:rPr>
          <w:rFonts w:ascii="Times New Roman" w:cs="Times New Roman" w:eastAsia="Times New Roman" w:hAnsi="Times New Roman"/>
          <w:sz w:val="18"/>
          <w:szCs w:val="18"/>
          <w:color w:val="auto"/>
        </w:rPr>
      </w:pPr>
    </w:p>
    <w:p>
      <w:pPr>
        <w:ind w:left="540" w:firstLine="410"/>
        <w:spacing w:after="0" w:line="255" w:lineRule="auto"/>
        <w:tabs>
          <w:tab w:leader="none" w:pos="1292"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receivables or other trade payables owing to the Borrower or any Subsidiary if created or acquired in the ordinary course of business consistent with past practice and payable or dischargeable in accordance with customary trade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trade terms may include such concessionary trade terms as the Borrower or any such Subsidiary deems reasonable under the circumstances;</w:t>
      </w:r>
    </w:p>
    <w:p>
      <w:pPr>
        <w:spacing w:after="0" w:line="75" w:lineRule="exact"/>
        <w:rPr>
          <w:rFonts w:ascii="Times New Roman" w:cs="Times New Roman" w:eastAsia="Times New Roman" w:hAnsi="Times New Roman"/>
          <w:sz w:val="18"/>
          <w:szCs w:val="18"/>
          <w:color w:val="auto"/>
        </w:rPr>
      </w:pPr>
    </w:p>
    <w:p>
      <w:pPr>
        <w:jc w:val="both"/>
        <w:ind w:left="540" w:right="160" w:firstLine="410"/>
        <w:spacing w:after="0" w:line="255" w:lineRule="auto"/>
        <w:tabs>
          <w:tab w:leader="none" w:pos="134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Equity Interests, obligations, securities or other property received in settlement of delinquent accounts of and disputes with customers and suppliers in the ordinary course of business and owing to the Borrower or any Subsidiary or in satisfaction of judgments;</w:t>
      </w:r>
    </w:p>
    <w:p>
      <w:pPr>
        <w:spacing w:after="0" w:line="75" w:lineRule="exact"/>
        <w:rPr>
          <w:rFonts w:ascii="Times New Roman" w:cs="Times New Roman" w:eastAsia="Times New Roman" w:hAnsi="Times New Roman"/>
          <w:sz w:val="18"/>
          <w:szCs w:val="18"/>
          <w:color w:val="auto"/>
        </w:rPr>
      </w:pPr>
    </w:p>
    <w:p>
      <w:pPr>
        <w:ind w:left="540" w:right="40" w:firstLine="410"/>
        <w:spacing w:after="0" w:line="267" w:lineRule="auto"/>
        <w:tabs>
          <w:tab w:leader="none" w:pos="12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or any Subsidiary in payroll, travel and similar advances to cover matters that are expected at the time of such advances ultimately to be treated as expenses for accounting purposes and that are made in the ordinary course of business;</w:t>
      </w:r>
    </w:p>
    <w:p>
      <w:pPr>
        <w:spacing w:after="0" w:line="64" w:lineRule="exact"/>
        <w:rPr>
          <w:rFonts w:ascii="Times New Roman" w:cs="Times New Roman" w:eastAsia="Times New Roman" w:hAnsi="Times New Roman"/>
          <w:sz w:val="18"/>
          <w:szCs w:val="18"/>
          <w:color w:val="auto"/>
        </w:rPr>
      </w:pPr>
    </w:p>
    <w:p>
      <w:pPr>
        <w:ind w:left="540" w:right="320" w:firstLine="410"/>
        <w:spacing w:after="0" w:line="255" w:lineRule="auto"/>
        <w:tabs>
          <w:tab w:leader="none" w:pos="11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by the Borrower or any Subsidiary to employees (A) made for reasonable and customary business-related travel, entertainment, relocation and other ordinary business purposes and (B) otherwise not exceeding $5,000,000 in the aggregate at any time outstanding (determined without regard to any write-downs or write-offs of such loans or advances);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680"/>
          </w:cols>
          <w:pgMar w:left="580" w:top="265" w:right="639" w:bottom="1440" w:gutter="0" w:footer="0" w:header="0"/>
        </w:sectPr>
      </w:pPr>
    </w:p>
    <w:bookmarkStart w:id="398" w:name="page399"/>
    <w:bookmarkEnd w:id="398"/>
    <w:p>
      <w:pPr>
        <w:ind w:left="700" w:hanging="290"/>
        <w:spacing w:after="0"/>
        <w:tabs>
          <w:tab w:leader="none" w:pos="7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Investments in the form of Swap Agreements permitted by Section 6.14;</w:t>
      </w:r>
    </w:p>
    <w:p>
      <w:pPr>
        <w:spacing w:after="0" w:line="108" w:lineRule="exact"/>
        <w:rPr>
          <w:rFonts w:ascii="Times New Roman" w:cs="Times New Roman" w:eastAsia="Times New Roman" w:hAnsi="Times New Roman"/>
          <w:sz w:val="18"/>
          <w:szCs w:val="18"/>
          <w:color w:val="auto"/>
        </w:rPr>
      </w:pPr>
    </w:p>
    <w:p>
      <w:pPr>
        <w:ind w:right="80" w:firstLine="410"/>
        <w:spacing w:after="0" w:line="255" w:lineRule="auto"/>
        <w:tabs>
          <w:tab w:leader="none" w:pos="75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of the Borrower or consolidates or merges with the Borrower or any of the Subsidiaries (including in connection with a Permitted Acquisition) so long as such investments were not made in contemplation of such Person becoming a Subsidiary or of such consolidation or merger;</w:t>
      </w:r>
    </w:p>
    <w:p>
      <w:pPr>
        <w:spacing w:after="0" w:line="75" w:lineRule="exact"/>
        <w:rPr>
          <w:rFonts w:ascii="Times New Roman" w:cs="Times New Roman" w:eastAsia="Times New Roman" w:hAnsi="Times New Roman"/>
          <w:sz w:val="18"/>
          <w:szCs w:val="18"/>
          <w:color w:val="auto"/>
        </w:rPr>
      </w:pPr>
    </w:p>
    <w:p>
      <w:pPr>
        <w:ind w:left="800" w:hanging="390"/>
        <w:spacing w:after="0"/>
        <w:tabs>
          <w:tab w:leader="none" w:pos="8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dispositions of assets permitted by Section 6.05;</w:t>
      </w:r>
    </w:p>
    <w:p>
      <w:pPr>
        <w:spacing w:after="0" w:line="108" w:lineRule="exact"/>
        <w:rPr>
          <w:rFonts w:ascii="Times New Roman" w:cs="Times New Roman" w:eastAsia="Times New Roman" w:hAnsi="Times New Roman"/>
          <w:sz w:val="18"/>
          <w:szCs w:val="18"/>
          <w:color w:val="auto"/>
        </w:rPr>
      </w:pPr>
    </w:p>
    <w:p>
      <w:pPr>
        <w:ind w:left="800" w:hanging="390"/>
        <w:spacing w:after="0"/>
        <w:tabs>
          <w:tab w:leader="none" w:pos="8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w:t>
      </w:r>
    </w:p>
    <w:p>
      <w:pPr>
        <w:spacing w:after="0" w:line="108" w:lineRule="exact"/>
        <w:rPr>
          <w:rFonts w:ascii="Times New Roman" w:cs="Times New Roman" w:eastAsia="Times New Roman" w:hAnsi="Times New Roman"/>
          <w:sz w:val="18"/>
          <w:szCs w:val="18"/>
          <w:color w:val="auto"/>
        </w:rPr>
      </w:pPr>
    </w:p>
    <w:p>
      <w:pPr>
        <w:ind w:right="20" w:firstLine="410"/>
        <w:spacing w:after="0" w:line="251" w:lineRule="auto"/>
        <w:tabs>
          <w:tab w:leader="none" w:pos="74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(including in respect of earn-outs, milestones and other similar deferred purchase price obligations) in an aggregate amount not to exceed the Available Basket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$100,000,000;</w:t>
      </w:r>
    </w:p>
    <w:p>
      <w:pPr>
        <w:spacing w:after="0" w:line="79" w:lineRule="exact"/>
        <w:rPr>
          <w:rFonts w:ascii="Times New Roman" w:cs="Times New Roman" w:eastAsia="Times New Roman" w:hAnsi="Times New Roman"/>
          <w:sz w:val="18"/>
          <w:szCs w:val="18"/>
          <w:color w:val="auto"/>
        </w:rPr>
      </w:pPr>
    </w:p>
    <w:p>
      <w:pPr>
        <w:ind w:right="300" w:firstLine="410"/>
        <w:spacing w:after="0" w:line="267" w:lineRule="auto"/>
        <w:tabs>
          <w:tab w:leader="none" w:pos="79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Borrower or any Subsidiary of leases (other than Capital Lease Obligations) or of other obligations that do not constitute Indebtedness, in each case entered into in the ordinary course of business;</w:t>
      </w:r>
    </w:p>
    <w:p>
      <w:pPr>
        <w:spacing w:after="0" w:line="64" w:lineRule="exact"/>
        <w:rPr>
          <w:rFonts w:ascii="Times New Roman" w:cs="Times New Roman" w:eastAsia="Times New Roman" w:hAnsi="Times New Roman"/>
          <w:sz w:val="18"/>
          <w:szCs w:val="18"/>
          <w:color w:val="auto"/>
        </w:rPr>
      </w:pPr>
    </w:p>
    <w:p>
      <w:pPr>
        <w:ind w:left="840" w:hanging="430"/>
        <w:spacing w:after="0"/>
        <w:tabs>
          <w:tab w:leader="none" w:pos="8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Investments from Loan Parties to non-Loan Party Subsidiaries existing on the Effective Date and set forth on </w:t>
      </w:r>
      <w:r>
        <w:rPr>
          <w:rFonts w:ascii="Times New Roman" w:cs="Times New Roman" w:eastAsia="Times New Roman" w:hAnsi="Times New Roman"/>
          <w:sz w:val="18"/>
          <w:szCs w:val="18"/>
          <w:u w:val="single" w:color="auto"/>
          <w:color w:val="auto"/>
        </w:rPr>
        <w:t>Schedule</w:t>
      </w:r>
    </w:p>
    <w:p>
      <w:pPr>
        <w:spacing w:after="0" w:line="2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u w:val="single" w:color="auto"/>
          <w:color w:val="auto"/>
        </w:rPr>
        <w:t>6.04(xvii)</w:t>
      </w:r>
      <w:r>
        <w:rPr>
          <w:rFonts w:ascii="Times New Roman" w:cs="Times New Roman" w:eastAsia="Times New Roman" w:hAnsi="Times New Roman"/>
          <w:sz w:val="16"/>
          <w:szCs w:val="16"/>
          <w:color w:val="auto"/>
        </w:rPr>
        <w:t xml:space="preserve"> and any modification, replacement, renewal, reinvestment or extension thereof; (B) Investments from non-Loan Party Subsidiaries to Loan Parties and (C) Investments from Loan Parties to non-Loan Party Subsidiaries;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aggregate amount of Investments under this Section 6.04(a)(xvii)(C), when taken together with any Indebtedness under Section 6.01(a)(xiii)(B), shall not exceed $10,000,000;</w:t>
      </w:r>
    </w:p>
    <w:p>
      <w:pPr>
        <w:spacing w:after="0" w:line="48" w:lineRule="exact"/>
        <w:rPr>
          <w:sz w:val="20"/>
          <w:szCs w:val="20"/>
          <w:color w:val="auto"/>
        </w:rPr>
      </w:pPr>
    </w:p>
    <w:p>
      <w:pPr>
        <w:ind w:firstLine="410"/>
        <w:spacing w:after="0" w:line="255" w:lineRule="auto"/>
        <w:tabs>
          <w:tab w:leader="none" w:pos="888"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in respect of earn-outs, milestones and other similar deferred purchase price obligations in an aggregate amount not to exceed $4,000,000 in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any such Investment, no Specified Event of Default has occurred and is continuing or would result therefrom;</w:t>
      </w:r>
    </w:p>
    <w:p>
      <w:pPr>
        <w:spacing w:after="0" w:line="75" w:lineRule="exact"/>
        <w:rPr>
          <w:rFonts w:ascii="Times New Roman" w:cs="Times New Roman" w:eastAsia="Times New Roman" w:hAnsi="Times New Roman"/>
          <w:sz w:val="18"/>
          <w:szCs w:val="18"/>
          <w:color w:val="auto"/>
        </w:rPr>
      </w:pPr>
    </w:p>
    <w:p>
      <w:pPr>
        <w:ind w:right="380" w:firstLine="410"/>
        <w:spacing w:after="0" w:line="331" w:lineRule="auto"/>
        <w:tabs>
          <w:tab w:leader="none" w:pos="791"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licensing of intellectual property on arms’-length terms pursuant to joint marketing or joint venture arrangements with other Persons in the ordinary course of business which do not materially interfere with the business of the Borrower and the Subsidiaries; and</w:t>
      </w:r>
    </w:p>
    <w:p>
      <w:pPr>
        <w:spacing w:after="0" w:line="17" w:lineRule="exact"/>
        <w:rPr>
          <w:rFonts w:ascii="Times New Roman" w:cs="Times New Roman" w:eastAsia="Times New Roman" w:hAnsi="Times New Roman"/>
          <w:sz w:val="16"/>
          <w:szCs w:val="16"/>
          <w:color w:val="auto"/>
        </w:rPr>
      </w:pPr>
    </w:p>
    <w:p>
      <w:pPr>
        <w:ind w:right="180" w:firstLine="410"/>
        <w:spacing w:after="0" w:line="267" w:lineRule="auto"/>
        <w:tabs>
          <w:tab w:leader="none" w:pos="74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prepayments of expenses, so long as such expenses were incurred in the ordinary course of business and are paid in accordance with customary trade terms of the Borrower or any of its Subsidiaries.</w:t>
      </w:r>
    </w:p>
    <w:p>
      <w:pPr>
        <w:spacing w:after="0" w:line="10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120"/>
          </w:cols>
          <w:pgMar w:left="1120" w:top="265" w:right="659" w:bottom="1440" w:gutter="0" w:footer="0" w:header="0"/>
        </w:sectPr>
      </w:pPr>
    </w:p>
    <w:bookmarkStart w:id="399" w:name="page400"/>
    <w:bookmarkEnd w:id="399"/>
    <w:p>
      <w:pPr>
        <w:ind w:firstLine="972"/>
        <w:spacing w:after="0" w:line="283" w:lineRule="auto"/>
        <w:tabs>
          <w:tab w:leader="none" w:pos="1212"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For purposes of determining compliance with Section 6.04, in the event that an Investment (or any portion thereof) at any time meets the criteria of more than one of the categories of permitted Investments described in Section 6.04(a)(i) through (xx) above, the Borrower, in its sole discretion, will classify and may subsequently reclassify such Investment (or any portion thereof) in any one or more of the types of Investments described in Section 6.04(a)(i) through (xx) above and will only be required to include the amount and type of such Investment in such of the above clauses as determined by the Borrower at such time. The Borrower will be entitled to divide and classify an Investment in more than one of the types of Investments described in Section 6.04(a)(i) through (xx) above. For purposes of covenant compliance, the amount of any Investment shall be the amount actually invested, less any return of capital, without adjustment for subsequent increases or decreases in the value of such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-43180</wp:posOffset>
            </wp:positionV>
            <wp:extent cx="19431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94310" cy="8255"/>
                    </a:xfrm>
                    <a:prstGeom prst="rect">
                      <a:avLst/>
                    </a:prstGeom>
                    <a:noFill/>
                  </pic:spPr>
                </pic:pic>
              </a:graphicData>
            </a:graphic>
          </wp:anchor>
        </w:drawing>
      </w:r>
    </w:p>
    <w:p>
      <w:pPr>
        <w:spacing w:after="0" w:line="142" w:lineRule="exact"/>
        <w:rPr>
          <w:sz w:val="20"/>
          <w:szCs w:val="20"/>
          <w:color w:val="auto"/>
        </w:rPr>
      </w:pPr>
    </w:p>
    <w:p>
      <w:pPr>
        <w:jc w:val="both"/>
        <w:ind w:right="14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The Borrower will not, nor will it permit any Subsidiary to, sell, transfer, lease or otherwise dispose of any asset, including any Equity Interest owned by it, nor will the Borrower permit any Subsidiary to issue any additional Equity Interest in such Subsidiary (other than to the Borrower or another Subsidiary in compliance with Section 6.04) (each,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except:</w:t>
      </w:r>
    </w:p>
    <w:p>
      <w:pPr>
        <w:spacing w:after="0" w:line="75" w:lineRule="exact"/>
        <w:rPr>
          <w:sz w:val="20"/>
          <w:szCs w:val="20"/>
          <w:color w:val="auto"/>
        </w:rPr>
      </w:pPr>
    </w:p>
    <w:p>
      <w:pPr>
        <w:ind w:right="120" w:firstLine="972"/>
        <w:spacing w:after="0" w:line="247" w:lineRule="auto"/>
        <w:tabs>
          <w:tab w:leader="none" w:pos="120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inventory in the ordinary course of business, (ii) used, obsolete, worn out or surplus equipment or property in the ordinary course of business; and (iii) property no longer used or useful, or economically practicable or commercially desirable to maintain, in the conduct of the business of the Borrower and any Subsidiary (including by ceasing to enforce or allowing the lapse, abandonment or invalidation of or discontinuing the use or maintenance of or putting into the public domain any intellectual property that is, in the reasonable judgment of the Borrower, no longer used or useful, or economically practicable or commercially desirable to maintain, or in respect of which the Borrower determines in its reasonable business judgment that such action or inaction is desirable, in each case pursuant to this clause (iii), which has a Fair Market Value, individually or in the aggregate, in an amount not to exceed $5,000,000 for the period of four consecutive fiscal quarters of the Borrower most recently ended for which financial statements have been delivered (calculated at the time of such Disposition));</w:t>
      </w:r>
    </w:p>
    <w:p>
      <w:pPr>
        <w:spacing w:after="0" w:line="81" w:lineRule="exact"/>
        <w:rPr>
          <w:rFonts w:ascii="Times New Roman" w:cs="Times New Roman" w:eastAsia="Times New Roman" w:hAnsi="Times New Roman"/>
          <w:sz w:val="18"/>
          <w:szCs w:val="18"/>
          <w:color w:val="auto"/>
        </w:rPr>
      </w:pPr>
    </w:p>
    <w:p>
      <w:pPr>
        <w:ind w:right="740" w:firstLine="972"/>
        <w:spacing w:after="0" w:line="267" w:lineRule="auto"/>
        <w:tabs>
          <w:tab w:leader="none" w:pos="121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to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sales, transfers or dispositions from a Loan Party to a Subsidiary that is not a Loan Party or from the Borrower or a Subsidiary shall constitute Investments subject to Section 6.04;</w:t>
      </w:r>
    </w:p>
    <w:p>
      <w:pPr>
        <w:spacing w:after="0" w:line="64"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Dispositions of accounts receivable in connection with the compromise, settlement or collection thereof consistent with past practice;</w:t>
      </w:r>
    </w:p>
    <w:p>
      <w:pPr>
        <w:spacing w:after="0" w:line="131" w:lineRule="exact"/>
        <w:rPr>
          <w:rFonts w:ascii="Times New Roman" w:cs="Times New Roman" w:eastAsia="Times New Roman" w:hAnsi="Times New Roman"/>
          <w:sz w:val="16"/>
          <w:szCs w:val="16"/>
          <w:color w:val="auto"/>
        </w:rPr>
      </w:pPr>
    </w:p>
    <w:p>
      <w:pPr>
        <w:ind w:left="1220" w:hanging="248"/>
        <w:spacing w:after="0"/>
        <w:tabs>
          <w:tab w:leader="none" w:pos="122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Dispositions, transactions permitted by Sections 6.02, 6.03, 6.04, 6.06 and 6.08;</w:t>
      </w:r>
    </w:p>
    <w:p>
      <w:pPr>
        <w:spacing w:after="0" w:line="108" w:lineRule="exact"/>
        <w:rPr>
          <w:rFonts w:ascii="Times New Roman" w:cs="Times New Roman" w:eastAsia="Times New Roman" w:hAnsi="Times New Roman"/>
          <w:sz w:val="18"/>
          <w:szCs w:val="18"/>
          <w:color w:val="auto"/>
        </w:rPr>
      </w:pPr>
    </w:p>
    <w:p>
      <w:pPr>
        <w:ind w:right="100" w:firstLine="972"/>
        <w:spacing w:after="0" w:line="267" w:lineRule="auto"/>
        <w:tabs>
          <w:tab w:leader="none" w:pos="120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64" w:lineRule="exact"/>
        <w:rPr>
          <w:rFonts w:ascii="Times New Roman" w:cs="Times New Roman" w:eastAsia="Times New Roman" w:hAnsi="Times New Roman"/>
          <w:sz w:val="18"/>
          <w:szCs w:val="18"/>
          <w:color w:val="auto"/>
        </w:rPr>
      </w:pPr>
    </w:p>
    <w:p>
      <w:pPr>
        <w:ind w:right="20" w:firstLine="972"/>
        <w:spacing w:after="0" w:line="267" w:lineRule="auto"/>
        <w:tabs>
          <w:tab w:leader="none" w:pos="118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64" w:lineRule="exact"/>
        <w:rPr>
          <w:rFonts w:ascii="Times New Roman" w:cs="Times New Roman" w:eastAsia="Times New Roman" w:hAnsi="Times New Roman"/>
          <w:sz w:val="18"/>
          <w:szCs w:val="18"/>
          <w:color w:val="auto"/>
        </w:rPr>
      </w:pPr>
    </w:p>
    <w:p>
      <w:pPr>
        <w:ind w:right="40" w:firstLine="972"/>
        <w:spacing w:after="0" w:line="302" w:lineRule="auto"/>
        <w:tabs>
          <w:tab w:leader="none" w:pos="1212"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Dispositions of assets that are not permitted by any other paragraph of this Section 6.05,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aggregate Fair Market Value represented by such assets during any period of four consecutive fiscal quarters is not greater than $10,000,000 for the period of four consecutive fiscal quarters of the Borrower most recently ended for which financial statements have been delivered (calculated at the time of such Disposition);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700"/>
          </w:cols>
          <w:pgMar w:left="580" w:top="265" w:right="619" w:bottom="1440" w:gutter="0" w:footer="0" w:header="0"/>
        </w:sectPr>
      </w:pPr>
    </w:p>
    <w:bookmarkStart w:id="400" w:name="page401"/>
    <w:bookmarkEnd w:id="400"/>
    <w:p>
      <w:pPr>
        <w:ind w:left="1200" w:hanging="250"/>
        <w:spacing w:after="0"/>
        <w:tabs>
          <w:tab w:leader="none" w:pos="12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exchanges of property for similar replacement property for fair value;</w:t>
      </w:r>
    </w:p>
    <w:p>
      <w:pPr>
        <w:spacing w:after="0" w:line="108" w:lineRule="exact"/>
        <w:rPr>
          <w:rFonts w:ascii="Times New Roman" w:cs="Times New Roman" w:eastAsia="Times New Roman" w:hAnsi="Times New Roman"/>
          <w:sz w:val="18"/>
          <w:szCs w:val="18"/>
          <w:color w:val="auto"/>
        </w:rPr>
      </w:pPr>
    </w:p>
    <w:p>
      <w:pPr>
        <w:ind w:left="1160" w:hanging="210"/>
        <w:spacing w:after="0"/>
        <w:tabs>
          <w:tab w:leader="none" w:pos="11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160" w:hanging="210"/>
        <w:spacing w:after="0"/>
        <w:tabs>
          <w:tab w:leader="none" w:pos="11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Permitted Investments;</w:t>
      </w:r>
    </w:p>
    <w:p>
      <w:pPr>
        <w:spacing w:after="0" w:line="108" w:lineRule="exact"/>
        <w:rPr>
          <w:rFonts w:ascii="Times New Roman" w:cs="Times New Roman" w:eastAsia="Times New Roman" w:hAnsi="Times New Roman"/>
          <w:sz w:val="18"/>
          <w:szCs w:val="18"/>
          <w:color w:val="auto"/>
        </w:rPr>
      </w:pPr>
    </w:p>
    <w:p>
      <w:pPr>
        <w:ind w:left="540" w:right="240" w:firstLine="410"/>
        <w:spacing w:after="0" w:line="255" w:lineRule="auto"/>
        <w:tabs>
          <w:tab w:leader="none" w:pos="115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allowable under Section 1031 of the Code (or comparable or successor provision), any exchange of like property (excluding any boot thereon permitted by such provision) for use in any business conducted by the Borrower or any of the Subsidiaries that is not in contravention of Section 6.03(b);</w:t>
      </w:r>
    </w:p>
    <w:p>
      <w:pPr>
        <w:spacing w:after="0" w:line="75" w:lineRule="exact"/>
        <w:rPr>
          <w:rFonts w:ascii="Times New Roman" w:cs="Times New Roman" w:eastAsia="Times New Roman" w:hAnsi="Times New Roman"/>
          <w:sz w:val="18"/>
          <w:szCs w:val="18"/>
          <w:color w:val="auto"/>
        </w:rPr>
      </w:pPr>
    </w:p>
    <w:p>
      <w:pPr>
        <w:ind w:left="1240" w:hanging="290"/>
        <w:spacing w:after="0"/>
        <w:tabs>
          <w:tab w:leader="none" w:pos="12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non-exclusive licensing or sublicensing of intellectual property in the ordinary course of business or in accordance with industry</w:t>
      </w:r>
    </w:p>
    <w:p>
      <w:pPr>
        <w:spacing w:after="0" w:line="43" w:lineRule="exact"/>
        <w:rPr>
          <w:rFonts w:ascii="Times New Roman" w:cs="Times New Roman" w:eastAsia="Times New Roman" w:hAnsi="Times New Roman"/>
          <w:sz w:val="16"/>
          <w:szCs w:val="16"/>
          <w:color w:val="auto"/>
        </w:rPr>
      </w:pPr>
    </w:p>
    <w:p>
      <w:pPr>
        <w:ind w:left="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practice;</w:t>
      </w:r>
    </w:p>
    <w:p>
      <w:pPr>
        <w:spacing w:after="0" w:line="90" w:lineRule="exact"/>
        <w:rPr>
          <w:rFonts w:ascii="Times New Roman" w:cs="Times New Roman" w:eastAsia="Times New Roman" w:hAnsi="Times New Roman"/>
          <w:sz w:val="16"/>
          <w:szCs w:val="16"/>
          <w:color w:val="auto"/>
        </w:rPr>
      </w:pPr>
    </w:p>
    <w:p>
      <w:pPr>
        <w:ind w:left="1200" w:hanging="250"/>
        <w:spacing w:after="0"/>
        <w:tabs>
          <w:tab w:leader="none" w:pos="12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Swap Agreements permitted by Section 6.14; and</w:t>
      </w:r>
    </w:p>
    <w:p>
      <w:pPr>
        <w:spacing w:after="0" w:line="108" w:lineRule="exact"/>
        <w:rPr>
          <w:rFonts w:ascii="Times New Roman" w:cs="Times New Roman" w:eastAsia="Times New Roman" w:hAnsi="Times New Roman"/>
          <w:sz w:val="18"/>
          <w:szCs w:val="18"/>
          <w:color w:val="auto"/>
        </w:rPr>
      </w:pPr>
    </w:p>
    <w:p>
      <w:pPr>
        <w:ind w:left="1200" w:hanging="250"/>
        <w:spacing w:after="0"/>
        <w:tabs>
          <w:tab w:leader="none" w:pos="12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settlement, release or surrender of a contract, tort or other litigation claim, arbitration or other disputes.</w:t>
      </w:r>
    </w:p>
    <w:p>
      <w:pPr>
        <w:spacing w:after="0" w:line="2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sales, transfers, leases and other dispositions permitted by clause (g) above shall be made for Fair Market Value and for at least 75% cash consideration (it being understood that the following shall constitute cash consideration: real estate, equipment or other operating assets used or useful in a Permitted Business received by the Borrower or the Subsidiaries as consideration (excluding stock, notes or other securities)) and after giving effect to such sales, transfers, leases and other dispositions permitted hereby the Borrower shall be in compliance with the Financial Performance Covenants on a pro forma basis.</w:t>
      </w:r>
    </w:p>
    <w:p>
      <w:pPr>
        <w:spacing w:after="0" w:line="187" w:lineRule="exact"/>
        <w:rPr>
          <w:sz w:val="20"/>
          <w:szCs w:val="20"/>
          <w:color w:val="auto"/>
        </w:rPr>
      </w:pPr>
    </w:p>
    <w:p>
      <w:pPr>
        <w:ind w:right="2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will not, nor will it permit any Subsidiary to, enter into any arrangement, directly or indirectly, whereby it shall sell or transfer any property, real or personal, used or useful in the business of the Borrower or its Subsidiaries, whether now owned or hereafter acquired, and thereafter enter into any agreement (either directly or through any other Subsidiary) to rent or lease such property or other property that it intends to use for substantially the same purpose or purposes as the property sold or transferred, except for sale and leaseback transactions approved by the Required Lenders in their sole discretion.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5220" w:right="1820" w:hanging="4248"/>
        <w:spacing w:after="0" w:line="435" w:lineRule="auto"/>
        <w:tabs>
          <w:tab w:leader="none" w:pos="121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nor will it permit any Subsidiary to, declare or make, any Restricted Payment, except: -79-</w:t>
      </w:r>
    </w:p>
    <w:p>
      <w:pPr>
        <w:sectPr>
          <w:pgSz w:w="11900" w:h="16838" w:orient="portrait"/>
          <w:cols w:equalWidth="0" w:num="1">
            <w:col w:w="10700"/>
          </w:cols>
          <w:pgMar w:left="580" w:top="265" w:right="619" w:bottom="1440" w:gutter="0" w:footer="0" w:header="0"/>
        </w:sectPr>
      </w:pPr>
    </w:p>
    <w:bookmarkStart w:id="401" w:name="page402"/>
    <w:bookmarkEnd w:id="401"/>
    <w:p>
      <w:pPr>
        <w:ind w:right="100" w:firstLine="410"/>
        <w:spacing w:after="0" w:line="267" w:lineRule="auto"/>
        <w:tabs>
          <w:tab w:leader="none" w:pos="61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Borrower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64" w:lineRule="exact"/>
        <w:rPr>
          <w:rFonts w:ascii="Times New Roman" w:cs="Times New Roman" w:eastAsia="Times New Roman" w:hAnsi="Times New Roman"/>
          <w:sz w:val="18"/>
          <w:szCs w:val="18"/>
          <w:color w:val="auto"/>
        </w:rPr>
      </w:pPr>
    </w:p>
    <w:p>
      <w:pPr>
        <w:ind w:right="160" w:firstLine="410"/>
        <w:spacing w:after="0" w:line="267" w:lineRule="auto"/>
        <w:tabs>
          <w:tab w:leader="none" w:pos="66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may declare and pay distributions ratably with respect to their capital stock, membership or partnership interests or other similar Equity Interests;</w:t>
      </w:r>
    </w:p>
    <w:p>
      <w:pPr>
        <w:spacing w:after="0" w:line="64" w:lineRule="exact"/>
        <w:rPr>
          <w:rFonts w:ascii="Times New Roman" w:cs="Times New Roman" w:eastAsia="Times New Roman" w:hAnsi="Times New Roman"/>
          <w:sz w:val="18"/>
          <w:szCs w:val="18"/>
          <w:color w:val="auto"/>
        </w:rPr>
      </w:pPr>
    </w:p>
    <w:p>
      <w:pPr>
        <w:ind w:left="720" w:hanging="310"/>
        <w:spacing w:after="0"/>
        <w:tabs>
          <w:tab w:leader="none" w:pos="7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right="100" w:firstLine="410"/>
        <w:spacing w:after="0" w:line="248" w:lineRule="auto"/>
        <w:tabs>
          <w:tab w:leader="none" w:pos="70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Subsidiaries may (A) purchase or pay cash in lieu of fractional shares of its Equity Interests arising out of stock dividends, splits, or business combinations or in connection with issuance of Qualified Equity Interests of the Borrower pursuant to mergers, consolidations or other acquisitions permitted by this Agreement, (B) pay cash in lieu of fractional shares upon the exercise of warrants, options or other securities convertible into or exercisable for Qualified Equity Interests of the Borrower, and (C) make payments in connection with the retention of Qualified Equity Interests in payment of withholding Taxes in connection with equity-based compensation plans to the extent that net share settlement arrangements are deemed to be repurchases;</w:t>
      </w:r>
    </w:p>
    <w:p>
      <w:pPr>
        <w:spacing w:after="0" w:line="82" w:lineRule="exact"/>
        <w:rPr>
          <w:rFonts w:ascii="Times New Roman" w:cs="Times New Roman" w:eastAsia="Times New Roman" w:hAnsi="Times New Roman"/>
          <w:sz w:val="18"/>
          <w:szCs w:val="18"/>
          <w:color w:val="auto"/>
        </w:rPr>
      </w:pPr>
    </w:p>
    <w:p>
      <w:pPr>
        <w:ind w:firstLine="410"/>
        <w:spacing w:after="0" w:line="247" w:lineRule="auto"/>
        <w:tabs>
          <w:tab w:leader="none" w:pos="65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Restricted Payments to the direct or indirect equity holders of the Borrower to the extent tax liabilities are attributable to the ownership or operations of the Borrower, its direct or indirect Subsidiaries and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amount of such Restricted Payments shall not exceed the tax liabilities that the Borrower and the direct or indirect Subsidiaries would be required to pay in respect of Federal, state and local taxes were the Borrower and the direct or indirect Subsidiaries to pay such Taxes as stand-alone taxpayers less any tax payable directly by the Borrower or any direct or indirect Subsidiary and</w:t>
      </w:r>
    </w:p>
    <w:p>
      <w:pPr>
        <w:spacing w:after="0" w:line="3" w:lineRule="exact"/>
        <w:rPr>
          <w:rFonts w:ascii="Times New Roman" w:cs="Times New Roman" w:eastAsia="Times New Roman" w:hAnsi="Times New Roman"/>
          <w:sz w:val="18"/>
          <w:szCs w:val="18"/>
          <w:color w:val="auto"/>
        </w:rPr>
      </w:pPr>
    </w:p>
    <w:p>
      <w:pPr>
        <w:ind w:right="520" w:firstLine="407"/>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all Restricted Payments made to the direct or indirect equity holders of the Borrower pursuant to this clause (v) are used by such Person solely for the purposes specified herein;</w:t>
      </w:r>
    </w:p>
    <w:p>
      <w:pPr>
        <w:spacing w:after="0" w:line="81" w:lineRule="exact"/>
        <w:rPr>
          <w:rFonts w:ascii="Times New Roman" w:cs="Times New Roman" w:eastAsia="Times New Roman" w:hAnsi="Times New Roman"/>
          <w:sz w:val="18"/>
          <w:szCs w:val="18"/>
          <w:color w:val="auto"/>
        </w:rPr>
      </w:pPr>
    </w:p>
    <w:p>
      <w:pPr>
        <w:ind w:right="120" w:firstLine="410"/>
        <w:spacing w:after="0" w:line="249" w:lineRule="auto"/>
        <w:tabs>
          <w:tab w:leader="none" w:pos="70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Restricted Payments in the form of cash payments in respect of its preferred Equity Interests and other dividends, distributions and repurchases in respect of its Equity Interests in an aggregate amount not to exceed (x) $6,000,000 in any fiscal year of the Borrower in respect of dividends on preferred Equity Interests and (y) $1,000,000 in any fiscal year of the Borrower in respect of stock repurchases and other Restricted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before and immediately after giving effect to such Restricted Payment, no Specified Event of Default has occurred and is continuing or would result therefrom;</w:t>
      </w:r>
    </w:p>
    <w:p>
      <w:pPr>
        <w:spacing w:after="0" w:line="81" w:lineRule="exact"/>
        <w:rPr>
          <w:rFonts w:ascii="Times New Roman" w:cs="Times New Roman" w:eastAsia="Times New Roman" w:hAnsi="Times New Roman"/>
          <w:sz w:val="18"/>
          <w:szCs w:val="18"/>
          <w:color w:val="auto"/>
        </w:rPr>
      </w:pPr>
    </w:p>
    <w:p>
      <w:pPr>
        <w:ind w:right="60" w:firstLine="410"/>
        <w:spacing w:after="0" w:line="255" w:lineRule="auto"/>
        <w:tabs>
          <w:tab w:leader="none" w:pos="75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the Subsidiaries may make additional Restricted Payments in an aggregate amount not exceeding $5,000,000 throughout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after giving effect to such Restricted Payment no Default or Event of Default has occurred and is continuing; and</w:t>
      </w:r>
    </w:p>
    <w:p>
      <w:pPr>
        <w:spacing w:after="0" w:line="75" w:lineRule="exact"/>
        <w:rPr>
          <w:rFonts w:ascii="Times New Roman" w:cs="Times New Roman" w:eastAsia="Times New Roman" w:hAnsi="Times New Roman"/>
          <w:sz w:val="18"/>
          <w:szCs w:val="18"/>
          <w:color w:val="auto"/>
        </w:rPr>
      </w:pPr>
    </w:p>
    <w:p>
      <w:pPr>
        <w:ind w:right="160" w:firstLine="410"/>
        <w:spacing w:after="0" w:line="255" w:lineRule="auto"/>
        <w:tabs>
          <w:tab w:leader="none" w:pos="80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redeem, retire or otherwise acquire for value of Equity Interests (and any related stock appreciation rights, plans, equity incentive or achievement plans or any similar plans) in a person being acquired in any Permitted Acquisition in connection with such Permitted Acquisition.</w:t>
      </w:r>
    </w:p>
    <w:p>
      <w:pPr>
        <w:spacing w:after="0" w:line="11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180"/>
          </w:cols>
          <w:pgMar w:left="1120" w:top="265" w:right="599" w:bottom="1440" w:gutter="0" w:footer="0" w:header="0"/>
        </w:sectPr>
      </w:pPr>
    </w:p>
    <w:bookmarkStart w:id="402" w:name="page403"/>
    <w:bookmarkEnd w:id="402"/>
    <w:p>
      <w:pPr>
        <w:ind w:right="40" w:firstLine="972"/>
        <w:spacing w:after="0" w:line="293" w:lineRule="auto"/>
        <w:tabs>
          <w:tab w:leader="none" w:pos="1212" w:val="left"/>
        </w:tabs>
        <w:numPr>
          <w:ilvl w:val="1"/>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Borrower will not nor will it permit any Subsidiary to, make, directly or indirectly, any payment or other distribution (whether in cash, securities or other property) of or in respect of principal of or interest on, or any payment or other distribution (whether in cash, securities or other property), including any sinking fund or similar deposit, on account of the purchase, redemption, retirement, acquisition, cancellation or termination of, any Subordinated Indebtedness (other than intercompany loans among Subsidiary Loan Parties and the Borrower), except:</w:t>
      </w:r>
    </w:p>
    <w:p>
      <w:pPr>
        <w:spacing w:after="0" w:line="46" w:lineRule="exact"/>
        <w:rPr>
          <w:rFonts w:ascii="Times New Roman" w:cs="Times New Roman" w:eastAsia="Times New Roman" w:hAnsi="Times New Roman"/>
          <w:sz w:val="16"/>
          <w:szCs w:val="16"/>
          <w:color w:val="auto"/>
        </w:rPr>
      </w:pPr>
    </w:p>
    <w:p>
      <w:pPr>
        <w:ind w:left="540" w:right="640" w:firstLine="410"/>
        <w:spacing w:after="0" w:line="267" w:lineRule="auto"/>
        <w:tabs>
          <w:tab w:leader="none" w:pos="115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as and when due in respect of such Indebtedness, other than as prohibited by any subordination provisions thereof;</w:t>
      </w:r>
    </w:p>
    <w:p>
      <w:pPr>
        <w:spacing w:after="0" w:line="64" w:lineRule="exact"/>
        <w:rPr>
          <w:rFonts w:ascii="Times New Roman" w:cs="Times New Roman" w:eastAsia="Times New Roman" w:hAnsi="Times New Roman"/>
          <w:sz w:val="18"/>
          <w:szCs w:val="18"/>
          <w:color w:val="auto"/>
        </w:rPr>
      </w:pPr>
    </w:p>
    <w:p>
      <w:pPr>
        <w:ind w:left="540" w:right="60" w:firstLine="410"/>
        <w:spacing w:after="0" w:line="251" w:lineRule="auto"/>
        <w:tabs>
          <w:tab w:leader="none" w:pos="120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in respect of the Google Note, earn-outs, milestone and other similar deferred purchase price obligations in an aggregate amount not to exceed the Available Basket Amount; provided that (x) before and immediately after giving effect to any such prepayment, no Specified Event of Default has occurred and is continuing or would result therefrom and (y) pro forma Liquidity after giving effect thereto shall exceed $100,000,000;</w:t>
      </w:r>
    </w:p>
    <w:p>
      <w:pPr>
        <w:spacing w:after="0" w:line="79" w:lineRule="exact"/>
        <w:rPr>
          <w:rFonts w:ascii="Times New Roman" w:cs="Times New Roman" w:eastAsia="Times New Roman" w:hAnsi="Times New Roman"/>
          <w:sz w:val="18"/>
          <w:szCs w:val="18"/>
          <w:color w:val="auto"/>
        </w:rPr>
      </w:pPr>
    </w:p>
    <w:p>
      <w:pPr>
        <w:ind w:left="540" w:right="60" w:firstLine="410"/>
        <w:spacing w:after="0" w:line="249" w:lineRule="auto"/>
        <w:tabs>
          <w:tab w:leader="none" w:pos="125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payments in respect of any earn-out, milestone and other similar deferred purchase price obligations in an aggregate amount not to exceed, when taken together with the aggregate amount of Investments made pursuant to Section 6.04(a)(iv), $5,000,000 per fiscal year and $25,000,000 during the term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before and immediately after giving effect to any such Investment, no Specified Event of Default has occurred and is continuing or would result therefrom and (y) pro forma Liquidity after giving effect thereto shall exceed $50,000,000;</w:t>
      </w:r>
    </w:p>
    <w:p>
      <w:pPr>
        <w:spacing w:after="0" w:line="81" w:lineRule="exact"/>
        <w:rPr>
          <w:rFonts w:ascii="Times New Roman" w:cs="Times New Roman" w:eastAsia="Times New Roman" w:hAnsi="Times New Roman"/>
          <w:sz w:val="18"/>
          <w:szCs w:val="18"/>
          <w:color w:val="auto"/>
        </w:rPr>
      </w:pPr>
    </w:p>
    <w:p>
      <w:pPr>
        <w:ind w:left="1240" w:hanging="290"/>
        <w:spacing w:after="0"/>
        <w:tabs>
          <w:tab w:leader="none" w:pos="12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thereof with any Indebtedness (to the extent such Indebtedness constitutes a Permitted Refinancing); and</w:t>
      </w:r>
    </w:p>
    <w:p>
      <w:pPr>
        <w:spacing w:after="0" w:line="108" w:lineRule="exact"/>
        <w:rPr>
          <w:rFonts w:ascii="Times New Roman" w:cs="Times New Roman" w:eastAsia="Times New Roman" w:hAnsi="Times New Roman"/>
          <w:sz w:val="18"/>
          <w:szCs w:val="18"/>
          <w:color w:val="auto"/>
        </w:rPr>
      </w:pPr>
    </w:p>
    <w:p>
      <w:pPr>
        <w:ind w:left="540" w:right="180" w:firstLine="410"/>
        <w:spacing w:after="0" w:line="267" w:lineRule="auto"/>
        <w:tabs>
          <w:tab w:leader="none" w:pos="11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of any such Indebtedness into, or redemption, repurchase, prepayment, defeasance or other retirement of any such Indebtedness with, Borrower’s Equity Interests.</w:t>
      </w:r>
    </w:p>
    <w:p>
      <w:pPr>
        <w:spacing w:after="0" w:line="170" w:lineRule="exact"/>
        <w:rPr>
          <w:sz w:val="20"/>
          <w:szCs w:val="20"/>
          <w:color w:val="auto"/>
        </w:rPr>
      </w:pPr>
    </w:p>
    <w:p>
      <w:pPr>
        <w:ind w:right="4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will not, nor will it permit any Subsidiary to, sell, lease or otherwise transfer any property or assets to, or purchase, lease or otherwise acquire any property or assets from, or otherwise engage in any other transactions with, any of its Affiliates, involving aggregate payments or consideration in excess of $2,500,000 for any individual transaction or series of related transactions, except:</w:t>
      </w:r>
    </w:p>
    <w:p>
      <w:pPr>
        <w:spacing w:after="0" w:line="79" w:lineRule="exact"/>
        <w:rPr>
          <w:sz w:val="20"/>
          <w:szCs w:val="20"/>
          <w:color w:val="auto"/>
        </w:rPr>
      </w:pPr>
    </w:p>
    <w:p>
      <w:pPr>
        <w:ind w:firstLine="972"/>
        <w:spacing w:after="0" w:line="267" w:lineRule="auto"/>
        <w:tabs>
          <w:tab w:leader="none" w:pos="120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that are at prices and on terms and conditions not less favorable to the Borrower or such Subsidiary than could be obtained on an arm’s-length basis from unrelated third parties,</w:t>
      </w:r>
    </w:p>
    <w:p>
      <w:pPr>
        <w:spacing w:after="0" w:line="64" w:lineRule="exact"/>
        <w:rPr>
          <w:rFonts w:ascii="Times New Roman" w:cs="Times New Roman" w:eastAsia="Times New Roman" w:hAnsi="Times New Roman"/>
          <w:sz w:val="18"/>
          <w:szCs w:val="18"/>
          <w:color w:val="auto"/>
        </w:rPr>
      </w:pPr>
    </w:p>
    <w:p>
      <w:pPr>
        <w:jc w:val="both"/>
        <w:ind w:right="100" w:firstLine="972"/>
        <w:spacing w:after="0" w:line="255" w:lineRule="auto"/>
        <w:tabs>
          <w:tab w:leader="none" w:pos="121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transactions between or among the Borrower and the Subsidiary Loan Parties, (ii) transactions between or among Subsidiaries that are not Subsidiary Loan Parties and (iii) transactions between or among the Borrower and the Subsidiary consistent with past practice and made in the ordinary course,</w:t>
      </w:r>
    </w:p>
    <w:p>
      <w:pPr>
        <w:spacing w:after="0" w:line="75"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permitted under Sections 6.01, 6.02, 6.03, 6.04, 6.05 or 6.08,</w:t>
      </w:r>
    </w:p>
    <w:p>
      <w:pPr>
        <w:spacing w:after="0" w:line="108"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660"/>
          </w:cols>
          <w:pgMar w:left="580" w:top="265" w:right="659" w:bottom="1440" w:gutter="0" w:footer="0" w:header="0"/>
        </w:sectPr>
      </w:pPr>
    </w:p>
    <w:bookmarkStart w:id="403" w:name="page404"/>
    <w:bookmarkEnd w:id="403"/>
    <w:p>
      <w:pPr>
        <w:ind w:left="1040" w:hanging="228"/>
        <w:spacing w:after="0"/>
        <w:tabs>
          <w:tab w:leader="none" w:pos="1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[reserved],</w:t>
      </w:r>
    </w:p>
    <w:p>
      <w:pPr>
        <w:spacing w:after="0" w:line="108" w:lineRule="exact"/>
        <w:rPr>
          <w:rFonts w:ascii="Times New Roman" w:cs="Times New Roman" w:eastAsia="Times New Roman" w:hAnsi="Times New Roman"/>
          <w:sz w:val="18"/>
          <w:szCs w:val="18"/>
          <w:color w:val="auto"/>
        </w:rPr>
      </w:pPr>
    </w:p>
    <w:p>
      <w:pPr>
        <w:ind w:left="1040" w:hanging="228"/>
        <w:spacing w:after="0"/>
        <w:tabs>
          <w:tab w:leader="none" w:pos="1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060" w:hanging="248"/>
        <w:spacing w:after="0"/>
        <w:tabs>
          <w:tab w:leader="none" w:pos="10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60" w:right="60" w:firstLine="972"/>
        <w:spacing w:after="0" w:line="255" w:lineRule="auto"/>
        <w:tabs>
          <w:tab w:leader="none" w:pos="105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sublease entered into between the Borrower or any Subsidiary, as lessee or sublessee, and any of the Affiliates (as of the Effective Date) of the Borrower or entity controlled by such Affiliates, as lessor or sublessor, which is approved in good faith by a majority of the disinterested members of the Board of Directors of the Borrower,</w:t>
      </w:r>
    </w:p>
    <w:p>
      <w:pPr>
        <w:spacing w:after="0" w:line="75" w:lineRule="exact"/>
        <w:rPr>
          <w:rFonts w:ascii="Times New Roman" w:cs="Times New Roman" w:eastAsia="Times New Roman" w:hAnsi="Times New Roman"/>
          <w:sz w:val="18"/>
          <w:szCs w:val="18"/>
          <w:color w:val="auto"/>
        </w:rPr>
      </w:pPr>
    </w:p>
    <w:p>
      <w:pPr>
        <w:ind w:left="-160" w:right="360" w:firstLine="972"/>
        <w:spacing w:after="0" w:line="267" w:lineRule="auto"/>
        <w:tabs>
          <w:tab w:leader="none" w:pos="101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any joint venture in the ordinary course of business (including any cash management activities related thereto),</w:t>
      </w:r>
    </w:p>
    <w:p>
      <w:pPr>
        <w:spacing w:after="0" w:line="64" w:lineRule="exact"/>
        <w:rPr>
          <w:rFonts w:ascii="Times New Roman" w:cs="Times New Roman" w:eastAsia="Times New Roman" w:hAnsi="Times New Roman"/>
          <w:sz w:val="18"/>
          <w:szCs w:val="18"/>
          <w:color w:val="auto"/>
        </w:rPr>
      </w:pPr>
    </w:p>
    <w:p>
      <w:pPr>
        <w:ind w:left="1020" w:hanging="208"/>
        <w:spacing w:after="0"/>
        <w:tabs>
          <w:tab w:leader="none" w:pos="10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60" w:firstLine="972"/>
        <w:spacing w:after="0" w:line="255" w:lineRule="auto"/>
        <w:tabs>
          <w:tab w:leader="none" w:pos="105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any Subsidiary in the ordinary course of business,</w:t>
      </w:r>
    </w:p>
    <w:p>
      <w:pPr>
        <w:spacing w:after="0" w:line="75" w:lineRule="exact"/>
        <w:rPr>
          <w:rFonts w:ascii="Times New Roman" w:cs="Times New Roman" w:eastAsia="Times New Roman" w:hAnsi="Times New Roman"/>
          <w:sz w:val="18"/>
          <w:szCs w:val="18"/>
          <w:color w:val="auto"/>
        </w:rPr>
      </w:pPr>
    </w:p>
    <w:p>
      <w:pPr>
        <w:ind w:left="-160" w:right="640" w:firstLine="972"/>
        <w:spacing w:after="0" w:line="267" w:lineRule="auto"/>
        <w:tabs>
          <w:tab w:leader="none" w:pos="101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issuances of securities or other payments, awards or grants in cash, securities or otherwise pursuant to, or the funding of, employment agreements, stock options and stock ownership plans approved by the Borrower’s Board of Directors,</w:t>
      </w:r>
    </w:p>
    <w:p>
      <w:pPr>
        <w:spacing w:after="0" w:line="64" w:lineRule="exact"/>
        <w:rPr>
          <w:rFonts w:ascii="Times New Roman" w:cs="Times New Roman" w:eastAsia="Times New Roman" w:hAnsi="Times New Roman"/>
          <w:sz w:val="18"/>
          <w:szCs w:val="18"/>
          <w:color w:val="auto"/>
        </w:rPr>
      </w:pPr>
    </w:p>
    <w:p>
      <w:pPr>
        <w:ind w:left="-160" w:firstLine="972"/>
        <w:spacing w:after="0" w:line="255" w:lineRule="auto"/>
        <w:tabs>
          <w:tab w:leader="none" w:pos="1101"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pursuant to agreements existing on the Effective Date and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amendments thereto to the extent such amendments are not materially less favorable to the Borrower or such Subsidiary Loan Party than those provided for in the original agreements,</w:t>
      </w:r>
    </w:p>
    <w:p>
      <w:pPr>
        <w:spacing w:after="0" w:line="75" w:lineRule="exact"/>
        <w:rPr>
          <w:rFonts w:ascii="Times New Roman" w:cs="Times New Roman" w:eastAsia="Times New Roman" w:hAnsi="Times New Roman"/>
          <w:sz w:val="18"/>
          <w:szCs w:val="18"/>
          <w:color w:val="auto"/>
        </w:rPr>
      </w:pPr>
    </w:p>
    <w:p>
      <w:pPr>
        <w:ind w:left="-160" w:right="200" w:firstLine="972"/>
        <w:spacing w:after="0" w:line="267" w:lineRule="auto"/>
        <w:tabs>
          <w:tab w:leader="none" w:pos="105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severance arrangements entered into in the ordinary course of business and approved by the Borrower’s Board of Directors between the Borrower or any Subsidiary and any employee thereof,</w:t>
      </w:r>
    </w:p>
    <w:p>
      <w:pPr>
        <w:spacing w:after="0" w:line="64" w:lineRule="exact"/>
        <w:rPr>
          <w:rFonts w:ascii="Times New Roman" w:cs="Times New Roman" w:eastAsia="Times New Roman" w:hAnsi="Times New Roman"/>
          <w:sz w:val="18"/>
          <w:szCs w:val="18"/>
          <w:color w:val="auto"/>
        </w:rPr>
      </w:pPr>
    </w:p>
    <w:p>
      <w:pPr>
        <w:ind w:left="1060" w:hanging="248"/>
        <w:spacing w:after="0"/>
        <w:tabs>
          <w:tab w:leader="none" w:pos="10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or to be made in connection with the Transactions, including the payment of the Transaction Costs,</w:t>
      </w:r>
    </w:p>
    <w:p>
      <w:pPr>
        <w:spacing w:after="0" w:line="108" w:lineRule="exact"/>
        <w:rPr>
          <w:rFonts w:ascii="Times New Roman" w:cs="Times New Roman" w:eastAsia="Times New Roman" w:hAnsi="Times New Roman"/>
          <w:sz w:val="18"/>
          <w:szCs w:val="18"/>
          <w:color w:val="auto"/>
        </w:rPr>
      </w:pPr>
    </w:p>
    <w:p>
      <w:pPr>
        <w:ind w:left="1060" w:hanging="248"/>
        <w:spacing w:after="0"/>
        <w:tabs>
          <w:tab w:leader="none" w:pos="10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08" w:lineRule="exact"/>
        <w:rPr>
          <w:rFonts w:ascii="Times New Roman" w:cs="Times New Roman" w:eastAsia="Times New Roman" w:hAnsi="Times New Roman"/>
          <w:sz w:val="18"/>
          <w:szCs w:val="18"/>
          <w:color w:val="auto"/>
        </w:rPr>
      </w:pPr>
    </w:p>
    <w:p>
      <w:pPr>
        <w:ind w:left="1060" w:hanging="248"/>
        <w:spacing w:after="0"/>
        <w:tabs>
          <w:tab w:leader="none" w:pos="10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08" w:lineRule="exact"/>
        <w:rPr>
          <w:rFonts w:ascii="Times New Roman" w:cs="Times New Roman" w:eastAsia="Times New Roman" w:hAnsi="Times New Roman"/>
          <w:sz w:val="18"/>
          <w:szCs w:val="18"/>
          <w:color w:val="auto"/>
        </w:rPr>
      </w:pPr>
    </w:p>
    <w:p>
      <w:pPr>
        <w:ind w:left="1040" w:hanging="228"/>
        <w:spacing w:after="0"/>
        <w:tabs>
          <w:tab w:leader="none" w:pos="1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management services agreements or similar agreements between the Borrower or any Subsidiary.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400"/>
          </w:cols>
          <w:pgMar w:left="740" w:top="265" w:right="759" w:bottom="1440" w:gutter="0" w:footer="0" w:header="0"/>
        </w:sectPr>
      </w:pPr>
    </w:p>
    <w:bookmarkStart w:id="404" w:name="page405"/>
    <w:bookmarkEnd w:id="40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160" w:firstLine="972"/>
        <w:spacing w:after="0" w:line="249" w:lineRule="auto"/>
        <w:tabs>
          <w:tab w:leader="none" w:pos="1202"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and (c) below, the Borrower will not, nor will it permit any Subsidiary to, directly or indirectly, enter into, incur or permit to exist any agreement or other arrangement that prohibits, restricts or imposes any condition upon (i) the ability of the Borrower or any Subsidiary to create, incur or permit to exist any Lien upon any of its property or assets or (ii) the ability of any Subsidiary to pay dividends or other distributions with respect to any shares of its capital stock or to make or repay loans or advances to the Borrower or any Subsidiary or to Guarantee Indebtedness of the Borrower or any other Subsidiary.</w:t>
      </w:r>
    </w:p>
    <w:p>
      <w:pPr>
        <w:spacing w:after="0" w:line="81" w:lineRule="exact"/>
        <w:rPr>
          <w:rFonts w:ascii="Times New Roman" w:cs="Times New Roman" w:eastAsia="Times New Roman" w:hAnsi="Times New Roman"/>
          <w:sz w:val="18"/>
          <w:szCs w:val="18"/>
          <w:color w:val="auto"/>
        </w:rPr>
      </w:pPr>
    </w:p>
    <w:p>
      <w:pPr>
        <w:ind w:right="20" w:firstLine="972"/>
        <w:spacing w:after="0" w:line="276" w:lineRule="auto"/>
        <w:tabs>
          <w:tab w:leader="none" w:pos="1212" w:val="left"/>
        </w:tabs>
        <w:numPr>
          <w:ilvl w:val="1"/>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6.10(a) shall not apply to restrictions and conditions (i) imposed by law or by any Loan Document, (ii) existing on the Effective Date and identified on </w:t>
      </w:r>
      <w:r>
        <w:rPr>
          <w:rFonts w:ascii="Times New Roman" w:cs="Times New Roman" w:eastAsia="Times New Roman" w:hAnsi="Times New Roman"/>
          <w:sz w:val="16"/>
          <w:szCs w:val="16"/>
          <w:u w:val="single" w:color="auto"/>
          <w:color w:val="auto"/>
        </w:rPr>
        <w:t>Schedule 6.10</w:t>
      </w:r>
      <w:r>
        <w:rPr>
          <w:rFonts w:ascii="Times New Roman" w:cs="Times New Roman" w:eastAsia="Times New Roman" w:hAnsi="Times New Roman"/>
          <w:sz w:val="16"/>
          <w:szCs w:val="16"/>
          <w:color w:val="auto"/>
        </w:rPr>
        <w:t xml:space="preserve"> (but shall apply to any extension or renewal of, or any amendment or modification expanding the scope of, any such restriction or condition unless such amendment is not otherwise prohibited by Section 6.11), (iii) contained in agreements relating to the sale of a Subsidiary pending such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restrictions and conditions apply only to the Subsidiary that is to be sold and such sale is permitted hereunder, (iv) imposed by any customary provisions restricting assignment of any agreement entered into the ordinary course of business, (v) imposed by any instrument or agreement governing Indebtedness of a Subsidiary acquired by the Borrower or any of the Subsidiaries as in effect at the time of such acquisition (except to the extent such Indebtedness was incurred in connection with or in contemplation of such acquisition), which encumbrance or restriction is not applicable to any Person, or the properties or assets of any such Person, other than the Person or any of its Subsidiaries, so acquired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Indebtedness was permitted by Section 6.01 to be incurred), (vi) imposed by any instrument or agreement governing Indebtedness of the Borrower or any Subsidiary that is incurred or issued subsequent to the Effective Date and is permitted pursuant to Section 6.01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restrictions in such Indebtedness are not materially more restrictive in the aggregate than the restrictions contained in this Agreement), or</w:t>
      </w:r>
    </w:p>
    <w:p>
      <w:pPr>
        <w:spacing w:after="0" w:line="1" w:lineRule="exact"/>
        <w:rPr>
          <w:rFonts w:ascii="Times New Roman" w:cs="Times New Roman" w:eastAsia="Times New Roman" w:hAnsi="Times New Roman"/>
          <w:sz w:val="16"/>
          <w:szCs w:val="16"/>
          <w:color w:val="auto"/>
        </w:rPr>
      </w:pPr>
    </w:p>
    <w:p>
      <w:pPr>
        <w:ind w:right="340" w:firstLine="8"/>
        <w:spacing w:after="0" w:line="245" w:lineRule="auto"/>
        <w:tabs>
          <w:tab w:leader="none" w:pos="34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shareholders agreements, joint venture agreements, organization constitutive documents or similar binding agreements relating to any joint venture or non-wholly-owned Subsidiary and other similar agreements applicable to joint ventures and non-wholly-owned Subsidiaries and applicable solely to such joint venture or non-wholly-owned Subsidiary and the Equity Interests issued thereby.</w:t>
      </w:r>
    </w:p>
    <w:p>
      <w:pPr>
        <w:spacing w:after="0" w:line="83"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6.10(a)(i) shall not apply to restrictions or conditions imposed by customary provisions in leases restricting the assignment</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195" w:lineRule="exact"/>
        <w:rPr>
          <w:sz w:val="20"/>
          <w:szCs w:val="20"/>
          <w:color w:val="auto"/>
        </w:rPr>
      </w:pPr>
    </w:p>
    <w:p>
      <w:pPr>
        <w:ind w:right="40" w:firstLine="964"/>
        <w:spacing w:after="0" w:line="24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The Borrower will not, nor will it permit any Subsidiary to, amend, modify or waive any of its rights under (a) any documentation governing any Subordinated Indebtedness (other than on terms that would be permitted in a Permitted Refinancing thereof or as permitted in accordance with any intercreditor agreement), (b) the Google Note (in an manner that would be adverse in any material respect to the interests of the Lenders (including, without limitation, modifications or amendments that advance the maturity date thereof to a date sooner that 135 days after the Term Loan Maturity Date)) or (c) its certificate of incorporation, by-laws or other organizational documents (to the extent such amendment, modification or waiver would be materially adverse to the Lenders).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Financial Performance Covenants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60" w:firstLine="972"/>
        <w:spacing w:after="0" w:line="331" w:lineRule="auto"/>
        <w:tabs>
          <w:tab w:leader="none" w:pos="1202"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Liquidity</w:t>
      </w:r>
      <w:r>
        <w:rPr>
          <w:rFonts w:ascii="Times New Roman" w:cs="Times New Roman" w:eastAsia="Times New Roman" w:hAnsi="Times New Roman"/>
          <w:sz w:val="16"/>
          <w:szCs w:val="16"/>
          <w:color w:val="auto"/>
        </w:rPr>
        <w:t>. As of the last day of each month, commencing with the month ending December 31, 2022, the Borrower shall not permit Liquidity, calculated as the average daily balance for the month then ended, to be less than $25,000,000 (the “</w:t>
      </w:r>
      <w:r>
        <w:rPr>
          <w:rFonts w:ascii="Times New Roman" w:cs="Times New Roman" w:eastAsia="Times New Roman" w:hAnsi="Times New Roman"/>
          <w:sz w:val="16"/>
          <w:szCs w:val="16"/>
          <w:u w:val="single" w:color="auto"/>
          <w:color w:val="auto"/>
        </w:rPr>
        <w:t>Minimum Liquidity Amount</w:t>
      </w:r>
      <w:r>
        <w:rPr>
          <w:rFonts w:ascii="Times New Roman" w:cs="Times New Roman" w:eastAsia="Times New Roman" w:hAnsi="Times New Roman"/>
          <w:sz w:val="16"/>
          <w:szCs w:val="16"/>
          <w:color w:val="auto"/>
        </w:rPr>
        <w:t>”).</w:t>
      </w:r>
    </w:p>
    <w:p>
      <w:pPr>
        <w:spacing w:after="0" w:line="17" w:lineRule="exact"/>
        <w:rPr>
          <w:rFonts w:ascii="Times New Roman" w:cs="Times New Roman" w:eastAsia="Times New Roman" w:hAnsi="Times New Roman"/>
          <w:sz w:val="16"/>
          <w:szCs w:val="16"/>
          <w:color w:val="auto"/>
        </w:rPr>
      </w:pPr>
    </w:p>
    <w:p>
      <w:pPr>
        <w:ind w:firstLine="972"/>
        <w:spacing w:after="0" w:line="255" w:lineRule="auto"/>
        <w:tabs>
          <w:tab w:leader="none" w:pos="121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Revenue</w:t>
      </w:r>
      <w:r>
        <w:rPr>
          <w:rFonts w:ascii="Times New Roman" w:cs="Times New Roman" w:eastAsia="Times New Roman" w:hAnsi="Times New Roman"/>
          <w:sz w:val="18"/>
          <w:szCs w:val="18"/>
          <w:color w:val="auto"/>
        </w:rPr>
        <w:t>. As of the last day of each fiscal quarter, commencing with the fiscal quarter ending December 31, 2022, the Borrower shall not permit consolidated Revenues of the Borrower and its Subsidiaries for the trailing twelve month period ending on the last day of such fiscal quarter to be less than the amount set forth below of each applicable period: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720"/>
          </w:cols>
          <w:pgMar w:left="580" w:top="265" w:right="599" w:bottom="1440" w:gutter="0" w:footer="0" w:header="0"/>
        </w:sectPr>
      </w:pPr>
    </w:p>
    <w:bookmarkStart w:id="405" w:name="page406"/>
    <w:bookmarkEnd w:id="405"/>
    <w:tbl>
      <w:tblPr>
        <w:tblLayout w:type="fixed"/>
        <w:tblInd w:w="1720" w:type="dxa"/>
        <w:tblCellMar>
          <w:top w:w="0" w:type="dxa"/>
          <w:left w:w="0" w:type="dxa"/>
          <w:bottom w:w="0" w:type="dxa"/>
          <w:right w:w="0" w:type="dxa"/>
        </w:tblCellMar>
      </w:tblPr>
      <w:tr>
        <w:trPr>
          <w:trHeight w:val="189"/>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Quarter End</w:t>
            </w:r>
          </w:p>
        </w:tc>
        <w:tc>
          <w:tcPr>
            <w:tcW w:w="3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Minimum Consolidated Revenues</w:t>
            </w:r>
          </w:p>
        </w:tc>
      </w:tr>
      <w:tr>
        <w:trPr>
          <w:trHeight w:val="196"/>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December 31, 2022</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ind w:left="420"/>
              <w:spacing w:after="0" w:line="196" w:lineRule="exact"/>
              <w:rPr>
                <w:sz w:val="20"/>
                <w:szCs w:val="20"/>
                <w:color w:val="auto"/>
              </w:rPr>
            </w:pPr>
            <w:r>
              <w:rPr>
                <w:rFonts w:ascii="Times New Roman" w:cs="Times New Roman" w:eastAsia="Times New Roman" w:hAnsi="Times New Roman"/>
                <w:sz w:val="18"/>
                <w:szCs w:val="18"/>
                <w:color w:val="auto"/>
                <w:w w:val="94"/>
              </w:rPr>
              <w:t>226,500,000.00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253,100,000.00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283,500,000.00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312,900,000.00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342,700,000.00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371,600,000.00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408,300,000.00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443,000,000.00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459,100,000.00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487,900,000.00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521,900,000.00</w:t>
            </w:r>
          </w:p>
        </w:tc>
      </w:tr>
      <w:tr>
        <w:trPr>
          <w:trHeight w:val="21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556,700,000.00</w:t>
            </w:r>
          </w:p>
        </w:tc>
      </w:tr>
      <w:tr>
        <w:trPr>
          <w:trHeight w:val="21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and each fiscal quarter thereafter</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594,100,000.00</w:t>
            </w: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right="42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Accounting; Fiscal Year</w:t>
      </w:r>
      <w:r>
        <w:rPr>
          <w:rFonts w:ascii="Times New Roman" w:cs="Times New Roman" w:eastAsia="Times New Roman" w:hAnsi="Times New Roman"/>
          <w:sz w:val="18"/>
          <w:szCs w:val="18"/>
          <w:color w:val="auto"/>
        </w:rPr>
        <w:t>. The Borrower will not, and will not permit any of its Subsidiaries to, make any significant change in accounting treatment or reporting practices, except as permitted by GAAP, and will not change its fiscal year-end to a date other than December 31.</w:t>
      </w:r>
    </w:p>
    <w:p>
      <w:pPr>
        <w:spacing w:after="0" w:line="180" w:lineRule="exact"/>
        <w:rPr>
          <w:sz w:val="20"/>
          <w:szCs w:val="20"/>
          <w:color w:val="auto"/>
        </w:rPr>
      </w:pPr>
    </w:p>
    <w:p>
      <w:pPr>
        <w:ind w:right="4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The Borrower will not, and will not permit any of its Subsidiaries to, enter into any Swap Agreement, except (a) Swap Agreements entered into to hedge or mitigate risks to which the Borrower or such Subsidiary has actual exposure (other than those in respect of Equity Interests) and (b) Swap Agreements entered into in order to effectively cap, collar or exchange interest rates (from fixed to floating rates, from one floating rate to another floating rate or otherwise) with respect to any interest-bearing liability or investment of the Borrower or such Subsidiary, in each case, for bona fide hedging purposes and not for speculation.</w:t>
      </w:r>
    </w:p>
    <w:p>
      <w:pPr>
        <w:spacing w:after="0" w:line="187" w:lineRule="exact"/>
        <w:rPr>
          <w:sz w:val="20"/>
          <w:szCs w:val="20"/>
          <w:color w:val="auto"/>
        </w:rPr>
      </w:pPr>
    </w:p>
    <w:p>
      <w:pPr>
        <w:ind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Changes in Name</w:t>
      </w:r>
      <w:r>
        <w:rPr>
          <w:rFonts w:ascii="Times New Roman" w:cs="Times New Roman" w:eastAsia="Times New Roman" w:hAnsi="Times New Roman"/>
          <w:sz w:val="18"/>
          <w:szCs w:val="18"/>
          <w:color w:val="auto"/>
        </w:rPr>
        <w:t>. The Borrower shall not, and shall not permit any of its Subsidiaries to, change its legal name except as permitted by Section 5.03(a).</w:t>
      </w:r>
    </w:p>
    <w:p>
      <w:pPr>
        <w:spacing w:after="0" w:line="170" w:lineRule="exact"/>
        <w:rPr>
          <w:sz w:val="20"/>
          <w:szCs w:val="20"/>
          <w:color w:val="auto"/>
        </w:rPr>
      </w:pPr>
    </w:p>
    <w:p>
      <w:pPr>
        <w:ind w:right="14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OFAC; Patriot Act</w:t>
      </w:r>
      <w:r>
        <w:rPr>
          <w:rFonts w:ascii="Times New Roman" w:cs="Times New Roman" w:eastAsia="Times New Roman" w:hAnsi="Times New Roman"/>
          <w:sz w:val="18"/>
          <w:szCs w:val="18"/>
          <w:color w:val="auto"/>
        </w:rPr>
        <w:t>. The Borrower shall not, and shall not permit any of its Subsidiaries to, fail to comply with the laws, regulations and executive orders referred to in Section 3.17.</w:t>
      </w:r>
    </w:p>
    <w:p>
      <w:pPr>
        <w:spacing w:after="0" w:line="170" w:lineRule="exact"/>
        <w:rPr>
          <w:sz w:val="20"/>
          <w:szCs w:val="20"/>
          <w:color w:val="auto"/>
        </w:rPr>
      </w:pPr>
    </w:p>
    <w:p>
      <w:pPr>
        <w:ind w:right="12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Issuance or Repurchase of Equity Interests</w:t>
      </w:r>
      <w:r>
        <w:rPr>
          <w:rFonts w:ascii="Times New Roman" w:cs="Times New Roman" w:eastAsia="Times New Roman" w:hAnsi="Times New Roman"/>
          <w:sz w:val="18"/>
          <w:szCs w:val="18"/>
          <w:color w:val="auto"/>
        </w:rPr>
        <w:t>. The Borrower shall not, and shall not permit any of its Subsidiaries to, issue any Disqualified Equity Interests.</w:t>
      </w:r>
    </w:p>
    <w:p>
      <w:pPr>
        <w:spacing w:after="0" w:line="170" w:lineRule="exact"/>
        <w:rPr>
          <w:sz w:val="20"/>
          <w:szCs w:val="20"/>
          <w:color w:val="auto"/>
        </w:rPr>
      </w:pPr>
    </w:p>
    <w:p>
      <w:pPr>
        <w:ind w:right="20" w:firstLine="964"/>
        <w:spacing w:after="0" w:line="288" w:lineRule="auto"/>
        <w:rPr>
          <w:sz w:val="20"/>
          <w:szCs w:val="20"/>
          <w:color w:val="auto"/>
        </w:rPr>
      </w:pPr>
      <w:r>
        <w:rPr>
          <w:rFonts w:ascii="Times New Roman" w:cs="Times New Roman" w:eastAsia="Times New Roman" w:hAnsi="Times New Roman"/>
          <w:sz w:val="16"/>
          <w:szCs w:val="16"/>
          <w:color w:val="auto"/>
        </w:rPr>
        <w:t xml:space="preserve">SECTION 6.18. </w:t>
      </w:r>
      <w:r>
        <w:rPr>
          <w:rFonts w:ascii="Times New Roman" w:cs="Times New Roman" w:eastAsia="Times New Roman" w:hAnsi="Times New Roman"/>
          <w:sz w:val="16"/>
          <w:szCs w:val="16"/>
          <w:u w:val="single" w:color="auto"/>
          <w:color w:val="auto"/>
        </w:rPr>
        <w:t>Capital Expenditures</w:t>
      </w:r>
      <w:r>
        <w:rPr>
          <w:rFonts w:ascii="Times New Roman" w:cs="Times New Roman" w:eastAsia="Times New Roman" w:hAnsi="Times New Roman"/>
          <w:sz w:val="16"/>
          <w:szCs w:val="16"/>
          <w:color w:val="auto"/>
        </w:rPr>
        <w:t xml:space="preserve">. The Borrower will not, and will not permit any of its Subsidiaries to, make Capital Expenditures in any fiscal year in an aggregate amount exceeding (i) $25,000,000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 an additional amount with the prior written consent of the Administrative Agent (such consent not to be unreasonably withheld, conditioned or delayed)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(iii) 50% of the Available Basket Amount;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Capital Expenditure made in reliance on the foregoing clause (ii) shall be subject to the following conditions: (x) before and immediately after giving effect to any such Capital Expenditure, no Specified Event of Default has occurred and is continuing or would result therefrom and</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660"/>
          </w:cols>
          <w:pgMar w:left="580" w:top="259" w:right="659" w:bottom="1440" w:gutter="0" w:footer="0" w:header="0"/>
        </w:sectPr>
      </w:pPr>
    </w:p>
    <w:bookmarkStart w:id="406" w:name="page407"/>
    <w:bookmarkEnd w:id="406"/>
    <w:p>
      <w:pPr>
        <w:ind w:left="-20" w:right="140" w:firstLine="972"/>
        <w:spacing w:after="0" w:line="249" w:lineRule="auto"/>
        <w:tabs>
          <w:tab w:leader="none" w:pos="119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pro forma Liquidity after giving effect thereto shall exceed $100,000,000;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unused amount under the foregoing clause (i) of this Section 6.18 shall carry forward to the immediately following fiscal year (such amount, the “</w:t>
      </w:r>
      <w:r>
        <w:rPr>
          <w:rFonts w:ascii="Times New Roman" w:cs="Times New Roman" w:eastAsia="Times New Roman" w:hAnsi="Times New Roman"/>
          <w:sz w:val="18"/>
          <w:szCs w:val="18"/>
          <w:u w:val="single" w:color="auto"/>
          <w:color w:val="auto"/>
        </w:rPr>
        <w:t>Capital Expenditure Carryover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Capital Expenditures made in a particular fiscal year of the Borrower shall first be deemed to have been made with the portion of the Capital Expenditures permitted for such fiscal year before the Capital Expenditure Carryover Amount is applied to such fiscal year.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108" w:lineRule="exact"/>
        <w:rPr>
          <w:sz w:val="20"/>
          <w:szCs w:val="20"/>
          <w:color w:val="auto"/>
        </w:rPr>
      </w:pPr>
    </w:p>
    <w:p>
      <w:pPr>
        <w:ind w:left="-20" w:right="180" w:firstLine="972"/>
        <w:spacing w:after="0" w:line="267" w:lineRule="auto"/>
        <w:tabs>
          <w:tab w:leader="none" w:pos="118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when and as the same shall become due and payable, whether at the due date thereof or at a date fixed for prepayment thereof or otherwise;</w:t>
      </w:r>
    </w:p>
    <w:p>
      <w:pPr>
        <w:spacing w:after="0" w:line="64" w:lineRule="exact"/>
        <w:rPr>
          <w:rFonts w:ascii="Times New Roman" w:cs="Times New Roman" w:eastAsia="Times New Roman" w:hAnsi="Times New Roman"/>
          <w:sz w:val="18"/>
          <w:szCs w:val="18"/>
          <w:color w:val="auto"/>
        </w:rPr>
      </w:pPr>
    </w:p>
    <w:p>
      <w:pPr>
        <w:ind w:left="-20" w:right="180" w:firstLine="972"/>
        <w:spacing w:after="0" w:line="255" w:lineRule="auto"/>
        <w:tabs>
          <w:tab w:leader="none" w:pos="119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(including any Make Whole/Prepayment Fee Amount) or any other amount (other than an amount referred to in Section 7.01(a)) payable under this Agreement or any other Loan Document, when and as the same shall become due and payable, and such failure shall continue unremedied for a period of five Business Days;</w:t>
      </w:r>
    </w:p>
    <w:p>
      <w:pPr>
        <w:spacing w:after="0" w:line="75" w:lineRule="exact"/>
        <w:rPr>
          <w:rFonts w:ascii="Times New Roman" w:cs="Times New Roman" w:eastAsia="Times New Roman" w:hAnsi="Times New Roman"/>
          <w:sz w:val="18"/>
          <w:szCs w:val="18"/>
          <w:color w:val="auto"/>
        </w:rPr>
      </w:pPr>
    </w:p>
    <w:p>
      <w:pPr>
        <w:ind w:left="-20" w:right="180" w:firstLine="972"/>
        <w:spacing w:after="0" w:line="288" w:lineRule="auto"/>
        <w:tabs>
          <w:tab w:leader="none" w:pos="1182"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or deemed made by or on behalf of the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(except to the extent any such representation or warranty is qualified by “materially”, “Material Adverse Effect” or a similar term, in which case such representation or warranty shall prove to have been incorrect in any respect) when made or deemed made;</w:t>
      </w:r>
    </w:p>
    <w:p>
      <w:pPr>
        <w:spacing w:after="0" w:line="51" w:lineRule="exact"/>
        <w:rPr>
          <w:rFonts w:ascii="Times New Roman" w:cs="Times New Roman" w:eastAsia="Times New Roman" w:hAnsi="Times New Roman"/>
          <w:sz w:val="16"/>
          <w:szCs w:val="16"/>
          <w:color w:val="auto"/>
        </w:rPr>
      </w:pPr>
    </w:p>
    <w:p>
      <w:pPr>
        <w:ind w:left="-20" w:right="140" w:firstLine="972"/>
        <w:spacing w:after="0" w:line="255" w:lineRule="auto"/>
        <w:tabs>
          <w:tab w:leader="none" w:pos="119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5.02(a), 5.04 (with respect to the existence of the Borrower) or in Article VI (it being understood and agreed that any breach of Section 6.12(b) is subject to cure as provided in Section 7.02);</w:t>
      </w:r>
    </w:p>
    <w:p>
      <w:pPr>
        <w:spacing w:after="0" w:line="75" w:lineRule="exact"/>
        <w:rPr>
          <w:rFonts w:ascii="Times New Roman" w:cs="Times New Roman" w:eastAsia="Times New Roman" w:hAnsi="Times New Roman"/>
          <w:sz w:val="18"/>
          <w:szCs w:val="18"/>
          <w:color w:val="auto"/>
        </w:rPr>
      </w:pPr>
    </w:p>
    <w:p>
      <w:pPr>
        <w:ind w:left="-20" w:right="360" w:firstLine="972"/>
        <w:spacing w:after="0" w:line="267" w:lineRule="auto"/>
        <w:tabs>
          <w:tab w:leader="none" w:pos="118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5.01(a), (b), (c) or (d) and such failure shall continue unremedied for a period of 10 days;</w:t>
      </w:r>
    </w:p>
    <w:p>
      <w:pPr>
        <w:spacing w:after="0" w:line="64" w:lineRule="exact"/>
        <w:rPr>
          <w:rFonts w:ascii="Times New Roman" w:cs="Times New Roman" w:eastAsia="Times New Roman" w:hAnsi="Times New Roman"/>
          <w:sz w:val="18"/>
          <w:szCs w:val="18"/>
          <w:color w:val="auto"/>
        </w:rPr>
      </w:pPr>
    </w:p>
    <w:p>
      <w:pPr>
        <w:ind w:left="-20" w:firstLine="972"/>
        <w:spacing w:after="0" w:line="255" w:lineRule="auto"/>
        <w:tabs>
          <w:tab w:leader="none" w:pos="1163"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Loan Party shall fail to observe or perform any covenant, condition or agreement contained in any Loan Document (other than those specified in Sections 7.01(a), (b), (d) or (e)), and such failure shall continue unremedied for a period of 30 days after notice thereof from the Administrative Agent to the Borrower (which notice will be given at the request of any Lender);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700"/>
          </w:cols>
          <w:pgMar w:left="600" w:top="265" w:right="599" w:bottom="1440" w:gutter="0" w:footer="0" w:header="0"/>
        </w:sectPr>
      </w:pPr>
    </w:p>
    <w:bookmarkStart w:id="407" w:name="page408"/>
    <w:bookmarkEnd w:id="407"/>
    <w:p>
      <w:pPr>
        <w:ind w:left="-860" w:right="40" w:firstLine="972"/>
        <w:spacing w:after="0" w:line="285" w:lineRule="auto"/>
        <w:tabs>
          <w:tab w:leader="none" w:pos="352"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Borrower or any Subsidiary shall fail to make any payment (whether of principal or interest and regardless of amount) in respect of any Material Indebtedness, when and as the same shall become due and payable (after giving effect to any applicable grace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paragraph (g) shall not apply to any Indebtedness if the sole remedy of the holder thereof in the event of such non-payment is to elect to convert such Indebtedness into Qualified Equity Interests (and cash in lieu of fractional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this paragraph (g)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Section 7.01;</w:t>
      </w:r>
    </w:p>
    <w:p>
      <w:pPr>
        <w:spacing w:after="0" w:line="54" w:lineRule="exact"/>
        <w:rPr>
          <w:rFonts w:ascii="Times New Roman" w:cs="Times New Roman" w:eastAsia="Times New Roman" w:hAnsi="Times New Roman"/>
          <w:sz w:val="16"/>
          <w:szCs w:val="16"/>
          <w:color w:val="auto"/>
        </w:rPr>
      </w:pPr>
    </w:p>
    <w:p>
      <w:pPr>
        <w:ind w:left="-860" w:firstLine="972"/>
        <w:spacing w:after="0" w:line="279" w:lineRule="auto"/>
        <w:tabs>
          <w:tab w:leader="none" w:pos="352"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event or condition (other than, with respect to Indebtedness consisting of Swap Agreements, termination events or equivalent events pursuant to the terms of such Swap Agreements and not as a result of any default thereunder by any Loan Party) occurs that results in any Material Indebtedness becoming due prior to its scheduled maturity or that enables or permits (with all applicable grace periods having expired and all required notices have been given)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clause (h) shall not apply to (i) secured Indebtedness that becomes due as a result of the voluntary sale or transfer of the property or assets (to the extent not prohibited under this Agreement) securing such Indebtedness; (ii) termination events or similar events occurring under any Swap Agreement that constitutes Material Indebtedness (it being understood that paragraph (g) of this Section 7.01 will apply to any failure to make any payment required as a result of any such termination or similar event) or (iii) any Indebtedness if the sole remedy of the holder thereof following such event or condition is to elect to convert such Indebtedness into Qualified Equity Interests (and cash in lieu of fractional shares);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this paragraph (h) shall not apply to any such failure that (x) is remedied by the Borrower or any applicable Subsidiary or (y) waived (including in the form of amendment) by the requisite holders of the applicable item of Material Indebtedness in either case, prior to acceleration of all the Loans pursuant to this Section 7.01;</w:t>
      </w:r>
    </w:p>
    <w:p>
      <w:pPr>
        <w:spacing w:after="0" w:line="59" w:lineRule="exact"/>
        <w:rPr>
          <w:rFonts w:ascii="Times New Roman" w:cs="Times New Roman" w:eastAsia="Times New Roman" w:hAnsi="Times New Roman"/>
          <w:sz w:val="16"/>
          <w:szCs w:val="16"/>
          <w:color w:val="auto"/>
        </w:rPr>
      </w:pPr>
    </w:p>
    <w:p>
      <w:pPr>
        <w:ind w:left="-860" w:right="100" w:firstLine="972"/>
        <w:spacing w:after="0" w:line="249" w:lineRule="auto"/>
        <w:tabs>
          <w:tab w:leader="none" w:pos="313"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 Loan Party or any Subsidiary or for a substantial part of its assets, and, in any such case, such proceeding or petition shall continue undismissed or unstayed for 60 days or an order or decree approving or ordering any of the foregoing shall be entered;</w:t>
      </w:r>
    </w:p>
    <w:p>
      <w:pPr>
        <w:spacing w:after="0" w:line="81" w:lineRule="exact"/>
        <w:rPr>
          <w:rFonts w:ascii="Times New Roman" w:cs="Times New Roman" w:eastAsia="Times New Roman" w:hAnsi="Times New Roman"/>
          <w:sz w:val="18"/>
          <w:szCs w:val="18"/>
          <w:color w:val="auto"/>
        </w:rPr>
      </w:pPr>
    </w:p>
    <w:p>
      <w:pPr>
        <w:ind w:left="-860" w:right="20" w:firstLine="972"/>
        <w:spacing w:after="0" w:line="248" w:lineRule="auto"/>
        <w:tabs>
          <w:tab w:leader="none" w:pos="313"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Party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Section 7.01(h), (iii) apply for or consent to the appointment of a receiver, trustee, custodian, sequestrator, conservator or similar official for a Loan Party or any Subsidiary or for a substantial part of its assets, (iv) file an answer admitting the material allegations of a petition filed against it in any such proceeding, (v) make a general assignment for the benefit of creditors or (vi) take any formal action for the purpose of effecting any of the foregoing;</w:t>
      </w:r>
    </w:p>
    <w:p>
      <w:pPr>
        <w:spacing w:after="0" w:line="82" w:lineRule="exact"/>
        <w:rPr>
          <w:rFonts w:ascii="Times New Roman" w:cs="Times New Roman" w:eastAsia="Times New Roman" w:hAnsi="Times New Roman"/>
          <w:sz w:val="18"/>
          <w:szCs w:val="18"/>
          <w:color w:val="auto"/>
        </w:rPr>
      </w:pPr>
    </w:p>
    <w:p>
      <w:pPr>
        <w:ind w:left="4360" w:right="20" w:hanging="4248"/>
        <w:spacing w:after="0" w:line="435" w:lineRule="auto"/>
        <w:tabs>
          <w:tab w:leader="none" w:pos="36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shall become unable, admit in writing its inability or fail generally to pay its debts as they become due; -86-</w:t>
      </w:r>
    </w:p>
    <w:p>
      <w:pPr>
        <w:sectPr>
          <w:pgSz w:w="11900" w:h="16838" w:orient="portrait"/>
          <w:cols w:equalWidth="0" w:num="1">
            <w:col w:w="9840"/>
          </w:cols>
          <w:pgMar w:left="1440" w:top="265" w:right="619" w:bottom="1440" w:gutter="0" w:footer="0" w:header="0"/>
        </w:sectPr>
      </w:pPr>
    </w:p>
    <w:bookmarkStart w:id="408" w:name="page409"/>
    <w:bookmarkEnd w:id="408"/>
    <w:p>
      <w:pPr>
        <w:ind w:right="80" w:firstLine="972"/>
        <w:spacing w:after="0" w:line="249" w:lineRule="auto"/>
        <w:tabs>
          <w:tab w:leader="none" w:pos="117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one or more judgments for the payment of money (to the extent not paid or covered by insurance provided by a carrier that has a credit rating of at least “A” by A.M. Best Company, Inc. and has not denied or disputed coverage) in an aggregate amount in excess of $10,000,000 shall be rendered against a Loan Party, or any combination thereof and the same shall remain unpaid or undischarged for a period of 30 consecutive days during which execution shall not be effectively stayed, or any action shall be legally taken by a judgment creditor to attach or levy upon any assets of the Borrower or any Subsidiary to enforce any such judgment;</w:t>
      </w:r>
    </w:p>
    <w:p>
      <w:pPr>
        <w:spacing w:after="0" w:line="81" w:lineRule="exact"/>
        <w:rPr>
          <w:rFonts w:ascii="Times New Roman" w:cs="Times New Roman" w:eastAsia="Times New Roman" w:hAnsi="Times New Roman"/>
          <w:sz w:val="18"/>
          <w:szCs w:val="18"/>
          <w:color w:val="auto"/>
        </w:rPr>
      </w:pPr>
    </w:p>
    <w:p>
      <w:pPr>
        <w:ind w:right="200" w:firstLine="972"/>
        <w:spacing w:after="0" w:line="255" w:lineRule="auto"/>
        <w:tabs>
          <w:tab w:leader="none" w:pos="126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Required Lenders, when taken together with all other ERISA Events that have occurred, could reasonably be expected to result in liability of the Borrower and the Subsidiaries in an aggregate amount exceeding $10,000,000 for all periods;</w:t>
      </w:r>
    </w:p>
    <w:p>
      <w:pPr>
        <w:spacing w:after="0" w:line="75" w:lineRule="exact"/>
        <w:rPr>
          <w:rFonts w:ascii="Times New Roman" w:cs="Times New Roman" w:eastAsia="Times New Roman" w:hAnsi="Times New Roman"/>
          <w:sz w:val="18"/>
          <w:szCs w:val="18"/>
          <w:color w:val="auto"/>
        </w:rPr>
      </w:pPr>
    </w:p>
    <w:p>
      <w:pPr>
        <w:ind w:firstLine="972"/>
        <w:spacing w:after="0" w:line="248" w:lineRule="auto"/>
        <w:tabs>
          <w:tab w:leader="none" w:pos="121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purported to be created under any Security Document for any reason (other than pursuant to the terms thereof including as a result of a transaction permitted under this Agreement) shall cease to be, or shall be asserted by any Loan Party not to be, a valid and perfected (if and to the extent required to be perfected under the Loan Documents) Lien on any material portion of the Collateral with the priority required by the applicable Security Document,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Collateral Agreement;</w:t>
      </w:r>
    </w:p>
    <w:p>
      <w:pPr>
        <w:spacing w:after="0" w:line="82" w:lineRule="exact"/>
        <w:rPr>
          <w:rFonts w:ascii="Times New Roman" w:cs="Times New Roman" w:eastAsia="Times New Roman" w:hAnsi="Times New Roman"/>
          <w:sz w:val="18"/>
          <w:szCs w:val="18"/>
          <w:color w:val="auto"/>
        </w:rPr>
      </w:pPr>
    </w:p>
    <w:p>
      <w:pPr>
        <w:ind w:left="1220" w:hanging="248"/>
        <w:spacing w:after="0"/>
        <w:tabs>
          <w:tab w:leader="none" w:pos="12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Document shall for any reason be asserted by any Loan Party not to be a legal, valid and binding obligation of any party</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0" w:lineRule="exact"/>
        <w:rPr>
          <w:rFonts w:ascii="Times New Roman" w:cs="Times New Roman" w:eastAsia="Times New Roman" w:hAnsi="Times New Roman"/>
          <w:sz w:val="18"/>
          <w:szCs w:val="18"/>
          <w:color w:val="auto"/>
        </w:rPr>
      </w:pPr>
    </w:p>
    <w:p>
      <w:pPr>
        <w:jc w:val="both"/>
        <w:ind w:right="60" w:firstLine="972"/>
        <w:spacing w:after="0" w:line="255" w:lineRule="auto"/>
        <w:tabs>
          <w:tab w:leader="none" w:pos="121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of the Obligations by the Borrower and the Subsidiary Loan Parties pursuant to the Collateral Agreement shall cease to be in full force and effect (other than in accordance with the terms of the Loan Documents) or shall be asserted by the Borrower or any Subsidiary Loan Party not to be in effect or not to be legal, valid and binding obligations;</w:t>
      </w:r>
    </w:p>
    <w:p>
      <w:pPr>
        <w:spacing w:after="0" w:line="75" w:lineRule="exact"/>
        <w:rPr>
          <w:rFonts w:ascii="Times New Roman" w:cs="Times New Roman" w:eastAsia="Times New Roman" w:hAnsi="Times New Roman"/>
          <w:sz w:val="18"/>
          <w:szCs w:val="18"/>
          <w:color w:val="auto"/>
        </w:rPr>
      </w:pPr>
    </w:p>
    <w:p>
      <w:pPr>
        <w:ind w:right="160" w:firstLine="972"/>
        <w:spacing w:after="0" w:line="255" w:lineRule="auto"/>
        <w:tabs>
          <w:tab w:leader="none" w:pos="121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Subordinated Indebtedness or any Guarantees thereof shall cease, for any reason, to be validly subordinated to the Obligations or the obligations of the Borrower and the Subsidiary Loan Parties in respect of their Guarantees under the Collateral Agreement, as applicable, or any Loan Party or the holders of at least 25% in aggregate principal amount of any Subordinated Indebtedness shall so assert;</w:t>
      </w:r>
    </w:p>
    <w:p>
      <w:pPr>
        <w:spacing w:after="0" w:line="75"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occur;</w:t>
      </w:r>
    </w:p>
    <w:p>
      <w:pPr>
        <w:spacing w:after="0" w:line="108" w:lineRule="exact"/>
        <w:rPr>
          <w:rFonts w:ascii="Times New Roman" w:cs="Times New Roman" w:eastAsia="Times New Roman" w:hAnsi="Times New Roman"/>
          <w:sz w:val="18"/>
          <w:szCs w:val="18"/>
          <w:color w:val="auto"/>
        </w:rPr>
      </w:pPr>
    </w:p>
    <w:p>
      <w:pPr>
        <w:ind w:left="1200" w:hanging="228"/>
        <w:spacing w:after="0"/>
        <w:tabs>
          <w:tab w:leader="none" w:pos="120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Regulatory Liability shall occur;</w:t>
      </w:r>
    </w:p>
    <w:p>
      <w:pPr>
        <w:spacing w:after="0" w:line="108" w:lineRule="exact"/>
        <w:rPr>
          <w:rFonts w:ascii="Times New Roman" w:cs="Times New Roman" w:eastAsia="Times New Roman" w:hAnsi="Times New Roman"/>
          <w:sz w:val="18"/>
          <w:szCs w:val="18"/>
          <w:color w:val="auto"/>
        </w:rPr>
      </w:pPr>
    </w:p>
    <w:p>
      <w:pPr>
        <w:ind w:right="220" w:firstLine="972"/>
        <w:spacing w:after="0" w:line="255" w:lineRule="auto"/>
        <w:tabs>
          <w:tab w:leader="none" w:pos="1173"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shall be terminated, forfeited or revoked or shall fail to be renewed for any reason other than Borrower’s reasonable determination, in consultation with the Administrative Agent, that such Registration is no longer required for its ongoing operations, or shall be modified in a manner materially adverse to the Borrower and its Subsidiaries;</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700"/>
          </w:cols>
          <w:pgMar w:left="580" w:top="265" w:right="619" w:bottom="1440" w:gutter="0" w:footer="0" w:header="0"/>
        </w:sectPr>
      </w:pPr>
    </w:p>
    <w:bookmarkStart w:id="409" w:name="page410"/>
    <w:bookmarkEnd w:id="409"/>
    <w:p>
      <w:pPr>
        <w:ind w:firstLine="972"/>
        <w:spacing w:after="0" w:line="255" w:lineRule="auto"/>
        <w:tabs>
          <w:tab w:leader="none" w:pos="121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writ, judgment, warrant of attachment, execution or similar process shall be issued or levied against a substantial or material part of a Loan Party’s properties, and such writ, judgment, warrant of attachment, execution or similar process shall not be released, vacated or fully bonded within 30 days after commencement, filing or levy; or</w:t>
      </w:r>
    </w:p>
    <w:p>
      <w:pPr>
        <w:spacing w:after="0" w:line="75" w:lineRule="exact"/>
        <w:rPr>
          <w:rFonts w:ascii="Times New Roman" w:cs="Times New Roman" w:eastAsia="Times New Roman" w:hAnsi="Times New Roman"/>
          <w:sz w:val="18"/>
          <w:szCs w:val="18"/>
          <w:color w:val="auto"/>
        </w:rPr>
      </w:pPr>
    </w:p>
    <w:p>
      <w:pPr>
        <w:ind w:firstLine="972"/>
        <w:spacing w:after="0" w:line="278" w:lineRule="auto"/>
        <w:tabs>
          <w:tab w:leader="none" w:pos="1212"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Loan Party shall be enjoined, restrained or in any way prevented by any Governmental Authority from conducting any material part of its business for a material period of time; a Loan Party shall suffer the loss, revocation or termination of any material license, permit, lease or agreement necessary to its business; or any material property of a Loan Party shall be taken or impaired through condemnation, then, and in every such event (other than an event with respect to the Borrower described in Section 7.01(h) or (i)),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(including any Make Whole/Prepayment Fee Amount), shall become due and payable immediately, without presentment, demand, protest or other notice of any kind, all of which are hereby waived by the Borrower; and in case of any event with respect to the Borrower described in Section 7.01(i) or (j),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provided that, the foregoing actions may not be taken in the case of an Event of Default under Section 6.12(b), until the ability to exercise the Cure Right under</w:t>
      </w:r>
    </w:p>
    <w:p>
      <w:pPr>
        <w:spacing w:after="0" w:line="188" w:lineRule="exact"/>
        <w:rPr>
          <w:rFonts w:ascii="Times New Roman" w:cs="Times New Roman" w:eastAsia="Times New Roman" w:hAnsi="Times New Roman"/>
          <w:sz w:val="16"/>
          <w:szCs w:val="16"/>
          <w:color w:val="auto"/>
        </w:rPr>
      </w:pPr>
    </w:p>
    <w:p>
      <w:pPr>
        <w:ind w:right="6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Section 7.02 has expired (but may be taken as soon as the ability to exercise the Cure Right has expired or to the extent that the Borrower has confirmed in writing that it does not intend to provide the Cure Amount).</w:t>
      </w:r>
    </w:p>
    <w:p>
      <w:pPr>
        <w:spacing w:after="0" w:line="186" w:lineRule="exact"/>
        <w:rPr>
          <w:sz w:val="20"/>
          <w:szCs w:val="20"/>
          <w:color w:val="auto"/>
        </w:rPr>
      </w:pPr>
    </w:p>
    <w:p>
      <w:pPr>
        <w:ind w:right="40" w:firstLine="964"/>
        <w:spacing w:after="0" w:line="278" w:lineRule="auto"/>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u w:val="single" w:color="auto"/>
          <w:color w:val="auto"/>
        </w:rPr>
        <w:t>Right to Cure</w:t>
      </w:r>
      <w:r>
        <w:rPr>
          <w:rFonts w:ascii="Times New Roman" w:cs="Times New Roman" w:eastAsia="Times New Roman" w:hAnsi="Times New Roman"/>
          <w:sz w:val="16"/>
          <w:szCs w:val="16"/>
          <w:color w:val="auto"/>
        </w:rPr>
        <w:t xml:space="preserve">. Notwithstanding anything to the contrary contained in this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in the event that the Borrower fails to comply with the requirements of Section 6.12(b) as of the end of any relevant fiscal quarter, the Borrower shall have the right (the “</w:t>
      </w:r>
      <w:r>
        <w:rPr>
          <w:rFonts w:ascii="Times New Roman" w:cs="Times New Roman" w:eastAsia="Times New Roman" w:hAnsi="Times New Roman"/>
          <w:sz w:val="16"/>
          <w:szCs w:val="16"/>
          <w:u w:val="single" w:color="auto"/>
          <w:color w:val="auto"/>
        </w:rPr>
        <w:t>Cure Right</w:t>
      </w:r>
      <w:r>
        <w:rPr>
          <w:rFonts w:ascii="Times New Roman" w:cs="Times New Roman" w:eastAsia="Times New Roman" w:hAnsi="Times New Roman"/>
          <w:sz w:val="16"/>
          <w:szCs w:val="16"/>
          <w:color w:val="auto"/>
        </w:rPr>
        <w:t>”) (at any time during such fiscal quarter or thereafter until the date that is ten Business Days after the date on which the financial statements for such quarter were required to have been delivered in accordance with Section 5.01(b)), to issue Equity Interests for cash or otherwise receive cash contributions to its equity for such Equity Interests (the “</w:t>
      </w:r>
      <w:r>
        <w:rPr>
          <w:rFonts w:ascii="Times New Roman" w:cs="Times New Roman" w:eastAsia="Times New Roman" w:hAnsi="Times New Roman"/>
          <w:sz w:val="16"/>
          <w:szCs w:val="16"/>
          <w:u w:val="single" w:color="auto"/>
          <w:color w:val="auto"/>
        </w:rPr>
        <w:t>Cure Amount</w:t>
      </w:r>
      <w:r>
        <w:rPr>
          <w:rFonts w:ascii="Times New Roman" w:cs="Times New Roman" w:eastAsia="Times New Roman" w:hAnsi="Times New Roman"/>
          <w:sz w:val="16"/>
          <w:szCs w:val="16"/>
          <w:color w:val="auto"/>
        </w:rPr>
        <w:t>”), the proceeds of which shall be required to prepay outstanding Term Loan Borrowings in accordance with Section 2.11(d), and thereupon the Borrower’s compliance with Section 6.12(b) shall be recalculated giving effect to the following pro forma adjustments: (i) Revenue shall be increased, solely for the purposes of determining compliance with Section 6.12(b), including determining compliance with Section 6.12(b) as of the end of such fiscal quarter and applicable subsequent periods that include such fiscal quarter by an amount equal to the Cure Amount and (ii) if, after giving effect to the foregoing recalculations, the requirements of Section 6.12(b) shall be satisfied, then the requirements of Section 6.12(b) shall be deemed satisfied as of the end of the relevant fiscal quarter with the same effect as though there had been no failure to comply therewith at such date, and the applicable breach or default of Section 6.12(b) that had occurred shall be deemed cured for the purposes of this Agreement. Notwithstanding anything herein to the contrary, (v) during the term of this Agreement, the Cure Right shall not be exercised more than two times, (w) the Cure Right shall not be exercised in consecutive fiscal quarters, (x) in each four fiscal quarter period there shall be a period of at least two fiscal quarter in which the Cure Right is not exercised, (y) the Cure Amount shall be no greater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720"/>
          </w:cols>
          <w:pgMar w:left="580" w:top="265" w:right="59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than the amount required for purposes of complying with 6.12(b) for the applicable fiscal quarter and (z) no Event of Default may arise under</w:t>
      </w:r>
    </w:p>
    <w:p>
      <w:pPr>
        <w:spacing w:after="0" w:line="2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Section 6.12(b) until the earlier of (A) the 10th Business Day after the day on which the relevant financial statements are required to be delivered (unless the Cure Right has been exercised two times in the applicable four consecutive fiscal quarter period), and then only to the extent the Cure Amount has not been received on or prior to such date and (B) the date (if any) on which the Borrower delivers notice to the Administrative Agent that the Cure Right with respect to such breach will not be exercised.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Agents</w:t>
      </w:r>
    </w:p>
    <w:p>
      <w:pPr>
        <w:spacing w:after="0" w:line="213" w:lineRule="exact"/>
        <w:rPr>
          <w:sz w:val="20"/>
          <w:szCs w:val="20"/>
          <w:color w:val="auto"/>
        </w:rPr>
      </w:pPr>
    </w:p>
    <w:p>
      <w:pPr>
        <w:ind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The Lenders hereby authorize the Administrative Agent to enter into any intercreditor agreement or arrangement permitted under this Agreement and any such intercreditor agreement or arrangement is binding upon the Lenders.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1" w:lineRule="exact"/>
        <w:rPr>
          <w:sz w:val="20"/>
          <w:szCs w:val="20"/>
          <w:color w:val="auto"/>
        </w:rPr>
      </w:pPr>
    </w:p>
    <w:p>
      <w:pPr>
        <w:ind w:right="40" w:firstLine="964"/>
        <w:spacing w:after="0" w:line="283" w:lineRule="auto"/>
        <w:rPr>
          <w:sz w:val="20"/>
          <w:szCs w:val="20"/>
          <w:color w:val="auto"/>
        </w:rPr>
      </w:pPr>
      <w:r>
        <w:rPr>
          <w:rFonts w:ascii="Times New Roman" w:cs="Times New Roman" w:eastAsia="Times New Roman" w:hAnsi="Times New Roman"/>
          <w:sz w:val="16"/>
          <w:szCs w:val="16"/>
          <w:color w:val="auto"/>
        </w:rPr>
        <w:t xml:space="preserve">SECTION 8.02. </w:t>
      </w:r>
      <w:r>
        <w:rPr>
          <w:rFonts w:ascii="Times New Roman" w:cs="Times New Roman" w:eastAsia="Times New Roman" w:hAnsi="Times New Roman"/>
          <w:sz w:val="16"/>
          <w:szCs w:val="16"/>
          <w:u w:val="single" w:color="auto"/>
          <w:color w:val="auto"/>
        </w:rPr>
        <w:t>The Administrative Agent</w:t>
      </w:r>
      <w:r>
        <w:rPr>
          <w:rFonts w:ascii="Times New Roman" w:cs="Times New Roman" w:eastAsia="Times New Roman" w:hAnsi="Times New Roman"/>
          <w:sz w:val="16"/>
          <w:szCs w:val="16"/>
          <w:color w:val="auto"/>
        </w:rPr>
        <w:t>. The Administrative Agent may execute any of its duties under this Agreement and the other Loan Documents and exercise its rights and powers hereunder or under any other Loan Document by or through agents, sub-agents or attorneys-in-fact and shall be entitled to advice of counsel concerning all matters pertaining to such duties. The Administrative Agent shall not be responsible for the negligence or misconduct of any agents, sub-agents or attorneys in-fact selected by it with reasonable care.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2" w:lineRule="exact"/>
        <w:rPr>
          <w:sz w:val="20"/>
          <w:szCs w:val="20"/>
          <w:color w:val="auto"/>
        </w:rPr>
      </w:pPr>
    </w:p>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Neither any Agent nor any of their respective officers, directors, employees, agents, advisors,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700"/>
          </w:cols>
          <w:pgMar w:left="580" w:top="265" w:right="619" w:bottom="1440" w:gutter="0" w:footer="0" w:header="0"/>
        </w:sectPr>
      </w:pPr>
    </w:p>
    <w:bookmarkStart w:id="411" w:name="page412"/>
    <w:bookmarkEnd w:id="411"/>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 The Administrative Agent does not warrant, nor accept responsibility, nor shall the Administrative Agent have any liability with respect to the administration, submission or any other matter related to the rates in the definition of “SOFR”, or “Term SOFR” or with respect to any comparable or successor rate thereto including, without limitation, whether the composition or characteristics of any such alternative, successor or replacement reference rate, as it may or may not be adjusted pursuant to Section 2.14, will be similar to, or produce the same value or economic equivalence of, Term SOFR.</w:t>
      </w:r>
    </w:p>
    <w:p>
      <w:pPr>
        <w:spacing w:after="0" w:line="189" w:lineRule="exact"/>
        <w:rPr>
          <w:sz w:val="20"/>
          <w:szCs w:val="20"/>
          <w:color w:val="auto"/>
        </w:rPr>
      </w:pPr>
    </w:p>
    <w:p>
      <w:pPr>
        <w:ind w:right="60"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Reliance by Administrative Agent</w:t>
      </w:r>
      <w:r>
        <w:rPr>
          <w:rFonts w:ascii="Times New Roman" w:cs="Times New Roman" w:eastAsia="Times New Roman" w:hAnsi="Times New Roman"/>
          <w:sz w:val="18"/>
          <w:szCs w:val="18"/>
          <w:color w:val="auto"/>
        </w:rPr>
        <w:t>. The Administrative Agent shall be entitled to rely, and shall be fully protected in relying, upon any instrument, writing, resolution, notice, consent, certificate, affidavit, letter, telecopy or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95" w:lineRule="exact"/>
        <w:rPr>
          <w:sz w:val="20"/>
          <w:szCs w:val="20"/>
          <w:color w:val="auto"/>
        </w:rPr>
      </w:pPr>
    </w:p>
    <w:p>
      <w:pPr>
        <w:ind w:right="20" w:firstLine="964"/>
        <w:spacing w:after="0" w:line="283" w:lineRule="auto"/>
        <w:rPr>
          <w:sz w:val="20"/>
          <w:szCs w:val="20"/>
          <w:color w:val="auto"/>
        </w:rPr>
      </w:pPr>
      <w:r>
        <w:rPr>
          <w:rFonts w:ascii="Times New Roman" w:cs="Times New Roman" w:eastAsia="Times New Roman" w:hAnsi="Times New Roman"/>
          <w:sz w:val="16"/>
          <w:szCs w:val="16"/>
          <w:color w:val="auto"/>
        </w:rPr>
        <w:t xml:space="preserve">SECTION 8.05. </w:t>
      </w:r>
      <w:r>
        <w:rPr>
          <w:rFonts w:ascii="Times New Roman" w:cs="Times New Roman" w:eastAsia="Times New Roman" w:hAnsi="Times New Roman"/>
          <w:sz w:val="16"/>
          <w:szCs w:val="16"/>
          <w:u w:val="single" w:color="auto"/>
          <w:color w:val="auto"/>
        </w:rPr>
        <w:t>Notice of Default</w:t>
      </w:r>
      <w:r>
        <w:rPr>
          <w:rFonts w:ascii="Times New Roman" w:cs="Times New Roman" w:eastAsia="Times New Roman" w:hAnsi="Times New Roman"/>
          <w:sz w:val="16"/>
          <w:szCs w:val="16"/>
          <w:color w:val="auto"/>
        </w:rPr>
        <w:t xml:space="preserve">. The Administrative Agent shall not be deemed to have knowledge or notice of the occurrence of any Default or Event of Default unless the Administrative Agent has received notice from a Lender or the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62" w:lineRule="exact"/>
        <w:rPr>
          <w:sz w:val="20"/>
          <w:szCs w:val="20"/>
          <w:color w:val="auto"/>
        </w:rPr>
      </w:pPr>
    </w:p>
    <w:p>
      <w:pPr>
        <w:ind w:firstLine="964"/>
        <w:spacing w:after="0" w:line="248"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Non-Reliance on Agents and Other Lenders</w:t>
      </w:r>
      <w:r>
        <w:rPr>
          <w:rFonts w:ascii="Times New Roman" w:cs="Times New Roman" w:eastAsia="Times New Roman" w:hAnsi="Times New Roman"/>
          <w:sz w:val="18"/>
          <w:szCs w:val="18"/>
          <w:color w:val="auto"/>
        </w:rPr>
        <w:t>. Each Lender expressly acknowledges that neither the Agents nor any of their respective officers, directors, employees, agents, advisors,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700"/>
          </w:cols>
          <w:pgMar w:left="580" w:top="265" w:right="619" w:bottom="1440" w:gutter="0" w:footer="0" w:header="0"/>
        </w:sectPr>
      </w:pPr>
    </w:p>
    <w:bookmarkStart w:id="412" w:name="page413"/>
    <w:bookmarkEnd w:id="412"/>
    <w:p>
      <w:pPr>
        <w:ind w:right="8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respective officers, directors, employees, agents, advisors, attorneys-in-fact or affiliates.</w:t>
      </w:r>
    </w:p>
    <w:p>
      <w:pPr>
        <w:spacing w:after="0" w:line="191" w:lineRule="exact"/>
        <w:rPr>
          <w:sz w:val="20"/>
          <w:szCs w:val="20"/>
          <w:color w:val="auto"/>
        </w:rPr>
      </w:pPr>
    </w:p>
    <w:p>
      <w:pPr>
        <w:ind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Lenders agree to indemnify each Agent and its officers, directors, employees, affiliates, agents, advisors and controlling persons (each, an “</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xml:space="preserve">”)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of the Loans and all other amounts payable hereunder.</w:t>
      </w:r>
    </w:p>
    <w:p>
      <w:pPr>
        <w:spacing w:after="0" w:line="194" w:lineRule="exact"/>
        <w:rPr>
          <w:sz w:val="20"/>
          <w:szCs w:val="20"/>
          <w:color w:val="auto"/>
        </w:rPr>
      </w:pPr>
    </w:p>
    <w:p>
      <w:pPr>
        <w:ind w:right="20" w:firstLine="964"/>
        <w:spacing w:after="0" w:line="25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Loan Party as though such Agent were not an Agent. With respect to its Loans made or renewed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84" w:lineRule="exact"/>
        <w:rPr>
          <w:sz w:val="20"/>
          <w:szCs w:val="20"/>
          <w:color w:val="auto"/>
        </w:rPr>
      </w:pPr>
    </w:p>
    <w:p>
      <w:pPr>
        <w:ind w:right="120" w:firstLine="964"/>
        <w:spacing w:after="0" w:line="247"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Sections 7.01(a), 7.01(b), 7.01(h), 7.01(i) or 7.01(j) with respect to the Borrower shall have occurred and be continuing) be subject to approval by the Borrower (which approval shall not be unreasonably withheld, conditioned or delayed), whereupon such successor agent shall succeed to the rights, powers and duties of the Administrative Agent, and the term “Administrative Agent” shall mean such successor agent effective upon such appointment and approval,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720"/>
          </w:cols>
          <w:pgMar w:left="580" w:top="265" w:right="599" w:bottom="1440" w:gutter="0" w:footer="0" w:header="0"/>
        </w:sectPr>
      </w:pPr>
    </w:p>
    <w:bookmarkStart w:id="413" w:name="page414"/>
    <w:bookmarkEnd w:id="413"/>
    <w:p>
      <w:pPr>
        <w:ind w:right="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successor agent receiving payments from the Loan Parties shall be a “U.S. person” and a “financial institution” within the meaning of Treasury Regulations Section 1.1441-1. After any retiring Administrative Agent’s resignation as Administrative Agent, the provisions of this Section 8 and of Section 9.03 shall continue to inure to its benefit.</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972"/>
        <w:spacing w:after="0" w:line="279" w:lineRule="auto"/>
        <w:tabs>
          <w:tab w:leader="none" w:pos="1202" w:val="left"/>
        </w:tabs>
        <w:numPr>
          <w:ilvl w:val="1"/>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Administrative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16"/>
          <w:szCs w:val="16"/>
          <w:u w:val="single" w:color="auto"/>
          <w:color w:val="auto"/>
        </w:rPr>
        <w:t>Payment Recipient</w:t>
      </w:r>
      <w:r>
        <w:rPr>
          <w:rFonts w:ascii="Times New Roman" w:cs="Times New Roman" w:eastAsia="Times New Roman" w:hAnsi="Times New Roman"/>
          <w:sz w:val="16"/>
          <w:szCs w:val="16"/>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6"/>
          <w:szCs w:val="16"/>
          <w:u w:val="single" w:color="auto"/>
          <w:color w:val="auto"/>
        </w:rPr>
        <w:t>Erroneous Payment</w:t>
      </w:r>
      <w:r>
        <w:rPr>
          <w:rFonts w:ascii="Times New Roman" w:cs="Times New Roman" w:eastAsia="Times New Roman" w:hAnsi="Times New Roman"/>
          <w:sz w:val="16"/>
          <w:szCs w:val="16"/>
          <w:color w:val="auto"/>
        </w:rPr>
        <w:t>”) and (y) demands in writing the return of such Erroneous Payment (or a portion thereof), such Erroneous Payment shall at all times remain the property of the Administrative Agent pending its return or repayment as contemplated below in this Section 8.11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A notice of the Administrative Agent to any Payment Recipient under this clause (a) shall be conclusive, absent manifest error.</w:t>
      </w:r>
    </w:p>
    <w:p>
      <w:pPr>
        <w:spacing w:after="0" w:line="269" w:lineRule="exact"/>
        <w:rPr>
          <w:rFonts w:ascii="Times New Roman" w:cs="Times New Roman" w:eastAsia="Times New Roman" w:hAnsi="Times New Roman"/>
          <w:sz w:val="16"/>
          <w:szCs w:val="16"/>
          <w:color w:val="auto"/>
        </w:rPr>
      </w:pPr>
    </w:p>
    <w:p>
      <w:pPr>
        <w:ind w:firstLine="972"/>
        <w:spacing w:after="0" w:line="247" w:lineRule="auto"/>
        <w:tabs>
          <w:tab w:leader="none" w:pos="1212"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spacing w:after="0" w:line="84" w:lineRule="exact"/>
        <w:rPr>
          <w:rFonts w:ascii="Times New Roman" w:cs="Times New Roman" w:eastAsia="Times New Roman" w:hAnsi="Times New Roman"/>
          <w:sz w:val="18"/>
          <w:szCs w:val="18"/>
          <w:color w:val="auto"/>
        </w:rPr>
      </w:pPr>
    </w:p>
    <w:p>
      <w:pPr>
        <w:jc w:val="both"/>
        <w:ind w:left="540" w:right="180" w:firstLine="410"/>
        <w:spacing w:after="0" w:line="255" w:lineRule="auto"/>
        <w:tabs>
          <w:tab w:leader="none" w:pos="115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720"/>
          </w:cols>
          <w:pgMar w:left="580" w:top="265" w:right="599" w:bottom="1440" w:gutter="0" w:footer="0" w:header="0"/>
        </w:sectPr>
      </w:pPr>
    </w:p>
    <w:bookmarkStart w:id="414" w:name="page415"/>
    <w:bookmarkEnd w:id="414"/>
    <w:p>
      <w:pPr>
        <w:ind w:left="540" w:firstLine="410"/>
        <w:spacing w:after="0" w:line="249" w:lineRule="auto"/>
        <w:tabs>
          <w:tab w:leader="none" w:pos="120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8.11(b).</w:t>
      </w:r>
    </w:p>
    <w:p>
      <w:pPr>
        <w:spacing w:after="0" w:line="81" w:lineRule="exact"/>
        <w:rPr>
          <w:rFonts w:ascii="Times New Roman" w:cs="Times New Roman" w:eastAsia="Times New Roman" w:hAnsi="Times New Roman"/>
          <w:sz w:val="18"/>
          <w:szCs w:val="18"/>
          <w:color w:val="auto"/>
        </w:rPr>
      </w:pPr>
    </w:p>
    <w:p>
      <w:pPr>
        <w:ind w:left="540" w:right="200" w:firstLine="410"/>
        <w:spacing w:after="0" w:line="331" w:lineRule="auto"/>
        <w:tabs>
          <w:tab w:leader="none" w:pos="1253"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failure to deliver a notice to the Administrative Agent pursuant to this Section 8.11(b) shall not have any effect on a Payment Recipient’s obligations pursuant to Section 8.11(a) or on whether or not an Erroneous Payment has been made.</w:t>
      </w:r>
    </w:p>
    <w:p>
      <w:pPr>
        <w:spacing w:after="0" w:line="17" w:lineRule="exact"/>
        <w:rPr>
          <w:rFonts w:ascii="Times New Roman" w:cs="Times New Roman" w:eastAsia="Times New Roman" w:hAnsi="Times New Roman"/>
          <w:sz w:val="16"/>
          <w:szCs w:val="16"/>
          <w:color w:val="auto"/>
        </w:rPr>
      </w:pPr>
    </w:p>
    <w:p>
      <w:pPr>
        <w:ind w:right="240" w:firstLine="972"/>
        <w:spacing w:after="0" w:line="251" w:lineRule="auto"/>
        <w:tabs>
          <w:tab w:leader="none" w:pos="120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w:t>
      </w:r>
    </w:p>
    <w:p>
      <w:pPr>
        <w:spacing w:after="0" w:line="79" w:lineRule="exact"/>
        <w:rPr>
          <w:rFonts w:ascii="Times New Roman" w:cs="Times New Roman" w:eastAsia="Times New Roman" w:hAnsi="Times New Roman"/>
          <w:sz w:val="18"/>
          <w:szCs w:val="18"/>
          <w:color w:val="auto"/>
        </w:rPr>
      </w:pPr>
    </w:p>
    <w:p>
      <w:pPr>
        <w:ind w:right="60" w:firstLine="972"/>
        <w:spacing w:after="0" w:line="245" w:lineRule="auto"/>
        <w:tabs>
          <w:tab w:leader="none" w:pos="121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and (y) an Erroneous Payment shall not pay, prepay, repay, discharge or otherwise satisfy any Obligations owed by the Borrower; provided that this Section 8.11 shall not be interpreted to increase (or accelerate the due date for), or have the effect of increasing (or accelerating the due date for), the Obligations of the Borrower relative to the amount (or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w:t>
      </w:r>
    </w:p>
    <w:p>
      <w:pPr>
        <w:spacing w:after="0" w:line="91" w:lineRule="exact"/>
        <w:rPr>
          <w:rFonts w:ascii="Times New Roman" w:cs="Times New Roman" w:eastAsia="Times New Roman" w:hAnsi="Times New Roman"/>
          <w:sz w:val="18"/>
          <w:szCs w:val="18"/>
          <w:color w:val="auto"/>
        </w:rPr>
      </w:pPr>
    </w:p>
    <w:p>
      <w:pPr>
        <w:jc w:val="both"/>
        <w:ind w:right="180" w:firstLine="972"/>
        <w:spacing w:after="0" w:line="251" w:lineRule="auto"/>
        <w:tabs>
          <w:tab w:leader="none" w:pos="120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8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Each party’s obligations, agreements and waivers under this Section 8.11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Loan Document.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700"/>
          </w:cols>
          <w:pgMar w:left="580" w:top="265" w:right="619" w:bottom="1440" w:gutter="0" w:footer="0" w:header="0"/>
        </w:sectPr>
      </w:pPr>
    </w:p>
    <w:bookmarkStart w:id="415" w:name="page416"/>
    <w:bookmarkEnd w:id="4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IX</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1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20" w:firstLine="972"/>
        <w:spacing w:after="0" w:line="255" w:lineRule="auto"/>
        <w:tabs>
          <w:tab w:leader="none" w:pos="118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 if to the Borrower, to:</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Tempus Labs, Inc.</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Chicago, </w:t>
      </w:r>
      <w:r>
        <w:rPr>
          <w:rFonts w:ascii="Times New Roman" w:cs="Times New Roman" w:eastAsia="Times New Roman" w:hAnsi="Times New Roman"/>
          <w:sz w:val="18"/>
          <w:szCs w:val="18"/>
          <w:color w:val="FF0000"/>
          <w:strike w:val="1"/>
        </w:rPr>
        <w:t>IL</w:t>
      </w:r>
      <w:r>
        <w:rPr>
          <w:rFonts w:ascii="Times New Roman" w:cs="Times New Roman" w:eastAsia="Times New Roman" w:hAnsi="Times New Roman"/>
          <w:sz w:val="18"/>
          <w:szCs w:val="18"/>
          <w:u w:val="single" w:color="auto"/>
          <w:color w:val="0000FF"/>
        </w:rPr>
        <w:t>Illinois</w:t>
      </w:r>
      <w:r>
        <w:rPr>
          <w:rFonts w:ascii="Times New Roman" w:cs="Times New Roman" w:eastAsia="Times New Roman" w:hAnsi="Times New Roman"/>
          <w:sz w:val="18"/>
          <w:szCs w:val="18"/>
          <w:color w:val="auto"/>
        </w:rPr>
        <w:t xml:space="preserve"> 60654</w:t>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-121920</wp:posOffset>
            </wp:positionV>
            <wp:extent cx="30861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Email: jim.rogers@tempus.com</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Cooley LLP</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110 N. Wacker Drive</w:t>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Chicago, </w:t>
      </w:r>
      <w:r>
        <w:rPr>
          <w:rFonts w:ascii="Times New Roman" w:cs="Times New Roman" w:eastAsia="Times New Roman" w:hAnsi="Times New Roman"/>
          <w:sz w:val="18"/>
          <w:szCs w:val="18"/>
          <w:color w:val="FF0000"/>
        </w:rPr>
        <w:t>IL</w:t>
      </w:r>
      <w:r>
        <w:rPr>
          <w:rFonts w:ascii="Times New Roman" w:cs="Times New Roman" w:eastAsia="Times New Roman" w:hAnsi="Times New Roman"/>
          <w:sz w:val="18"/>
          <w:szCs w:val="18"/>
          <w:u w:val="single" w:color="auto"/>
          <w:color w:val="0000FF"/>
        </w:rPr>
        <w:t>Illinois</w:t>
      </w:r>
      <w:r>
        <w:rPr>
          <w:rFonts w:ascii="Times New Roman" w:cs="Times New Roman" w:eastAsia="Times New Roman" w:hAnsi="Times New Roman"/>
          <w:sz w:val="18"/>
          <w:szCs w:val="18"/>
          <w:color w:val="auto"/>
        </w:rPr>
        <w:t xml:space="preserve"> 60606-1511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-72390</wp:posOffset>
            </wp:positionV>
            <wp:extent cx="13271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Attention: Addison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-121920</wp:posOffset>
            </wp:positionV>
            <wp:extent cx="30861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Email: afpierce@cooley.com</w:t>
      </w:r>
    </w:p>
    <w:p>
      <w:pPr>
        <w:spacing w:after="0" w:line="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(ii) if to the Administrative Agent or the Collateral Agent, to:</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Ares Capital Corporation</w:t>
      </w:r>
    </w:p>
    <w:p>
      <w:pPr>
        <w:ind w:left="1380"/>
        <w:spacing w:after="0" w:line="187" w:lineRule="auto"/>
        <w:rPr>
          <w:sz w:val="20"/>
          <w:szCs w:val="20"/>
          <w:color w:val="auto"/>
        </w:rPr>
      </w:pPr>
      <w:r>
        <w:rPr>
          <w:rFonts w:ascii="Times New Roman" w:cs="Times New Roman" w:eastAsia="Times New Roman" w:hAnsi="Times New Roman"/>
          <w:sz w:val="18"/>
          <w:szCs w:val="18"/>
          <w:color w:val="auto"/>
        </w:rPr>
        <w:t>245 Park Avenue,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1380"/>
        <w:spacing w:after="0"/>
        <w:rPr>
          <w:sz w:val="20"/>
          <w:szCs w:val="20"/>
          <w:color w:val="auto"/>
        </w:rPr>
      </w:pPr>
      <w:r>
        <w:rPr>
          <w:rFonts w:ascii="Times New Roman" w:cs="Times New Roman" w:eastAsia="Times New Roman" w:hAnsi="Times New Roman"/>
          <w:sz w:val="18"/>
          <w:szCs w:val="18"/>
          <w:color w:val="auto"/>
        </w:rPr>
        <w:t>New York, New York 10167</w:t>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Attn: Middle Office DL - Tempus</w:t>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agency@aresmgmt.com; middleofficedl@aresmgmt.com;</w:t>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aresagency@alterdomus.com</w:t>
      </w:r>
    </w:p>
    <w:p>
      <w:pPr>
        <w:spacing w:after="0" w:line="9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Katten Muchin Rosenman LLP</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525 W. Monroe St.</w:t>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Chicago, </w:t>
      </w:r>
      <w:r>
        <w:rPr>
          <w:rFonts w:ascii="Times New Roman" w:cs="Times New Roman" w:eastAsia="Times New Roman" w:hAnsi="Times New Roman"/>
          <w:sz w:val="18"/>
          <w:szCs w:val="18"/>
          <w:color w:val="FF0000"/>
        </w:rPr>
        <w:t>IL</w:t>
      </w:r>
      <w:r>
        <w:rPr>
          <w:rFonts w:ascii="Times New Roman" w:cs="Times New Roman" w:eastAsia="Times New Roman" w:hAnsi="Times New Roman"/>
          <w:sz w:val="18"/>
          <w:szCs w:val="18"/>
          <w:u w:val="single" w:color="auto"/>
          <w:color w:val="0000FF"/>
        </w:rPr>
        <w:t>Illinois</w:t>
      </w:r>
      <w:r>
        <w:rPr>
          <w:rFonts w:ascii="Times New Roman" w:cs="Times New Roman" w:eastAsia="Times New Roman" w:hAnsi="Times New Roman"/>
          <w:sz w:val="18"/>
          <w:szCs w:val="18"/>
          <w:color w:val="auto"/>
        </w:rPr>
        <w:t xml:space="preserve"> 60661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-72390</wp:posOffset>
            </wp:positionV>
            <wp:extent cx="13271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Attention: Michael A. Jacobson,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1409065</wp:posOffset>
            </wp:positionH>
            <wp:positionV relativeFrom="paragraph">
              <wp:posOffset>-121920</wp:posOffset>
            </wp:positionV>
            <wp:extent cx="30861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FF0000"/>
          <w:strike w:val="1"/>
        </w:rPr>
        <w:t>michael.jacobson@katten.com</w:t>
      </w:r>
      <w:r>
        <w:rPr>
          <w:rFonts w:ascii="Times New Roman" w:cs="Times New Roman" w:eastAsia="Times New Roman" w:hAnsi="Times New Roman"/>
          <w:sz w:val="18"/>
          <w:szCs w:val="18"/>
          <w:u w:val="single" w:color="auto"/>
          <w:color w:val="0000FF"/>
        </w:rPr>
        <w:t>michael.jacobson@katten.com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10795</wp:posOffset>
            </wp:positionV>
            <wp:extent cx="13671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67155"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700"/>
          </w:cols>
          <w:pgMar w:left="600" w:top="265" w:right="599" w:bottom="1440" w:gutter="0" w:footer="0" w:header="0"/>
        </w:sectPr>
      </w:pPr>
    </w:p>
    <w:bookmarkStart w:id="416" w:name="page417"/>
    <w:bookmarkEnd w:id="416"/>
    <w:p>
      <w:pPr>
        <w:ind w:left="95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(iii) if to any other Lender, to it at its address (or telecopy number) set forth in its Administrative Questionnaire.</w:t>
      </w:r>
    </w:p>
    <w:p>
      <w:pPr>
        <w:spacing w:after="0" w:line="108" w:lineRule="exact"/>
        <w:rPr>
          <w:sz w:val="20"/>
          <w:szCs w:val="20"/>
          <w:color w:val="auto"/>
        </w:rPr>
      </w:pPr>
    </w:p>
    <w:p>
      <w:pPr>
        <w:ind w:left="-8" w:firstLine="972"/>
        <w:spacing w:after="0" w:line="276" w:lineRule="auto"/>
        <w:tabs>
          <w:tab w:leader="none" w:pos="1204" w:val="left"/>
        </w:tabs>
        <w:numPr>
          <w:ilvl w:val="1"/>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apply to notices to any Lender pursuant to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or of a Default if such Lender has notified the Administrative Agent that it is incapable of receiving notices under such Article by electronic communication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Administrative Agent shall in any event also receive hard copies of the notices described in this proviso and, to the extent requested, any other documents delivered electronically under this Agreement.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w:t>
      </w:r>
    </w:p>
    <w:p>
      <w:pPr>
        <w:spacing w:after="0" w:line="1" w:lineRule="exact"/>
        <w:rPr>
          <w:rFonts w:ascii="Times New Roman" w:cs="Times New Roman" w:eastAsia="Times New Roman" w:hAnsi="Times New Roman"/>
          <w:sz w:val="16"/>
          <w:szCs w:val="16"/>
          <w:color w:val="auto"/>
        </w:rPr>
      </w:pPr>
    </w:p>
    <w:p>
      <w:pPr>
        <w:ind w:left="212" w:hanging="212"/>
        <w:spacing w:after="0"/>
        <w:tabs>
          <w:tab w:leader="none" w:pos="21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required notification that such notice or communication is available and identifying the website address therefor.</w:t>
      </w:r>
    </w:p>
    <w:p>
      <w:pPr>
        <w:spacing w:after="0" w:line="90" w:lineRule="exact"/>
        <w:rPr>
          <w:rFonts w:ascii="Times New Roman" w:cs="Times New Roman" w:eastAsia="Times New Roman" w:hAnsi="Times New Roman"/>
          <w:sz w:val="18"/>
          <w:szCs w:val="18"/>
          <w:color w:val="auto"/>
        </w:rPr>
      </w:pPr>
    </w:p>
    <w:p>
      <w:pPr>
        <w:ind w:left="-8" w:right="140" w:firstLine="972"/>
        <w:spacing w:after="0" w:line="248" w:lineRule="auto"/>
        <w:tabs>
          <w:tab w:leader="none" w:pos="1194"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telecopy number for notices and other communications hereunder by notice to the Administrative Agent (and, in the case of the Administrative Agent, by written notice to the Borrower). All notices and other communications given to any party hereto in accordance with the provisions of this Agreement shall be deemed to have been given as follows: notices sent by hand or overnight courier service, or mailed by certified or registered mail, shall be deemed to have been given when received; notices sent by telecopier (with a send successful notice) shall be deemed to have been given when sent (except that, if not given during normal business hours for the recipient, shall be deemed to have been given at the opening of business on the next business day for the recipient).</w:t>
      </w:r>
    </w:p>
    <w:p>
      <w:pPr>
        <w:spacing w:after="0" w:line="18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8" w:right="20" w:firstLine="972"/>
        <w:spacing w:after="0" w:line="246" w:lineRule="auto"/>
        <w:tabs>
          <w:tab w:leader="none" w:pos="119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the Collateral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Collateral Agent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Section 9.02(b),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or the Collateral Agent may have had notice or knowledge of such Default at the time.</w:t>
      </w:r>
    </w:p>
    <w:p>
      <w:pPr>
        <w:spacing w:after="0" w:line="1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692"/>
          </w:cols>
          <w:pgMar w:left="588" w:top="265" w:right="619" w:bottom="1440" w:gutter="0" w:footer="0" w:header="0"/>
        </w:sectPr>
      </w:pPr>
    </w:p>
    <w:bookmarkStart w:id="417" w:name="page418"/>
    <w:bookmarkEnd w:id="417"/>
    <w:p>
      <w:pPr>
        <w:ind w:left="-540" w:right="60" w:firstLine="972"/>
        <w:spacing w:after="0" w:line="249" w:lineRule="auto"/>
        <w:tabs>
          <w:tab w:leader="none" w:pos="672"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Neither this Agreement nor any other Loan Document nor any provision hereof or thereof may be waived, amended or modified except, in the case of this Agreement, pursuant to an agreement or agreements in writing entered into by the Borrower and the Required Lenders (with a fully executed copy thereof delivered to the Administrative Agent) or, in the case of any other Loan Document, pursuant to an agreement or agreements in writing entered into by the Administrative Agent and the Loan Party or Loan Parties that are parties thereto (and, if party thereto, the Collateral Agent), in each case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w:t>
      </w:r>
    </w:p>
    <w:p>
      <w:pPr>
        <w:spacing w:after="0" w:line="81" w:lineRule="exact"/>
        <w:rPr>
          <w:rFonts w:ascii="Times New Roman" w:cs="Times New Roman" w:eastAsia="Times New Roman" w:hAnsi="Times New Roman"/>
          <w:sz w:val="18"/>
          <w:szCs w:val="18"/>
          <w:color w:val="auto"/>
        </w:rPr>
      </w:pPr>
    </w:p>
    <w:p>
      <w:pPr>
        <w:ind w:right="20" w:firstLine="410"/>
        <w:spacing w:after="0" w:line="331" w:lineRule="auto"/>
        <w:tabs>
          <w:tab w:leader="none" w:pos="616"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the Commitment of any Lender without the written consent of such Lender, (it being understood that a waiver of any Default or mandatory prepayment or mandatory reduction of any Commitments shall not constitute an increase of any Commitment of any Lender);</w:t>
      </w:r>
    </w:p>
    <w:p>
      <w:pPr>
        <w:spacing w:after="0" w:line="17" w:lineRule="exact"/>
        <w:rPr>
          <w:rFonts w:ascii="Times New Roman" w:cs="Times New Roman" w:eastAsia="Times New Roman" w:hAnsi="Times New Roman"/>
          <w:sz w:val="16"/>
          <w:szCs w:val="16"/>
          <w:color w:val="auto"/>
        </w:rPr>
      </w:pPr>
    </w:p>
    <w:p>
      <w:pPr>
        <w:jc w:val="both"/>
        <w:ind w:firstLine="410"/>
        <w:spacing w:after="0" w:line="251" w:lineRule="auto"/>
        <w:tabs>
          <w:tab w:leader="none" w:pos="66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any Loan or reduce the rate of interest thereon, or reduce any fees payable hereunder (including, without limitation, the Make Whole/Prepayment Fee Amount), without the written consent of each Lender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 to pay interest at the Default Rate,</w:t>
      </w:r>
    </w:p>
    <w:p>
      <w:pPr>
        <w:spacing w:after="0" w:line="79" w:lineRule="exact"/>
        <w:rPr>
          <w:rFonts w:ascii="Times New Roman" w:cs="Times New Roman" w:eastAsia="Times New Roman" w:hAnsi="Times New Roman"/>
          <w:sz w:val="18"/>
          <w:szCs w:val="18"/>
          <w:color w:val="auto"/>
        </w:rPr>
      </w:pPr>
    </w:p>
    <w:p>
      <w:pPr>
        <w:jc w:val="both"/>
        <w:ind w:right="20" w:firstLine="410"/>
        <w:spacing w:after="0" w:line="249" w:lineRule="auto"/>
        <w:tabs>
          <w:tab w:leader="none" w:pos="71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the maturity of any Loan (it being understood that a waiver of any Default, Event of Default, or mandatory prepayment shall not constitute an extension of any maturity date), or any date for the payment of any interest or fees payable hereunder, or reduce the amount of, waive or excuse any such payment, or postpone the scheduled date of expiration of any Commitment, without the written consent of each Lender adversely affected thereby, it being understood that the waiver of any condition precedent or the waiver of any Default or mandatory prepayment requirement shall not constitute a postponement or reduction hereunder,</w:t>
      </w:r>
    </w:p>
    <w:p>
      <w:pPr>
        <w:spacing w:after="0" w:line="81" w:lineRule="exact"/>
        <w:rPr>
          <w:rFonts w:ascii="Times New Roman" w:cs="Times New Roman" w:eastAsia="Times New Roman" w:hAnsi="Times New Roman"/>
          <w:sz w:val="18"/>
          <w:szCs w:val="18"/>
          <w:color w:val="auto"/>
        </w:rPr>
      </w:pPr>
    </w:p>
    <w:p>
      <w:pPr>
        <w:ind w:right="160" w:firstLine="410"/>
        <w:spacing w:after="0" w:line="249" w:lineRule="auto"/>
        <w:tabs>
          <w:tab w:leader="none" w:pos="70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have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without the written consent of each Lender directly and adverse affected thereby,</w:t>
      </w:r>
    </w:p>
    <w:p>
      <w:pPr>
        <w:spacing w:after="0" w:line="81" w:lineRule="exact"/>
        <w:rPr>
          <w:rFonts w:ascii="Times New Roman" w:cs="Times New Roman" w:eastAsia="Times New Roman" w:hAnsi="Times New Roman"/>
          <w:sz w:val="18"/>
          <w:szCs w:val="18"/>
          <w:color w:val="auto"/>
        </w:rPr>
      </w:pPr>
    </w:p>
    <w:p>
      <w:pPr>
        <w:jc w:val="both"/>
        <w:ind w:right="180" w:firstLine="410"/>
        <w:spacing w:after="0" w:line="255"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9.02,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75" w:lineRule="exact"/>
        <w:rPr>
          <w:rFonts w:ascii="Times New Roman" w:cs="Times New Roman" w:eastAsia="Times New Roman" w:hAnsi="Times New Roman"/>
          <w:sz w:val="18"/>
          <w:szCs w:val="18"/>
          <w:color w:val="auto"/>
        </w:rPr>
      </w:pPr>
    </w:p>
    <w:p>
      <w:pPr>
        <w:ind w:right="220" w:firstLine="410"/>
        <w:spacing w:after="0" w:line="255" w:lineRule="auto"/>
        <w:tabs>
          <w:tab w:leader="none" w:pos="703"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percentage set forth in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w:t>
      </w:r>
    </w:p>
    <w:p>
      <w:pPr>
        <w:spacing w:after="0" w:line="75" w:lineRule="exact"/>
        <w:rPr>
          <w:rFonts w:ascii="Times New Roman" w:cs="Times New Roman" w:eastAsia="Times New Roman" w:hAnsi="Times New Roman"/>
          <w:sz w:val="18"/>
          <w:szCs w:val="18"/>
          <w:color w:val="auto"/>
        </w:rPr>
      </w:pPr>
    </w:p>
    <w:p>
      <w:pPr>
        <w:ind w:left="760" w:hanging="350"/>
        <w:spacing w:after="0"/>
        <w:tabs>
          <w:tab w:leader="none" w:pos="7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the Borrower or any Subsidiary Loan Party from its Guarantee under the Collateral Agreement (except as provided in</w:t>
      </w:r>
    </w:p>
    <w:p>
      <w:pPr>
        <w:spacing w:after="0" w:line="21" w:lineRule="exact"/>
        <w:rPr>
          <w:sz w:val="20"/>
          <w:szCs w:val="20"/>
          <w:color w:val="auto"/>
        </w:rPr>
      </w:pPr>
    </w:p>
    <w:p>
      <w:pPr>
        <w:jc w:val="center"/>
        <w:ind w:right="340"/>
        <w:spacing w:after="0" w:line="414" w:lineRule="auto"/>
        <w:rPr>
          <w:sz w:val="20"/>
          <w:szCs w:val="20"/>
          <w:color w:val="auto"/>
        </w:rPr>
      </w:pPr>
      <w:r>
        <w:rPr>
          <w:rFonts w:ascii="Times New Roman" w:cs="Times New Roman" w:eastAsia="Times New Roman" w:hAnsi="Times New Roman"/>
          <w:sz w:val="18"/>
          <w:szCs w:val="18"/>
          <w:color w:val="auto"/>
        </w:rPr>
        <w:t>Section 6.03 or in the Collateral Agreement) or limit its liability in respect of such Guarantee, without the written consent of each Lender, or -96-</w:t>
      </w:r>
    </w:p>
    <w:p>
      <w:pPr>
        <w:sectPr>
          <w:pgSz w:w="11900" w:h="16838" w:orient="portrait"/>
          <w:cols w:equalWidth="0" w:num="1">
            <w:col w:w="10180"/>
          </w:cols>
          <w:pgMar w:left="1120" w:top="265" w:right="599" w:bottom="1440" w:gutter="0" w:footer="0" w:header="0"/>
        </w:sectPr>
      </w:pPr>
    </w:p>
    <w:bookmarkStart w:id="418" w:name="page419"/>
    <w:bookmarkEnd w:id="418"/>
    <w:p>
      <w:pPr>
        <w:ind w:left="540" w:right="200" w:firstLine="410"/>
        <w:spacing w:after="0" w:line="267" w:lineRule="auto"/>
        <w:tabs>
          <w:tab w:leader="none" w:pos="134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release all or substantially all the Collateral from the Liens of the Security Documents (except as provided in Section 6.03 or in the Collateral Agreement), without the written consent of each Lender.</w:t>
      </w:r>
    </w:p>
    <w:p>
      <w:pPr>
        <w:spacing w:after="0" w:line="65" w:lineRule="exact"/>
        <w:rPr>
          <w:sz w:val="20"/>
          <w:szCs w:val="20"/>
          <w:color w:val="auto"/>
        </w:rPr>
      </w:pPr>
    </w:p>
    <w:p>
      <w:pPr>
        <w:ind w:right="40" w:firstLine="964"/>
        <w:spacing w:after="0" w:line="24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no such agreement shall amend, modify or otherwise affect the rights or duties of the Administrative Agent without the prior written consent of the Administrative Agent and (B) notwithstanding the preceding clause (iv), only those Lenders that have not been provided a reasonable opportunity, as determined in the good faith judgment of the Administrative Agent, to receive the most-favorable treatment under or in connection with the applicable amendment, waiver or supplement described in the preceding clause (iv)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 In connection with any proposed amendment, modification, waiver or termination (a “</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requiring the consent of all affected Lenders, if the consent of the Required Lenders to such Proposed Change is obtained, but the consent to such Proposed Change of other Lenders whose consent is required is not obtained (any such Lender whose consent is not obtained as described in this Section 9.02(b)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then, so long as the Lender that is acting as the Administrative Agent is not a Non-Consenting Lender, at the Borrower’s request, any assignee that is acceptable to the Administrative Agent shall have the right, with the Administrative Agent’s consent, to purchase from such Non-Consenting Lender, and such Non-Consenting Lender agrees that it shall, upon the Borrower’s request, sell and assign to such assignee, at no expense to such Non-Consenting Lender, all the Term Loans of such Non-Consenting Lender for an amount equal to the principal balance of all Term Loans held by such Non-Consenting Lender and all accrued interest and fees with respect thereto through the date of sale (including amounts under Sections 2.15, 2.16 and 2.17) so long as such principal balance of all other Non-Consenting Lenders is similarly purchased, such purchase and sale to be consummated pursuant to an executed Assignment and Assumption in accordance with Section 9.04(b) (which Assignment and Assumption need not be signed by such Non-Consenting Lender). A copy of each amendment, waiver or other modification to this Agreement or any other Loan Document shall be furnished by the Borrower to the Administrative Agent.</w:t>
      </w:r>
    </w:p>
    <w:p>
      <w:pPr>
        <w:spacing w:after="0" w:line="98" w:lineRule="exact"/>
        <w:rPr>
          <w:sz w:val="20"/>
          <w:szCs w:val="20"/>
          <w:color w:val="auto"/>
        </w:rPr>
      </w:pPr>
    </w:p>
    <w:p>
      <w:pPr>
        <w:ind w:firstLine="972"/>
        <w:spacing w:after="0" w:line="245" w:lineRule="auto"/>
        <w:tabs>
          <w:tab w:leader="none" w:pos="1202"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9.02(b), this Agreement may be amended (or amended and restated) with the written consent of the Required Lenders, the Administrative Agent and the Borrower (i) to add one or more additional credit facilities to this Agreement and to permit the extensions of credit from time to time thereunder and the accrued interest and fees in respect thereof to share ratably in the benefits of this Agreement and the other Loan Documents with the Term Loans and the accrued interest and fees in respect thereof, and (ii) to include appropriately the Lenders holding such credit facilities in any determination of the Required Lenders. In addition, this Agreement may be amended with the written consent of the Administrative Agent, the Borrower and the Lenders providing the relevant Replacement Term Loans (as defined below) to permit the refinancing of all outstanding Term Loans (the “</w:t>
      </w:r>
      <w:r>
        <w:rPr>
          <w:rFonts w:ascii="Times New Roman" w:cs="Times New Roman" w:eastAsia="Times New Roman" w:hAnsi="Times New Roman"/>
          <w:sz w:val="18"/>
          <w:szCs w:val="18"/>
          <w:u w:val="single" w:color="auto"/>
          <w:color w:val="auto"/>
        </w:rPr>
        <w:t>Refinanced Term Loans</w:t>
      </w:r>
      <w:r>
        <w:rPr>
          <w:rFonts w:ascii="Times New Roman" w:cs="Times New Roman" w:eastAsia="Times New Roman" w:hAnsi="Times New Roman"/>
          <w:sz w:val="18"/>
          <w:szCs w:val="18"/>
          <w:color w:val="auto"/>
        </w:rPr>
        <w:t>”) and, if applicable, related outstanding commitments, with a replacement term loan tranche hereunder (the “</w:t>
      </w:r>
      <w:r>
        <w:rPr>
          <w:rFonts w:ascii="Times New Roman" w:cs="Times New Roman" w:eastAsia="Times New Roman" w:hAnsi="Times New Roman"/>
          <w:sz w:val="18"/>
          <w:szCs w:val="18"/>
          <w:u w:val="single" w:color="auto"/>
          <w:color w:val="auto"/>
        </w:rPr>
        <w:t>Replacement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principal amount of such Replacement Term Loans shall not exceed the aggregate principal amount of such Refinanced Term Loans, (ii) the Applicable Rate for such Replacement Term Loans shall not be higher than the Applicable Rate for such Refinanced Term Loans, (iii)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700"/>
          </w:cols>
          <w:pgMar w:left="580" w:top="265" w:right="619" w:bottom="1440" w:gutter="0" w:footer="0" w:header="0"/>
        </w:sectPr>
      </w:pPr>
    </w:p>
    <w:bookmarkStart w:id="419" w:name="page420"/>
    <w:bookmarkEnd w:id="419"/>
    <w:p>
      <w:pPr>
        <w:ind w:right="1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Refinanced Term Loans) and (iv)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the Refinanced Term Loans in effect immediately prior to such refinancing.</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9.03.</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972"/>
        <w:spacing w:after="0" w:line="245" w:lineRule="auto"/>
        <w:tabs>
          <w:tab w:leader="none" w:pos="1202"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 all reasonable and documented out-of-pocket expenses incurred by the Agents and their respective Affiliates, including the reasonable and documented fees, charges and disbursements of counsel for the Agents, in connection with the preparation and administration of the Loan Documents or any amendments, modifications or waivers of the provisions thereof (limited to, in the case of legal fees and expenses, all reasonable and documented costs and out-of-pocket expenses of one legal counsel and, to the extent necessary, one local counsel in each relevant jurisdiction, but no other advisors without the Borrower’s prior consent) and (ii) all reasonable and documented out-of-pocket expenses incurred by the Administrative Agent or any Lender, including the fees, charges and disbursements of any counsel for the Administrative Agent or any Lender (limited to, in the case of legal fees and expenses, all reasonable and documented costs and out-of-pocket expenses of one legal counsel and, to the extent necessary, one local counsel in each relevant jurisdiction, but no other advisors without the Borrower’s prior consent), in connection with the enforcement or protection of its rights in connection with the Loan Documents, including its rights under this Section 9.03, or in connection with the Loans made hereunder, including all such reasonable and documented out-of-pocket expenses incurred during any workout, restructuring or negotiations in respect of such Loans.</w:t>
      </w:r>
    </w:p>
    <w:p>
      <w:pPr>
        <w:spacing w:after="0" w:line="91" w:lineRule="exact"/>
        <w:rPr>
          <w:rFonts w:ascii="Times New Roman" w:cs="Times New Roman" w:eastAsia="Times New Roman" w:hAnsi="Times New Roman"/>
          <w:sz w:val="18"/>
          <w:szCs w:val="18"/>
          <w:color w:val="auto"/>
        </w:rPr>
      </w:pPr>
    </w:p>
    <w:p>
      <w:pPr>
        <w:ind w:right="20" w:firstLine="972"/>
        <w:spacing w:after="0" w:line="277" w:lineRule="auto"/>
        <w:tabs>
          <w:tab w:leader="none" w:pos="1212" w:val="left"/>
        </w:tabs>
        <w:numPr>
          <w:ilvl w:val="1"/>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indemnify the Administrative Agent, the Collateral Agent and each Lender, and each Related Party of any of the foregoing Persons (each such Person being called an “</w:t>
      </w:r>
      <w:r>
        <w:rPr>
          <w:rFonts w:ascii="Times New Roman" w:cs="Times New Roman" w:eastAsia="Times New Roman" w:hAnsi="Times New Roman"/>
          <w:sz w:val="16"/>
          <w:szCs w:val="16"/>
          <w:u w:val="single" w:color="auto"/>
          <w:color w:val="auto"/>
        </w:rPr>
        <w:t>Indemnitee</w:t>
      </w:r>
      <w:r>
        <w:rPr>
          <w:rFonts w:ascii="Times New Roman" w:cs="Times New Roman" w:eastAsia="Times New Roman" w:hAnsi="Times New Roman"/>
          <w:sz w:val="16"/>
          <w:szCs w:val="16"/>
          <w:color w:val="auto"/>
        </w:rPr>
        <w:t xml:space="preserve">”), and hold each Indemnitee harmless, from and against any and all losses, claims, damages, liabilities and related expenses, including the reasonable and documented fees, charges and disbursements of any counsel for any Indemnitee (limited to, in the case of fees, charges and disbursements of any counsel, one counsel to such Indemnitees, taken as a whole, one local counsel in each relevant jurisdiction to all such Indemnitees, taken as a whole, and, solely in the event of a conflict of interest, one additional counsel (and, if necessary, one local counsel in each relevant jurisdiction)),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the use of the proceeds therefrom, (iii) any actual or alleged presence or Release of Hazardous Materials on, at, under or emanating from any Mortgaged Property or any other property currently or formerly owned or operated by the Borrower or any of its Subsidiaries, or any actual or alleged Environmental Liability related in any way to the Borrower or any of its Subsidiaries or their respective properties or operations, or (iv) any actual or prospective claim, litigation, investigation or proceeding relating to any of the foregoing, whether based on contract, tort or any other theory and regardless of whether any Indemnitee is a party thereto or such litigation, claim, investigation or proceeding is brought by a third party or by the Borrower or its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Indemnitee shall be entitled to indemnity in respect of any such losses, claims, damages, liabilities or related expenses to the extent that (i) the same is found by a final, non-appealable judgment of a court of competent jurisdiction to have resulted from (a) the gross negligence, willful misconduct or bad faith of such Indemnitee or (b) a material breach by an Indemnitee of its obligations under this Agreement,</w:t>
      </w:r>
    </w:p>
    <w:p>
      <w:pPr>
        <w:spacing w:after="0" w:line="19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arises solely from a dispute among Indemnitees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700"/>
          </w:cols>
          <w:pgMar w:left="580" w:top="265" w:right="619" w:bottom="1440" w:gutter="0" w:footer="0" w:header="0"/>
        </w:sectPr>
      </w:pPr>
    </w:p>
    <w:bookmarkStart w:id="420" w:name="page421"/>
    <w:bookmarkEnd w:id="420"/>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8040" cy="36830"/>
                    </a:xfrm>
                    <a:prstGeom prst="rect">
                      <a:avLst/>
                    </a:prstGeom>
                    <a:noFill/>
                  </pic:spPr>
                </pic:pic>
              </a:graphicData>
            </a:graphic>
          </wp:anchor>
        </w:drawing>
        <w:t xml:space="preserve">(other than any claim against Ares Capital Corporation solely in its capacity as Administrative Agent) or (iii) any settlement is effected without the Borrower’s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each Indemnitee agrees (by accepting the benefits hereof) to refund and return any and all amounts paid or caused to be paid by the Borrower to such Indemnitee to the extent any of the foregoing items described in clauses (i) through (iii) occurs. For the avoidance of doubt, this Section 9.03 shall not apply to Taxes (other than Taxes arising from a non-Tax claim). Payments under this Section 9.03(b) shall be made by the Borrower to the Administrative Agent for the benefit of the relevant Indemnitee.</w:t>
      </w:r>
    </w:p>
    <w:p>
      <w:pPr>
        <w:spacing w:after="0" w:line="82" w:lineRule="exact"/>
        <w:rPr>
          <w:sz w:val="20"/>
          <w:szCs w:val="20"/>
          <w:color w:val="auto"/>
        </w:rPr>
      </w:pPr>
    </w:p>
    <w:p>
      <w:pPr>
        <w:ind w:right="40" w:firstLine="972"/>
        <w:spacing w:after="0" w:line="248" w:lineRule="auto"/>
        <w:tabs>
          <w:tab w:leader="none" w:pos="120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Administrative Agent or the Collateral Agent under Sections 9.03(a) or (b), each Lender severally agrees to pay to the Administrative Agent or the Collateral Agent, as applicable, such Lender’s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applicable, was incurred by or asserted against the Administrative Agent or the Collateral Agent in its capacity as such. For purposes hereof, a Lender’s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shall be determined based upon its share of the aggregate outstanding Term Loans at the time.</w:t>
      </w:r>
    </w:p>
    <w:p>
      <w:pPr>
        <w:spacing w:after="0" w:line="82" w:lineRule="exact"/>
        <w:rPr>
          <w:rFonts w:ascii="Times New Roman" w:cs="Times New Roman" w:eastAsia="Times New Roman" w:hAnsi="Times New Roman"/>
          <w:sz w:val="18"/>
          <w:szCs w:val="18"/>
          <w:color w:val="auto"/>
        </w:rPr>
      </w:pPr>
    </w:p>
    <w:p>
      <w:pPr>
        <w:ind w:right="180" w:firstLine="972"/>
        <w:spacing w:after="0" w:line="293" w:lineRule="auto"/>
        <w:tabs>
          <w:tab w:leader="none" w:pos="1212"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applicable law, no party hereto shall assert, and each party hereto hereby waives, any claim against any other Person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 (other than in respect of any such damages incurred or paid by an Indemnitee to a third party).</w:t>
      </w:r>
    </w:p>
    <w:p>
      <w:pPr>
        <w:spacing w:after="0" w:line="46" w:lineRule="exact"/>
        <w:rPr>
          <w:rFonts w:ascii="Times New Roman" w:cs="Times New Roman" w:eastAsia="Times New Roman" w:hAnsi="Times New Roman"/>
          <w:sz w:val="16"/>
          <w:szCs w:val="16"/>
          <w:color w:val="auto"/>
        </w:rPr>
      </w:pPr>
    </w:p>
    <w:p>
      <w:pPr>
        <w:ind w:left="1200" w:hanging="228"/>
        <w:spacing w:after="0"/>
        <w:tabs>
          <w:tab w:leader="none" w:pos="120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9.03 shall be payable not later than 10 days after written demand therefor.</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972"/>
        <w:spacing w:after="0" w:line="277" w:lineRule="auto"/>
        <w:tabs>
          <w:tab w:leader="none" w:pos="1202"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(except as permitted by Section 6.03) (and any attempted assignment or transfer by the Borrower without such consent shall be null and void) and (ii) no Lender may assign or otherwise transfer its rights or obligations hereunder except (i) to an Assignee pursuant to an assignment made in accordance with the provisions of Section 9.04(b) (such an assignee, an “</w:t>
      </w:r>
      <w:r>
        <w:rPr>
          <w:rFonts w:ascii="Times New Roman" w:cs="Times New Roman" w:eastAsia="Times New Roman" w:hAnsi="Times New Roman"/>
          <w:sz w:val="16"/>
          <w:szCs w:val="16"/>
          <w:u w:val="single" w:color="auto"/>
          <w:color w:val="auto"/>
        </w:rPr>
        <w:t>Eligible Assignee</w:t>
      </w:r>
      <w:r>
        <w:rPr>
          <w:rFonts w:ascii="Times New Roman" w:cs="Times New Roman" w:eastAsia="Times New Roman" w:hAnsi="Times New Roman"/>
          <w:sz w:val="16"/>
          <w:szCs w:val="16"/>
          <w:color w:val="auto"/>
        </w:rPr>
        <w:t>”), (ii) by way of participation in accordance with the provisions of Section 9.04(e) or (iii) by way of pledge or assignment of a security interest subject to the restrictions of</w:t>
      </w:r>
    </w:p>
    <w:p>
      <w:pPr>
        <w:spacing w:after="0" w:line="4" w:lineRule="exact"/>
        <w:rPr>
          <w:rFonts w:ascii="Times New Roman" w:cs="Times New Roman" w:eastAsia="Times New Roman" w:hAnsi="Times New Roman"/>
          <w:sz w:val="16"/>
          <w:szCs w:val="16"/>
          <w:color w:val="auto"/>
        </w:rPr>
      </w:pPr>
    </w:p>
    <w:p>
      <w:pPr>
        <w:ind w:right="20"/>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Section 9.04(g) (and any other attempted assignment or transfer by any party hereto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no Lender may assign or transfer by participation any of its rights or obligations hereunder to (i) a natural Person, (ii) to the Borrower or any of its respective Subsidiaries or (iii) any Defaulting Lender. Nothing in this Agreement, express or implied, shall be construed to confer upon any Person (other than the parties hereto, their respective successors and assigns permitted hereby, Participants (to the extent provided in Section 9.04(c)) and, to the extent expressly contemplated hereby, the Related Parties of each of the Administrative Agent and the Lenders) any legal or equitable right, remedy or claim under or by reason of this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720"/>
          </w:cols>
          <w:pgMar w:left="580" w:top="265" w:right="599" w:bottom="1440" w:gutter="0" w:footer="0" w:header="0"/>
        </w:sectPr>
      </w:pPr>
    </w:p>
    <w:bookmarkStart w:id="421" w:name="page422"/>
    <w:bookmarkEnd w:id="421"/>
    <w:p>
      <w:pPr>
        <w:ind w:right="140" w:firstLine="972"/>
        <w:spacing w:after="0" w:line="255" w:lineRule="auto"/>
        <w:tabs>
          <w:tab w:leader="none" w:pos="121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 Subject to the conditions set forth in clause (b)(ii) below, any Lender may assign to one or more assignees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75" w:lineRule="exact"/>
        <w:rPr>
          <w:rFonts w:ascii="Times New Roman" w:cs="Times New Roman" w:eastAsia="Times New Roman" w:hAnsi="Times New Roman"/>
          <w:sz w:val="18"/>
          <w:szCs w:val="18"/>
          <w:color w:val="auto"/>
        </w:rPr>
      </w:pPr>
    </w:p>
    <w:p>
      <w:pPr>
        <w:ind w:left="1180" w:right="200" w:firstLine="387"/>
        <w:spacing w:after="0" w:line="285" w:lineRule="auto"/>
        <w:tabs>
          <w:tab w:leader="none" w:pos="1809" w:val="left"/>
        </w:tabs>
        <w:numPr>
          <w:ilvl w:val="1"/>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consent of the Borrower shall be required (x) for assignments to any Lender or Affiliate of a Lender or an Approved Fund (as defined below) thereof or (y) if an Event of Default under Sections 7.01(a) or 7.01(b) or Sections</w:t>
      </w:r>
    </w:p>
    <w:p>
      <w:pPr>
        <w:spacing w:after="0" w:line="1" w:lineRule="exact"/>
        <w:rPr>
          <w:rFonts w:ascii="Times New Roman" w:cs="Times New Roman" w:eastAsia="Times New Roman" w:hAnsi="Times New Roman"/>
          <w:sz w:val="16"/>
          <w:szCs w:val="16"/>
          <w:color w:val="auto"/>
        </w:rPr>
      </w:pPr>
    </w:p>
    <w:p>
      <w:pPr>
        <w:ind w:left="1180"/>
        <w:spacing w:after="0" w:line="28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7.01(i) or 7.01(j), solely with respect to the Borrower, has occurred and is continuing, any Assignee or an assignment of all or a portion of the Loans pursuant to Section 9.04(i);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(x) the Borrower may withhold its consent (in its sole discretion) in respect of an assignment to an Affiliate (other than, in each case, Affiliates that constitute bona fide debt funds primarily investing in loans) of a Disqualified Institution and (y) the Borrower shall be deemed to have consented to an assignment unless it shall object thereto by written notice to the Administrative Agent within five (5) Business Days after having received notice thereof; and</w:t>
      </w:r>
    </w:p>
    <w:p>
      <w:pPr>
        <w:spacing w:after="0" w:line="56" w:lineRule="exact"/>
        <w:rPr>
          <w:rFonts w:ascii="Times New Roman" w:cs="Times New Roman" w:eastAsia="Times New Roman" w:hAnsi="Times New Roman"/>
          <w:sz w:val="16"/>
          <w:szCs w:val="16"/>
          <w:color w:val="auto"/>
        </w:rPr>
      </w:pPr>
    </w:p>
    <w:p>
      <w:pPr>
        <w:jc w:val="both"/>
        <w:ind w:left="1180" w:right="100" w:firstLine="387"/>
        <w:spacing w:after="0" w:line="255" w:lineRule="auto"/>
        <w:tabs>
          <w:tab w:leader="none" w:pos="1809"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(i) of all or any portion of a Term Loan to a Lender, an Affiliate of a Lender or an Approved Fund, (ii) of all or a portion of the Loans pursuant to Section 9.04(k) or Section 9.04(l) or (iii) from an Agent to its Affiliates.</w:t>
      </w:r>
    </w:p>
    <w:p>
      <w:pPr>
        <w:spacing w:after="0" w:line="180"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18"/>
          <w:szCs w:val="18"/>
          <w:color w:val="auto"/>
        </w:rPr>
        <w:t>Notwithstanding the foregoing or anything to the contrary set forth herein, (i) no Lender may assign or transfer by participation any of its rights or obligations hereunder to any Person that is a Defaulting Lender or, unless a Specified Event of Default has occurred and is continuing, a Disqualified Institution and (ii) to the extent any Lender is required to assign any portion of its Commitments, Loans and other rights, duties and obligations hereunder in order to comply with applicable Laws, such assignment may be made by such Lender without the consent of the Borrower, the Administrative Agent or any other party hereto so long as such Lender complies with the requirements of Section 9.04(b)(ii).</w:t>
      </w:r>
    </w:p>
    <w:p>
      <w:pPr>
        <w:spacing w:after="0" w:line="82" w:lineRule="exact"/>
        <w:rPr>
          <w:sz w:val="20"/>
          <w:szCs w:val="20"/>
          <w:color w:val="auto"/>
        </w:rPr>
      </w:pPr>
    </w:p>
    <w:p>
      <w:pPr>
        <w:ind w:left="1200" w:hanging="250"/>
        <w:spacing w:after="0"/>
        <w:tabs>
          <w:tab w:leader="none" w:pos="120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conditions:</w:t>
      </w:r>
    </w:p>
    <w:p>
      <w:pPr>
        <w:spacing w:after="0" w:line="108" w:lineRule="exact"/>
        <w:rPr>
          <w:rFonts w:ascii="Times New Roman" w:cs="Times New Roman" w:eastAsia="Times New Roman" w:hAnsi="Times New Roman"/>
          <w:sz w:val="18"/>
          <w:szCs w:val="18"/>
          <w:color w:val="auto"/>
        </w:rPr>
      </w:pPr>
    </w:p>
    <w:p>
      <w:pPr>
        <w:ind w:left="1180" w:right="20" w:firstLine="387"/>
        <w:spacing w:after="0" w:line="276" w:lineRule="auto"/>
        <w:tabs>
          <w:tab w:leader="none" w:pos="1809" w:val="left"/>
        </w:tabs>
        <w:numPr>
          <w:ilvl w:val="2"/>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and the Administrative Agent otherwise consents;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such consent of the Borrower shall be required (x) for an assignment by a Lender to an Affiliate or an Approved Fund of a Lender or (y) if an Event of Default under Section 7.01(a), (b), (i) or (j) has occurred and is continuing, and that contemporaneous assignments to Approved Funds related to the same Lender shall be aggregated when calculating such minimum assignment amounts;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consent of the Borrower will be deemed to have been given if the Borrower has not responded within five</w:t>
      </w:r>
    </w:p>
    <w:p>
      <w:pPr>
        <w:spacing w:after="0" w:line="5" w:lineRule="exact"/>
        <w:rPr>
          <w:rFonts w:ascii="Times New Roman" w:cs="Times New Roman" w:eastAsia="Times New Roman" w:hAnsi="Times New Roman"/>
          <w:sz w:val="16"/>
          <w:szCs w:val="16"/>
          <w:color w:val="auto"/>
        </w:rPr>
      </w:pPr>
    </w:p>
    <w:p>
      <w:pPr>
        <w:ind w:left="1180" w:right="640" w:firstLine="6"/>
        <w:spacing w:after="0" w:line="247" w:lineRule="auto"/>
        <w:tabs>
          <w:tab w:leader="none" w:pos="142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a request for such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unless a Specified Event of Default has occurred and is continuing, no assignment or participations shall be made to Disqualified Institutions or Competitors;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660"/>
          </w:cols>
          <w:pgMar w:left="580" w:top="265" w:right="659" w:bottom="1440" w:gutter="0" w:footer="0" w:header="0"/>
        </w:sectPr>
      </w:pPr>
    </w:p>
    <w:bookmarkStart w:id="422" w:name="page423"/>
    <w:bookmarkEnd w:id="422"/>
    <w:p>
      <w:pPr>
        <w:ind w:left="1160" w:right="640" w:firstLine="387"/>
        <w:spacing w:after="0" w:line="267" w:lineRule="auto"/>
        <w:tabs>
          <w:tab w:leader="none" w:pos="178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partial assignment shall be made as an assignment of a proportionate part of all the assigning Lender’s rights and obligations under this Agreement;</w:t>
      </w:r>
    </w:p>
    <w:p>
      <w:pPr>
        <w:spacing w:after="0" w:line="64" w:lineRule="exact"/>
        <w:rPr>
          <w:rFonts w:ascii="Times New Roman" w:cs="Times New Roman" w:eastAsia="Times New Roman" w:hAnsi="Times New Roman"/>
          <w:sz w:val="18"/>
          <w:szCs w:val="18"/>
          <w:color w:val="auto"/>
        </w:rPr>
      </w:pPr>
    </w:p>
    <w:p>
      <w:pPr>
        <w:ind w:left="1160" w:right="100" w:firstLine="387"/>
        <w:spacing w:after="0" w:line="267" w:lineRule="auto"/>
        <w:tabs>
          <w:tab w:leader="none" w:pos="178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and Assumption, together with a processing and recordation fee of $3,500; and</w:t>
      </w:r>
    </w:p>
    <w:p>
      <w:pPr>
        <w:spacing w:after="0" w:line="64" w:lineRule="exact"/>
        <w:rPr>
          <w:rFonts w:ascii="Times New Roman" w:cs="Times New Roman" w:eastAsia="Times New Roman" w:hAnsi="Times New Roman"/>
          <w:sz w:val="18"/>
          <w:szCs w:val="18"/>
          <w:color w:val="auto"/>
        </w:rPr>
      </w:pPr>
    </w:p>
    <w:p>
      <w:pPr>
        <w:ind w:left="1160" w:right="100" w:firstLine="387"/>
        <w:spacing w:after="0" w:line="302" w:lineRule="auto"/>
        <w:tabs>
          <w:tab w:leader="none" w:pos="1789"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assignee, if it is not already a Lender, shall deliver to the Administrative Agent an Administrative Questionnaire, the applicable tax forms described in 2.17(f) and all documentation and other information required by regulatory authorities under applicable “know your customer” and anti-money laundering rules and regulations, including, without limitation, the USA Patriot Act.</w:t>
      </w:r>
    </w:p>
    <w:p>
      <w:pPr>
        <w:spacing w:after="0" w:line="1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For purposes of this Section 9.04(b):</w:t>
      </w:r>
    </w:p>
    <w:p>
      <w:pPr>
        <w:spacing w:after="0" w:line="108" w:lineRule="exact"/>
        <w:rPr>
          <w:sz w:val="20"/>
          <w:szCs w:val="20"/>
          <w:color w:val="auto"/>
        </w:rPr>
      </w:pPr>
    </w:p>
    <w:p>
      <w:pPr>
        <w:jc w:val="both"/>
        <w:ind w:left="520" w:right="180" w:firstLine="40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with respect to any Lender, any Fund that is administered, advised or managed by (a) a Lender, (b) an Affiliate of a Lender, (c) an entity or an Affiliate of an entity that administers, advises or manages a Lender or (d) a limited partner or member of any of the foregoing.</w:t>
      </w:r>
    </w:p>
    <w:p>
      <w:pPr>
        <w:spacing w:after="0" w:line="75" w:lineRule="exact"/>
        <w:rPr>
          <w:sz w:val="20"/>
          <w:szCs w:val="20"/>
          <w:color w:val="auto"/>
        </w:rPr>
      </w:pPr>
    </w:p>
    <w:p>
      <w:pPr>
        <w:ind w:left="520" w:right="820" w:firstLine="40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65" w:lineRule="exact"/>
        <w:rPr>
          <w:sz w:val="20"/>
          <w:szCs w:val="20"/>
          <w:color w:val="auto"/>
        </w:rPr>
      </w:pPr>
    </w:p>
    <w:p>
      <w:pPr>
        <w:ind w:left="-20" w:firstLine="972"/>
        <w:spacing w:after="0" w:line="247" w:lineRule="auto"/>
        <w:tabs>
          <w:tab w:leader="none" w:pos="118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Section 9.04(b)(iv), from and after the recordation date of each Assignment and Assumption in the Register,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Section 9.04(c).</w:t>
      </w:r>
    </w:p>
    <w:p>
      <w:pPr>
        <w:spacing w:after="0" w:line="81" w:lineRule="exact"/>
        <w:rPr>
          <w:rFonts w:ascii="Times New Roman" w:cs="Times New Roman" w:eastAsia="Times New Roman" w:hAnsi="Times New Roman"/>
          <w:sz w:val="18"/>
          <w:szCs w:val="18"/>
          <w:color w:val="auto"/>
        </w:rPr>
      </w:pPr>
    </w:p>
    <w:p>
      <w:pPr>
        <w:ind w:left="-20" w:right="100" w:firstLine="972"/>
        <w:spacing w:after="0" w:line="247" w:lineRule="auto"/>
        <w:tabs>
          <w:tab w:leader="none" w:pos="1192"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accessible at one of its offices a copy of each Assignment and Assumption delivered to it and a register for the recordation of the names and addresses of the Lenders, and the Commitment of, and principal amounts (and related stated interest amounts)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and the owner of the amounts owing to it under the Loan Documents as reflected in the Register for all purposes of the Loan Documents, notwithstanding notice to the contrary. The Register shall be available for inspection by the Borrower and, with respect to itself, any Lender, at any reasonable time and from time to time upon reasonable prior written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700"/>
          </w:cols>
          <w:pgMar w:left="600" w:top="265" w:right="599" w:bottom="1440" w:gutter="0" w:footer="0" w:header="0"/>
        </w:sectPr>
      </w:pPr>
    </w:p>
    <w:bookmarkStart w:id="423" w:name="page424"/>
    <w:bookmarkEnd w:id="423"/>
    <w:p>
      <w:pPr>
        <w:ind w:left="520" w:firstLine="410"/>
        <w:spacing w:after="0" w:line="247" w:lineRule="auto"/>
        <w:tabs>
          <w:tab w:leader="none" w:pos="113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Upon its receipt of a duly completed Assignment and Assumption executed by an assigning Lender and an assignee, the assignee’s completed Administrative Questionnaire (unless the assignee shall already be a Lender hereunder) and all documentation and other information required by regulatory authorities under applicable “know your customer” and anti-money laundering rules and regulations, including, without limitation, the USA Patriot Act, the processing and recordation fee referred to in Section 9.04(b) and any written consent to such assignment required by Section 9.04(b),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84" w:lineRule="exact"/>
        <w:rPr>
          <w:rFonts w:ascii="Times New Roman" w:cs="Times New Roman" w:eastAsia="Times New Roman" w:hAnsi="Times New Roman"/>
          <w:sz w:val="18"/>
          <w:szCs w:val="18"/>
          <w:color w:val="auto"/>
        </w:rPr>
      </w:pPr>
    </w:p>
    <w:p>
      <w:pPr>
        <w:ind w:left="-20" w:right="40" w:firstLine="972"/>
        <w:spacing w:after="0" w:line="276" w:lineRule="auto"/>
        <w:tabs>
          <w:tab w:leader="none" w:pos="1182" w:val="left"/>
        </w:tabs>
        <w:numPr>
          <w:ilvl w:val="1"/>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Lender may, without the consent of the Borrower or the Administrative Agent, sell participations to one or more banks or other entities (each a “</w:t>
      </w:r>
      <w:r>
        <w:rPr>
          <w:rFonts w:ascii="Times New Roman" w:cs="Times New Roman" w:eastAsia="Times New Roman" w:hAnsi="Times New Roman"/>
          <w:sz w:val="16"/>
          <w:szCs w:val="16"/>
          <w:u w:val="single" w:color="auto"/>
          <w:color w:val="auto"/>
        </w:rPr>
        <w:t>Participant</w:t>
      </w:r>
      <w:r>
        <w:rPr>
          <w:rFonts w:ascii="Times New Roman" w:cs="Times New Roman" w:eastAsia="Times New Roman" w:hAnsi="Times New Roman"/>
          <w:sz w:val="16"/>
          <w:szCs w:val="16"/>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the other Loan Documents,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agreement or instrument may provide that such Lender will not, without the consent of the Participant, agree to any amendment, modification or waiver described in the first proviso to Section 9.02(b) that requires the affirmative vote of such Lender. Each Lender that sells a participation shall, acting solely for this purpose as a non-fiduciary agent of the Borrower, maintain a register complying with the requirements of Sections 163(f), 871(h) and 881(c)(2) of the Code and the Treasury regulations issued thereunder on which it enters the name and address of each Participant and the principal and stated interest amounts of each Participant’s interest in the Loans held by it (the “</w:t>
      </w:r>
      <w:r>
        <w:rPr>
          <w:rFonts w:ascii="Times New Roman" w:cs="Times New Roman" w:eastAsia="Times New Roman" w:hAnsi="Times New Roman"/>
          <w:sz w:val="16"/>
          <w:szCs w:val="16"/>
          <w:u w:val="single" w:color="auto"/>
          <w:color w:val="auto"/>
        </w:rPr>
        <w:t>Participant Register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Section 5f.103-1(c) or Proposed Section 1.163-5(b) of the United States Treasury Regulations (or, in each case, any amended or successor version), or is otherwise required thereunder. The entries in the Participant Register shall be conclusive, absent manifest error, and such Lender shall treat each Person whose name is recorded in the Participant Register as the owner of such Loan or other obligation hereunder for all purposes of this Agreement notwithstanding any notice to the contrary. For the avoidance of doubt, the Administrative Agent (in its capacity as Administrative Agent) shall have no responsibility for maintaining a Participant Register. Subject to Section 9.04(f), the Borrower agrees that each Participant shall be entitled to the benefits of Sections 2.15, 2.16 and 2.17 to the same extent as if it were a Lender (subject to the requirements and limitations thereof, it being understood that the documentation required under Section 2.17(f) shall be delivered to the participating Lender) and had acquired its interest by assignment pursuant to Section 9.04(b). To the extent permitted by law, each Participant also shall be entitled to the benefits of Section 9.08 as though it were a Lender,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such Participant agrees to be subject to Section 2.18(c) as though it were a Lender. For the avoidance of doubt, each Lender shall be responsible for the indemnity under Section 9.03(b) with respect to any payments made by such Lender to its Participant(s).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680"/>
          </w:cols>
          <w:pgMar w:left="600" w:top="265" w:right="619" w:bottom="1440" w:gutter="0" w:footer="0" w:header="0"/>
        </w:sectPr>
      </w:pPr>
    </w:p>
    <w:bookmarkStart w:id="424" w:name="page425"/>
    <w:bookmarkEnd w:id="424"/>
    <w:p>
      <w:pPr>
        <w:ind w:firstLine="972"/>
        <w:spacing w:after="0" w:line="247" w:lineRule="auto"/>
        <w:tabs>
          <w:tab w:leader="none" w:pos="1183"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Borrower’s prior written consent and the entitlement to receive a greater payments results from a Change in Law that occurs after the Participant acquired the applicable participation. A Participant that would be a Foreign Lender if it were a Lender shall not be entitled to the benefits of Section 2.17 unless the Borrower is notified of the participation sold to such Participant and such Participant agrees, for the benefit of the Borrower, to comply with Section 2.17(e) as though it were a Lender (it being understood that the documentation required under Section 2.17 shall be delivered to the participating Lender).</w:t>
      </w:r>
    </w:p>
    <w:p>
      <w:pPr>
        <w:spacing w:after="0" w:line="84" w:lineRule="exact"/>
        <w:rPr>
          <w:rFonts w:ascii="Times New Roman" w:cs="Times New Roman" w:eastAsia="Times New Roman" w:hAnsi="Times New Roman"/>
          <w:sz w:val="18"/>
          <w:szCs w:val="18"/>
          <w:color w:val="auto"/>
        </w:rPr>
      </w:pPr>
    </w:p>
    <w:p>
      <w:pPr>
        <w:ind w:right="80" w:firstLine="972"/>
        <w:spacing w:after="0" w:line="251" w:lineRule="auto"/>
        <w:tabs>
          <w:tab w:leader="none" w:pos="121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assign or grant a security interest in all or any portion of its rights under this Agreement to secure obligations of such Lender, including any pledge, assignment or grant to secure obligations to a Federal Reserve Bank, and this Section 9.04 shall not apply to any such pledge, assignment or grant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assignment or grant of a security interest shall release a Lender from any of its obligations hereunder or substitute any such pledge or assignee for such Lender as a party hereto.</w:t>
      </w:r>
    </w:p>
    <w:p>
      <w:pPr>
        <w:spacing w:after="0" w:line="184" w:lineRule="exact"/>
        <w:rPr>
          <w:sz w:val="20"/>
          <w:szCs w:val="20"/>
          <w:color w:val="auto"/>
        </w:rPr>
      </w:pPr>
    </w:p>
    <w:p>
      <w:pPr>
        <w:ind w:right="2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have independent significance and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The provisions of Sections 2.15, 2.16, 2.17 and 9.03 and Article VIII shall survive and remain in full force and effect regardless of the consummation of the transactions contemplated hereby, the repayment of the Loans or the termination of this Agreement or any provision hereof.</w:t>
      </w:r>
    </w:p>
    <w:p>
      <w:pPr>
        <w:spacing w:after="0" w:line="191" w:lineRule="exact"/>
        <w:rPr>
          <w:sz w:val="20"/>
          <w:szCs w:val="20"/>
          <w:color w:val="auto"/>
        </w:rPr>
      </w:pPr>
    </w:p>
    <w:p>
      <w:pPr>
        <w:ind w:right="40" w:firstLine="964"/>
        <w:spacing w:after="0" w:line="24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transmission shall be effective as delivery of a manually executed counterpart of this Agreement.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720"/>
          </w:cols>
          <w:pgMar w:left="580" w:top="265" w:right="599" w:bottom="1440" w:gutter="0" w:footer="0" w:header="0"/>
        </w:sectPr>
      </w:pPr>
    </w:p>
    <w:bookmarkStart w:id="425" w:name="page426"/>
    <w:bookmarkEnd w:id="425"/>
    <w:p>
      <w:pPr>
        <w:ind w:right="80" w:firstLine="96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4" w:lineRule="exact"/>
        <w:rPr>
          <w:sz w:val="20"/>
          <w:szCs w:val="20"/>
          <w:color w:val="auto"/>
        </w:rPr>
      </w:pPr>
    </w:p>
    <w:p>
      <w:pPr>
        <w:ind w:right="20" w:firstLine="964"/>
        <w:spacing w:after="0" w:line="245"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(i) all amounts so set off shall be paid over immediately to the Administrative Agent for further application in accordance with the provisions of this Agreement and, pending such payment, shall be segregated by such Defaulting Lender from its other funds and deemed held in trust for the benefit of the Administrative Agent and the Lenders and (ii) the Defaulting Lender shall provide promptly to the Administrative Agent a statement describing in reasonable detail the obligations owing to such Defaulting Lender as to which it exercised such right of set off. The applicable Lender shall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9.08. The rights of each Lender under this Section 9.08 are in addition to other rights and remedies (including other rights of setoff) which such Lender may have.</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00" w:hanging="228"/>
        <w:spacing w:after="0"/>
        <w:tabs>
          <w:tab w:leader="none" w:pos="12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New York.</w:t>
      </w:r>
    </w:p>
    <w:p>
      <w:pPr>
        <w:spacing w:after="0" w:line="108" w:lineRule="exact"/>
        <w:rPr>
          <w:rFonts w:ascii="Times New Roman" w:cs="Times New Roman" w:eastAsia="Times New Roman" w:hAnsi="Times New Roman"/>
          <w:sz w:val="18"/>
          <w:szCs w:val="18"/>
          <w:color w:val="auto"/>
        </w:rPr>
      </w:pPr>
    </w:p>
    <w:p>
      <w:pPr>
        <w:ind w:firstLine="972"/>
        <w:spacing w:after="0" w:line="246" w:lineRule="auto"/>
        <w:tabs>
          <w:tab w:leader="none" w:pos="121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Collateral Agent or any Lender may otherwise have to bring any action or proceeding relating to this Agreement or any other Loan Document against the Borrower or its properties in the courts of any jurisdiction.</w:t>
      </w:r>
    </w:p>
    <w:p>
      <w:pPr>
        <w:spacing w:after="0" w:line="86" w:lineRule="exact"/>
        <w:rPr>
          <w:rFonts w:ascii="Times New Roman" w:cs="Times New Roman" w:eastAsia="Times New Roman" w:hAnsi="Times New Roman"/>
          <w:sz w:val="18"/>
          <w:szCs w:val="18"/>
          <w:color w:val="auto"/>
        </w:rPr>
      </w:pPr>
    </w:p>
    <w:p>
      <w:pPr>
        <w:jc w:val="both"/>
        <w:ind w:right="180" w:firstLine="972"/>
        <w:spacing w:after="0" w:line="251" w:lineRule="auto"/>
        <w:tabs>
          <w:tab w:leader="none" w:pos="120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court referred to in Section 9.09(b). Each of the parties hereto hereby irrevocably waives, to the fullest extent permitted by law, the defense of an inconvenient forum to the maintenance of such action or proceeding in any such court.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720"/>
          </w:cols>
          <w:pgMar w:left="580" w:top="265" w:right="599" w:bottom="1440" w:gutter="0" w:footer="0" w:header="0"/>
        </w:sectPr>
      </w:pPr>
    </w:p>
    <w:bookmarkStart w:id="426" w:name="page427"/>
    <w:bookmarkEnd w:id="426"/>
    <w:p>
      <w:pPr>
        <w:ind w:right="180" w:firstLine="972"/>
        <w:spacing w:after="0" w:line="255" w:lineRule="auto"/>
        <w:tabs>
          <w:tab w:leader="none" w:pos="121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ind w:right="20" w:firstLine="964"/>
        <w:spacing w:after="0" w:line="277" w:lineRule="auto"/>
        <w:rPr>
          <w:sz w:val="20"/>
          <w:szCs w:val="20"/>
          <w:color w:val="auto"/>
        </w:rPr>
      </w:pPr>
      <w:r>
        <w:rPr>
          <w:rFonts w:ascii="Times New Roman" w:cs="Times New Roman" w:eastAsia="Times New Roman" w:hAnsi="Times New Roman"/>
          <w:sz w:val="16"/>
          <w:szCs w:val="16"/>
          <w:color w:val="auto"/>
        </w:rPr>
        <w:t xml:space="preserve">SECTION 9.10. </w:t>
      </w:r>
      <w:r>
        <w:rPr>
          <w:rFonts w:ascii="Times New Roman" w:cs="Times New Roman" w:eastAsia="Times New Roman" w:hAnsi="Times New Roman"/>
          <w:sz w:val="16"/>
          <w:szCs w:val="16"/>
          <w:u w:val="single" w:color="auto"/>
          <w:color w:val="auto"/>
        </w:rPr>
        <w:t>WAIVER OF JURY TRIAL</w:t>
      </w:r>
      <w:r>
        <w:rPr>
          <w:rFonts w:ascii="Times New Roman" w:cs="Times New Roman" w:eastAsia="Times New Roman" w:hAnsi="Times New Roman"/>
          <w:sz w:val="16"/>
          <w:szCs w:val="16"/>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ind w:right="360" w:firstLine="8"/>
        <w:spacing w:after="0" w:line="247" w:lineRule="auto"/>
        <w:tabs>
          <w:tab w:leader="none" w:pos="267"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THAT IT AND THE OTHER PARTIES HERETO HAVE BEEN INDUCED TO ENTER INTO THIS AGREEMENT BY, AMONG OTHER THINGS, THE MUTUAL WAIVERS AND CERTIFICATIONS IN THIS SECTION 9.10.</w:t>
      </w:r>
    </w:p>
    <w:p>
      <w:pPr>
        <w:spacing w:after="0" w:line="186" w:lineRule="exact"/>
        <w:rPr>
          <w:sz w:val="20"/>
          <w:szCs w:val="20"/>
          <w:color w:val="auto"/>
        </w:rPr>
      </w:pPr>
    </w:p>
    <w:p>
      <w:pPr>
        <w:ind w:right="180" w:firstLine="964"/>
        <w:spacing w:after="0" w:line="267"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firstLine="964"/>
        <w:spacing w:after="0" w:line="24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and the Lenders agrees to maintain the confidentiality of the Information (as defined below), except that Information may be disclosed (a) to its and its Affiliates’ directors, trustees,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or self-regulatory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9.12, to (i) any assignee or pledgee of or Participant in, or any prospective assignee or pledgee of or Participant in, any of its rights or obligations under this Agreement or (ii)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9.12 or (ii) becomes available to the Administrative Agent or any Lender on a nonconfidential basis from a source other than the Borrower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source is not actually known by such disclosing party to be bound by an agreement containing provisions substantially the same as those contained in this Section 9.12. For the purposes of this Section 9.12, the term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 relating to the Borrower or its business, other than any such information that is available to the Administrative Agent or any Lender on a nonconfidential basis prior to disclosure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 or any Subsidiary after the date hereof,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720"/>
          </w:cols>
          <w:pgMar w:left="580" w:top="265" w:right="599" w:bottom="1440" w:gutter="0" w:footer="0" w:header="0"/>
        </w:sectPr>
      </w:pPr>
    </w:p>
    <w:bookmarkStart w:id="427" w:name="page428"/>
    <w:bookmarkEnd w:id="427"/>
    <w:p>
      <w:pPr>
        <w:ind w:right="20" w:firstLine="964"/>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9.13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w:t>
      </w:r>
    </w:p>
    <w:p>
      <w:pPr>
        <w:spacing w:after="0" w:line="186" w:lineRule="exact"/>
        <w:rPr>
          <w:sz w:val="20"/>
          <w:szCs w:val="20"/>
          <w:color w:val="auto"/>
        </w:rPr>
      </w:pPr>
    </w:p>
    <w:p>
      <w:pPr>
        <w:ind w:right="20" w:firstLine="964"/>
        <w:spacing w:after="0" w:line="255"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and each Agent hereby notifies the Borrower that pursuant to the requirements of the USA Patriot Act, it is required to obtain, verify and record information that identifies the Borrower, which information includes the name and address of the Borrower and other information that will allow such Person to identify the Borrower in accordance with the USA Patriot Act.</w:t>
      </w:r>
    </w:p>
    <w:p>
      <w:pPr>
        <w:spacing w:after="0" w:line="180" w:lineRule="exact"/>
        <w:rPr>
          <w:sz w:val="20"/>
          <w:szCs w:val="20"/>
          <w:color w:val="auto"/>
        </w:rPr>
      </w:pPr>
    </w:p>
    <w:p>
      <w:pPr>
        <w:ind w:right="240" w:firstLine="964"/>
        <w:spacing w:after="0" w:line="249"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Release of Collateral</w:t>
      </w:r>
      <w:r>
        <w:rPr>
          <w:rFonts w:ascii="Times New Roman" w:cs="Times New Roman" w:eastAsia="Times New Roman" w:hAnsi="Times New Roman"/>
          <w:sz w:val="18"/>
          <w:szCs w:val="18"/>
          <w:color w:val="auto"/>
        </w:rPr>
        <w:t>. Upon any sale or other transfer by any Loan Party of any Collateral that is permitted under this Agreement, or upon the effectiveness of any written consent to the release of the security interest granted hereby in any Collateral pursuant to Section 9.02 of this Agreement, the Mortgage or other security interest in such Collateral shall be automatically released and the Collateral Agent is authorized to, and shall, take any action to effect the foregoing, including, without limitation, executing and delivering to the Borrower, in recordable form, discharges and releases of such Mortgage or other security interest.</w:t>
      </w:r>
    </w:p>
    <w:p>
      <w:pPr>
        <w:spacing w:after="0" w:line="187" w:lineRule="exact"/>
        <w:rPr>
          <w:sz w:val="20"/>
          <w:szCs w:val="20"/>
          <w:color w:val="auto"/>
        </w:rPr>
      </w:pPr>
    </w:p>
    <w:p>
      <w:pPr>
        <w:jc w:val="both"/>
        <w:ind w:firstLine="964"/>
        <w:spacing w:after="0" w:line="293" w:lineRule="auto"/>
        <w:rPr>
          <w:sz w:val="20"/>
          <w:szCs w:val="20"/>
          <w:color w:val="auto"/>
        </w:rPr>
      </w:pPr>
      <w:r>
        <w:rPr>
          <w:rFonts w:ascii="Times New Roman" w:cs="Times New Roman" w:eastAsia="Times New Roman" w:hAnsi="Times New Roman"/>
          <w:sz w:val="16"/>
          <w:szCs w:val="16"/>
          <w:color w:val="auto"/>
        </w:rPr>
        <w:t xml:space="preserve">SECTION 9.16. </w:t>
      </w:r>
      <w:r>
        <w:rPr>
          <w:rFonts w:ascii="Times New Roman" w:cs="Times New Roman" w:eastAsia="Times New Roman" w:hAnsi="Times New Roman"/>
          <w:sz w:val="16"/>
          <w:szCs w:val="16"/>
          <w:u w:val="single" w:color="auto"/>
          <w:color w:val="auto"/>
        </w:rPr>
        <w:t>Acknowledgement and Consent to Bail-In of Affected Financial Institutions</w:t>
      </w:r>
      <w:r>
        <w:rPr>
          <w:rFonts w:ascii="Times New Roman" w:cs="Times New Roman" w:eastAsia="Times New Roman" w:hAnsi="Times New Roman"/>
          <w:sz w:val="16"/>
          <w:szCs w:val="16"/>
          <w:color w:val="auto"/>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47" w:lineRule="exact"/>
        <w:rPr>
          <w:sz w:val="20"/>
          <w:szCs w:val="20"/>
          <w:color w:val="auto"/>
        </w:rPr>
      </w:pPr>
    </w:p>
    <w:p>
      <w:pPr>
        <w:ind w:right="300" w:firstLine="436"/>
        <w:spacing w:after="0" w:line="267" w:lineRule="auto"/>
        <w:tabs>
          <w:tab w:leader="none" w:pos="66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64"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08" w:lineRule="exact"/>
        <w:rPr>
          <w:rFonts w:ascii="Times New Roman" w:cs="Times New Roman" w:eastAsia="Times New Roman" w:hAnsi="Times New Roman"/>
          <w:sz w:val="18"/>
          <w:szCs w:val="18"/>
          <w:color w:val="auto"/>
        </w:rPr>
      </w:pPr>
    </w:p>
    <w:p>
      <w:pPr>
        <w:ind w:left="1160" w:hanging="210"/>
        <w:spacing w:after="0"/>
        <w:tabs>
          <w:tab w:leader="none" w:pos="116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680"/>
          </w:cols>
          <w:pgMar w:left="580" w:top="265" w:right="639" w:bottom="1440" w:gutter="0" w:footer="0" w:header="0"/>
        </w:sectPr>
      </w:pPr>
    </w:p>
    <w:bookmarkStart w:id="428" w:name="page429"/>
    <w:bookmarkEnd w:id="428"/>
    <w:p>
      <w:pPr>
        <w:ind w:firstLine="410"/>
        <w:spacing w:after="0" w:line="302" w:lineRule="auto"/>
        <w:tabs>
          <w:tab w:leader="none" w:pos="664"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Times New Roman" w:cs="Times New Roman" w:eastAsia="Times New Roman" w:hAnsi="Times New Roman"/>
          <w:sz w:val="16"/>
          <w:szCs w:val="16"/>
          <w:color w:val="auto"/>
        </w:rPr>
      </w:pPr>
    </w:p>
    <w:p>
      <w:pPr>
        <w:ind w:right="180" w:firstLine="410"/>
        <w:spacing w:after="0" w:line="267" w:lineRule="auto"/>
        <w:tabs>
          <w:tab w:leader="none" w:pos="713"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u w:val="single" w:color="auto"/>
          <w:color w:val="auto"/>
        </w:rPr>
        <w:t>[REMAINDER OF PAGE INTENTIONALLY LEFT BLANK]</w:t>
      </w:r>
    </w:p>
    <w:p>
      <w:pPr>
        <w:spacing w:after="0" w:line="14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180"/>
          </w:cols>
          <w:pgMar w:left="1120" w:top="265" w:right="599" w:bottom="1440" w:gutter="0" w:footer="0" w:header="0"/>
        </w:sectPr>
      </w:pPr>
    </w:p>
    <w:bookmarkStart w:id="429" w:name="page430"/>
    <w:bookmarkEnd w:id="42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ANNEX B</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2.01 to Credit Agreement</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3" w:right="1440" w:bottom="1440" w:gutter="0" w:footer="0" w:header="0"/>
        </w:sectPr>
      </w:pPr>
    </w:p>
    <w:bookmarkStart w:id="430" w:name="page431"/>
    <w:bookmarkEnd w:id="4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2.01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 Loan Commitments</w:t>
      </w:r>
    </w:p>
    <w:p>
      <w:pPr>
        <w:sectPr>
          <w:pgSz w:w="11900" w:h="16838" w:orient="portrait"/>
          <w:cols w:equalWidth="0" w:num="1">
            <w:col w:w="9019"/>
          </w:cols>
          <w:pgMar w:left="1440" w:top="263" w:right="1440" w:bottom="1440" w:gutter="0" w:footer="0" w:header="0"/>
        </w:sectPr>
      </w:pPr>
    </w:p>
    <w:bookmarkStart w:id="431" w:name="page432"/>
    <w:bookmarkEnd w:id="43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ANNEX 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Closing Checklist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0D8C4A"/>
    <w:multiLevelType w:val="hybridMultilevel"/>
    <w:lvl w:ilvl="0">
      <w:lvlJc w:val="left"/>
      <w:lvlText w:val="•"/>
      <w:numFmt w:val="bullet"/>
      <w:start w:val="1"/>
    </w:lvl>
  </w:abstractNum>
  <w:abstractNum w:abstractNumId="1">
    <w:nsid w:val="73D4D3C4"/>
    <w:multiLevelType w:val="hybridMultilevel"/>
    <w:lvl w:ilvl="0">
      <w:lvlJc w:val="left"/>
      <w:lvlText w:val="•"/>
      <w:numFmt w:val="bullet"/>
      <w:start w:val="1"/>
    </w:lvl>
  </w:abstractNum>
  <w:abstractNum w:abstractNumId="2">
    <w:nsid w:val="746F2E30"/>
    <w:multiLevelType w:val="hybridMultilevel"/>
    <w:lvl w:ilvl="0">
      <w:lvlJc w:val="left"/>
      <w:lvlText w:val="•"/>
      <w:numFmt w:val="bullet"/>
      <w:start w:val="1"/>
    </w:lvl>
  </w:abstractNum>
  <w:abstractNum w:abstractNumId="3">
    <w:nsid w:val="6FDE8AF6"/>
    <w:multiLevelType w:val="hybridMultilevel"/>
    <w:lvl w:ilvl="0">
      <w:lvlJc w:val="left"/>
      <w:lvlText w:val="•"/>
      <w:numFmt w:val="bullet"/>
      <w:start w:val="1"/>
    </w:lvl>
  </w:abstractNum>
  <w:abstractNum w:abstractNumId="4">
    <w:nsid w:val="3FC32E20"/>
    <w:multiLevelType w:val="hybridMultilevel"/>
    <w:lvl w:ilvl="0">
      <w:lvlJc w:val="left"/>
      <w:lvlText w:val="•"/>
      <w:numFmt w:val="bullet"/>
      <w:start w:val="1"/>
    </w:lvl>
  </w:abstractNum>
  <w:abstractNum w:abstractNumId="5">
    <w:nsid w:val="49C0E823"/>
    <w:multiLevelType w:val="hybridMultilevel"/>
    <w:lvl w:ilvl="0">
      <w:lvlJc w:val="left"/>
      <w:lvlText w:val="•"/>
      <w:numFmt w:val="bullet"/>
      <w:start w:val="1"/>
    </w:lvl>
  </w:abstractNum>
  <w:abstractNum w:abstractNumId="6">
    <w:nsid w:val="14D53685"/>
    <w:multiLevelType w:val="hybridMultilevel"/>
    <w:lvl w:ilvl="0">
      <w:lvlJc w:val="left"/>
      <w:lvlText w:val="(%1)"/>
      <w:numFmt w:val="decimal"/>
      <w:start w:val="800"/>
    </w:lvl>
  </w:abstractNum>
  <w:abstractNum w:abstractNumId="7">
    <w:nsid w:val="230F856C"/>
    <w:multiLevelType w:val="hybridMultilevel"/>
    <w:lvl w:ilvl="0">
      <w:lvlJc w:val="left"/>
      <w:lvlText w:val="•"/>
      <w:numFmt w:val="bullet"/>
      <w:start w:val="1"/>
    </w:lvl>
    <w:lvl w:ilvl="1">
      <w:lvlJc w:val="left"/>
      <w:lvlText w:val=","/>
      <w:numFmt w:val="bullet"/>
      <w:start w:val="1"/>
    </w:lvl>
  </w:abstractNum>
  <w:abstractNum w:abstractNumId="8">
    <w:nsid w:val="6EAA85FB"/>
    <w:multiLevelType w:val="hybridMultilevel"/>
    <w:lvl w:ilvl="0">
      <w:lvlJc w:val="left"/>
      <w:lvlText w:val="•"/>
      <w:numFmt w:val="bullet"/>
      <w:start w:val="1"/>
    </w:lvl>
  </w:abstractNum>
  <w:abstractNum w:abstractNumId="9">
    <w:nsid w:val="3F06ECB2"/>
    <w:multiLevelType w:val="hybridMultilevel"/>
    <w:lvl w:ilvl="0">
      <w:lvlJc w:val="left"/>
      <w:lvlText w:val="•"/>
      <w:numFmt w:val="bullet"/>
      <w:start w:val="1"/>
    </w:lvl>
  </w:abstractNum>
  <w:abstractNum w:abstractNumId="10">
    <w:nsid w:val="3B594807"/>
    <w:multiLevelType w:val="hybridMultilevel"/>
    <w:lvl w:ilvl="0">
      <w:lvlJc w:val="left"/>
      <w:lvlText w:val="•"/>
      <w:numFmt w:val="bullet"/>
      <w:start w:val="1"/>
    </w:lvl>
  </w:abstractNum>
  <w:abstractNum w:abstractNumId="11">
    <w:nsid w:val="6CAA2304"/>
    <w:multiLevelType w:val="hybridMultilevel"/>
    <w:lvl w:ilvl="0">
      <w:lvlJc w:val="left"/>
      <w:lvlText w:val="•"/>
      <w:numFmt w:val="bullet"/>
      <w:start w:val="1"/>
    </w:lvl>
  </w:abstractNum>
  <w:abstractNum w:abstractNumId="12">
    <w:nsid w:val="3F7C2FF4"/>
    <w:multiLevelType w:val="hybridMultilevel"/>
    <w:lvl w:ilvl="0">
      <w:lvlJc w:val="left"/>
      <w:lvlText w:val="(%1)"/>
      <w:numFmt w:val="decimal"/>
      <w:start w:val="1"/>
    </w:lvl>
  </w:abstractNum>
  <w:abstractNum w:abstractNumId="13">
    <w:nsid w:val="25413BEC"/>
    <w:multiLevelType w:val="hybridMultilevel"/>
    <w:lvl w:ilvl="0">
      <w:lvlJc w:val="left"/>
      <w:lvlText w:val="(%1)"/>
      <w:numFmt w:val="decimal"/>
      <w:start w:val="2"/>
    </w:lvl>
  </w:abstractNum>
  <w:abstractNum w:abstractNumId="14">
    <w:nsid w:val="17180B0B"/>
    <w:multiLevelType w:val="hybridMultilevel"/>
    <w:lvl w:ilvl="0">
      <w:lvlJc w:val="left"/>
      <w:lvlText w:val="(%1)"/>
      <w:numFmt w:val="decimal"/>
      <w:start w:val="1"/>
    </w:lvl>
  </w:abstractNum>
  <w:abstractNum w:abstractNumId="15">
    <w:nsid w:val="579328B9"/>
    <w:multiLevelType w:val="hybridMultilevel"/>
    <w:lvl w:ilvl="0">
      <w:lvlJc w:val="left"/>
      <w:lvlText w:val="(%1)"/>
      <w:numFmt w:val="decimal"/>
      <w:start w:val="2"/>
    </w:lvl>
  </w:abstractNum>
  <w:abstractNum w:abstractNumId="16">
    <w:nsid w:val="5D205E20"/>
    <w:multiLevelType w:val="hybridMultilevel"/>
    <w:lvl w:ilvl="0">
      <w:lvlJc w:val="left"/>
      <w:lvlText w:val="$"/>
      <w:numFmt w:val="bullet"/>
      <w:start w:val="1"/>
    </w:lvl>
  </w:abstractNum>
  <w:abstractNum w:abstractNumId="17">
    <w:nsid w:val="11CCA8BA"/>
    <w:multiLevelType w:val="hybridMultilevel"/>
    <w:lvl w:ilvl="0">
      <w:lvlJc w:val="left"/>
      <w:lvlText w:val="$"/>
      <w:numFmt w:val="bullet"/>
      <w:start w:val="1"/>
    </w:lvl>
  </w:abstractNum>
  <w:abstractNum w:abstractNumId="18">
    <w:nsid w:val="4D32AB86"/>
    <w:multiLevelType w:val="hybridMultilevel"/>
    <w:lvl w:ilvl="0">
      <w:lvlJc w:val="left"/>
      <w:lvlText w:val="(%1)"/>
      <w:numFmt w:val="decimal"/>
      <w:start w:val="4"/>
    </w:lvl>
  </w:abstractNum>
  <w:abstractNum w:abstractNumId="19">
    <w:nsid w:val="3F07ACC3"/>
    <w:multiLevelType w:val="hybridMultilevel"/>
    <w:lvl w:ilvl="0">
      <w:lvlJc w:val="left"/>
      <w:lvlText w:val="•"/>
      <w:numFmt w:val="bullet"/>
      <w:start w:val="1"/>
    </w:lvl>
  </w:abstractNum>
  <w:abstractNum w:abstractNumId="20">
    <w:nsid w:val="6B47F63E"/>
    <w:multiLevelType w:val="hybridMultilevel"/>
    <w:lvl w:ilvl="0">
      <w:lvlJc w:val="left"/>
      <w:lvlText w:val="•"/>
      <w:numFmt w:val="bullet"/>
      <w:start w:val="1"/>
    </w:lvl>
  </w:abstractNum>
  <w:abstractNum w:abstractNumId="21">
    <w:nsid w:val="5CB44A05"/>
    <w:multiLevelType w:val="hybridMultilevel"/>
    <w:lvl w:ilvl="0">
      <w:lvlJc w:val="left"/>
      <w:lvlText w:val="•"/>
      <w:numFmt w:val="bullet"/>
      <w:start w:val="1"/>
    </w:lvl>
  </w:abstractNum>
  <w:abstractNum w:abstractNumId="22">
    <w:nsid w:val="16CF80F1"/>
    <w:multiLevelType w:val="hybridMultilevel"/>
    <w:lvl w:ilvl="0">
      <w:lvlJc w:val="left"/>
      <w:lvlText w:val="•"/>
      <w:numFmt w:val="bullet"/>
      <w:start w:val="1"/>
    </w:lvl>
  </w:abstractNum>
  <w:abstractNum w:abstractNumId="23">
    <w:nsid w:val="1C695DEC"/>
    <w:multiLevelType w:val="hybridMultilevel"/>
    <w:lvl w:ilvl="0">
      <w:lvlJc w:val="left"/>
      <w:lvlText w:val="•"/>
      <w:numFmt w:val="bullet"/>
      <w:start w:val="1"/>
    </w:lvl>
  </w:abstractNum>
  <w:abstractNum w:abstractNumId="24">
    <w:nsid w:val="3FCFAED9"/>
    <w:multiLevelType w:val="hybridMultilevel"/>
    <w:lvl w:ilvl="0">
      <w:lvlJc w:val="left"/>
      <w:lvlText w:val="•"/>
      <w:numFmt w:val="bullet"/>
      <w:start w:val="1"/>
    </w:lvl>
  </w:abstractNum>
  <w:abstractNum w:abstractNumId="25">
    <w:nsid w:val="F856867"/>
    <w:multiLevelType w:val="hybridMultilevel"/>
    <w:lvl w:ilvl="0">
      <w:lvlJc w:val="left"/>
      <w:lvlText w:val="•"/>
      <w:numFmt w:val="bullet"/>
      <w:start w:val="1"/>
    </w:lvl>
  </w:abstractNum>
  <w:abstractNum w:abstractNumId="26">
    <w:nsid w:val="11B1CC33"/>
    <w:multiLevelType w:val="hybridMultilevel"/>
    <w:lvl w:ilvl="0">
      <w:lvlJc w:val="left"/>
      <w:lvlText w:val="•"/>
      <w:numFmt w:val="bullet"/>
      <w:start w:val="1"/>
    </w:lvl>
  </w:abstractNum>
  <w:abstractNum w:abstractNumId="27">
    <w:nsid w:val="2E22FBB7"/>
    <w:multiLevelType w:val="hybridMultilevel"/>
    <w:lvl w:ilvl="0">
      <w:lvlJc w:val="left"/>
      <w:lvlText w:val="•"/>
      <w:numFmt w:val="bullet"/>
      <w:start w:val="1"/>
    </w:lvl>
  </w:abstractNum>
  <w:abstractNum w:abstractNumId="28">
    <w:nsid w:val="29934699"/>
    <w:multiLevelType w:val="hybridMultilevel"/>
    <w:lvl w:ilvl="0">
      <w:lvlJc w:val="left"/>
      <w:lvlText w:val="•"/>
      <w:numFmt w:val="bullet"/>
      <w:start w:val="1"/>
    </w:lvl>
  </w:abstractNum>
  <w:abstractNum w:abstractNumId="29">
    <w:nsid w:val="77485850"/>
    <w:multiLevelType w:val="hybridMultilevel"/>
    <w:lvl w:ilvl="0">
      <w:lvlJc w:val="left"/>
      <w:lvlText w:val="•"/>
      <w:numFmt w:val="bullet"/>
      <w:start w:val="1"/>
    </w:lvl>
  </w:abstractNum>
  <w:abstractNum w:abstractNumId="30">
    <w:nsid w:val="744939A3"/>
    <w:multiLevelType w:val="hybridMultilevel"/>
    <w:lvl w:ilvl="0">
      <w:lvlJc w:val="left"/>
      <w:lvlText w:val="•"/>
      <w:numFmt w:val="bullet"/>
      <w:start w:val="1"/>
    </w:lvl>
  </w:abstractNum>
  <w:abstractNum w:abstractNumId="31">
    <w:nsid w:val="4FA0D2E3"/>
    <w:multiLevelType w:val="hybridMultilevel"/>
    <w:lvl w:ilvl="0">
      <w:lvlJc w:val="left"/>
      <w:lvlText w:val="•"/>
      <w:numFmt w:val="bullet"/>
      <w:start w:val="1"/>
    </w:lvl>
  </w:abstractNum>
  <w:abstractNum w:abstractNumId="32">
    <w:nsid w:val="6B1D2C14"/>
    <w:multiLevelType w:val="hybridMultilevel"/>
    <w:lvl w:ilvl="0">
      <w:lvlJc w:val="left"/>
      <w:lvlText w:val="•"/>
      <w:numFmt w:val="bullet"/>
      <w:start w:val="1"/>
    </w:lvl>
  </w:abstractNum>
  <w:abstractNum w:abstractNumId="33">
    <w:nsid w:val="68B867D3"/>
    <w:multiLevelType w:val="hybridMultilevel"/>
    <w:lvl w:ilvl="0">
      <w:lvlJc w:val="left"/>
      <w:lvlText w:val="•"/>
      <w:numFmt w:val="bullet"/>
      <w:start w:val="1"/>
    </w:lvl>
  </w:abstractNum>
  <w:abstractNum w:abstractNumId="34">
    <w:nsid w:val="3F7F5DD9"/>
    <w:multiLevelType w:val="hybridMultilevel"/>
    <w:lvl w:ilvl="0">
      <w:lvlJc w:val="left"/>
      <w:lvlText w:val="•"/>
      <w:numFmt w:val="bullet"/>
      <w:start w:val="1"/>
    </w:lvl>
  </w:abstractNum>
  <w:abstractNum w:abstractNumId="35">
    <w:nsid w:val="2AE05A34"/>
    <w:multiLevelType w:val="hybridMultilevel"/>
    <w:lvl w:ilvl="0">
      <w:lvlJc w:val="left"/>
      <w:lvlText w:val="•"/>
      <w:numFmt w:val="bullet"/>
      <w:start w:val="1"/>
    </w:lvl>
  </w:abstractNum>
  <w:abstractNum w:abstractNumId="36">
    <w:nsid w:val="32794FF7"/>
    <w:multiLevelType w:val="hybridMultilevel"/>
    <w:lvl w:ilvl="0">
      <w:lvlJc w:val="left"/>
      <w:lvlText w:val="•"/>
      <w:numFmt w:val="bullet"/>
      <w:start w:val="1"/>
    </w:lvl>
  </w:abstractNum>
  <w:abstractNum w:abstractNumId="37">
    <w:nsid w:val="5454945E"/>
    <w:multiLevelType w:val="hybridMultilevel"/>
    <w:lvl w:ilvl="0">
      <w:lvlJc w:val="left"/>
      <w:lvlText w:val="•"/>
      <w:numFmt w:val="bullet"/>
      <w:start w:val="1"/>
    </w:lvl>
  </w:abstractNum>
  <w:abstractNum w:abstractNumId="38">
    <w:nsid w:val="4DEFDFA0"/>
    <w:multiLevelType w:val="hybridMultilevel"/>
    <w:lvl w:ilvl="0">
      <w:lvlJc w:val="left"/>
      <w:lvlText w:val="•"/>
      <w:numFmt w:val="bullet"/>
      <w:start w:val="1"/>
    </w:lvl>
  </w:abstractNum>
  <w:abstractNum w:abstractNumId="39">
    <w:nsid w:val="2123D5F2"/>
    <w:multiLevelType w:val="hybridMultilevel"/>
    <w:lvl w:ilvl="0">
      <w:lvlJc w:val="left"/>
      <w:lvlText w:val="•"/>
      <w:numFmt w:val="bullet"/>
      <w:start w:val="1"/>
    </w:lvl>
  </w:abstractNum>
  <w:abstractNum w:abstractNumId="40">
    <w:nsid w:val="135B8110"/>
    <w:multiLevelType w:val="hybridMultilevel"/>
    <w:lvl w:ilvl="0">
      <w:lvlJc w:val="left"/>
      <w:lvlText w:val="•"/>
      <w:numFmt w:val="bullet"/>
      <w:start w:val="1"/>
    </w:lvl>
  </w:abstractNum>
  <w:abstractNum w:abstractNumId="41">
    <w:nsid w:val="94927A8"/>
    <w:multiLevelType w:val="hybridMultilevel"/>
    <w:lvl w:ilvl="0">
      <w:lvlJc w:val="left"/>
      <w:lvlText w:val="•"/>
      <w:numFmt w:val="bullet"/>
      <w:start w:val="1"/>
    </w:lvl>
  </w:abstractNum>
  <w:abstractNum w:abstractNumId="42">
    <w:nsid w:val="DCDF8F6"/>
    <w:multiLevelType w:val="hybridMultilevel"/>
    <w:lvl w:ilvl="0">
      <w:lvlJc w:val="left"/>
      <w:lvlText w:val="•"/>
      <w:numFmt w:val="bullet"/>
      <w:start w:val="1"/>
    </w:lvl>
  </w:abstractNum>
  <w:abstractNum w:abstractNumId="43">
    <w:nsid w:val="52D7B105"/>
    <w:multiLevelType w:val="hybridMultilevel"/>
    <w:lvl w:ilvl="0">
      <w:lvlJc w:val="left"/>
      <w:lvlText w:val="•"/>
      <w:numFmt w:val="bullet"/>
      <w:start w:val="1"/>
    </w:lvl>
  </w:abstractNum>
  <w:abstractNum w:abstractNumId="44">
    <w:nsid w:val="2E8A6394"/>
    <w:multiLevelType w:val="hybridMultilevel"/>
    <w:lvl w:ilvl="0">
      <w:lvlJc w:val="left"/>
      <w:lvlText w:val="•"/>
      <w:numFmt w:val="bullet"/>
      <w:start w:val="1"/>
    </w:lvl>
  </w:abstractNum>
  <w:abstractNum w:abstractNumId="45">
    <w:nsid w:val="24E60401"/>
    <w:multiLevelType w:val="hybridMultilevel"/>
    <w:lvl w:ilvl="0">
      <w:lvlJc w:val="left"/>
      <w:lvlText w:val="•"/>
      <w:numFmt w:val="bullet"/>
      <w:start w:val="1"/>
    </w:lvl>
  </w:abstractNum>
  <w:abstractNum w:abstractNumId="46">
    <w:nsid w:val="2A6AD9BE"/>
    <w:multiLevelType w:val="hybridMultilevel"/>
    <w:lvl w:ilvl="0">
      <w:lvlJc w:val="left"/>
      <w:lvlText w:val="•"/>
      <w:numFmt w:val="bullet"/>
      <w:start w:val="1"/>
    </w:lvl>
  </w:abstractNum>
  <w:abstractNum w:abstractNumId="47">
    <w:nsid w:val="BAAC1B4"/>
    <w:multiLevelType w:val="hybridMultilevel"/>
    <w:lvl w:ilvl="0">
      <w:lvlJc w:val="left"/>
      <w:lvlText w:val="•"/>
      <w:numFmt w:val="bullet"/>
      <w:start w:val="1"/>
    </w:lvl>
  </w:abstractNum>
  <w:abstractNum w:abstractNumId="48">
    <w:nsid w:val="36B2ACBC"/>
    <w:multiLevelType w:val="hybridMultilevel"/>
    <w:lvl w:ilvl="0">
      <w:lvlJc w:val="left"/>
      <w:lvlText w:val="•"/>
      <w:numFmt w:val="bullet"/>
      <w:start w:val="1"/>
    </w:lvl>
  </w:abstractNum>
  <w:abstractNum w:abstractNumId="49">
    <w:nsid w:val="779D8544"/>
    <w:multiLevelType w:val="hybridMultilevel"/>
    <w:lvl w:ilvl="0">
      <w:lvlJc w:val="left"/>
      <w:lvlText w:val="•"/>
      <w:numFmt w:val="bullet"/>
      <w:start w:val="1"/>
    </w:lvl>
  </w:abstractNum>
  <w:abstractNum w:abstractNumId="50">
    <w:nsid w:val="4AB26E78"/>
    <w:multiLevelType w:val="hybridMultilevel"/>
    <w:lvl w:ilvl="0">
      <w:lvlJc w:val="left"/>
      <w:lvlText w:val="•"/>
      <w:numFmt w:val="bullet"/>
      <w:start w:val="1"/>
    </w:lvl>
  </w:abstractNum>
  <w:abstractNum w:abstractNumId="51">
    <w:nsid w:val="21FAA2FA"/>
    <w:multiLevelType w:val="hybridMultilevel"/>
    <w:lvl w:ilvl="0">
      <w:lvlJc w:val="left"/>
      <w:lvlText w:val="•"/>
      <w:numFmt w:val="bullet"/>
      <w:start w:val="1"/>
    </w:lvl>
  </w:abstractNum>
  <w:abstractNum w:abstractNumId="52">
    <w:nsid w:val="5451CF49"/>
    <w:multiLevelType w:val="hybridMultilevel"/>
    <w:lvl w:ilvl="0">
      <w:lvlJc w:val="left"/>
      <w:lvlText w:val="•"/>
      <w:numFmt w:val="bullet"/>
      <w:start w:val="1"/>
    </w:lvl>
  </w:abstractNum>
  <w:abstractNum w:abstractNumId="53">
    <w:nsid w:val="6181EF69"/>
    <w:multiLevelType w:val="hybridMultilevel"/>
    <w:lvl w:ilvl="0">
      <w:lvlJc w:val="left"/>
      <w:lvlText w:val="•"/>
      <w:numFmt w:val="bullet"/>
      <w:start w:val="1"/>
    </w:lvl>
  </w:abstractNum>
  <w:abstractNum w:abstractNumId="54">
    <w:nsid w:val="3E6400E6"/>
    <w:multiLevelType w:val="hybridMultilevel"/>
    <w:lvl w:ilvl="0">
      <w:lvlJc w:val="left"/>
      <w:lvlText w:val="•"/>
      <w:numFmt w:val="bullet"/>
      <w:start w:val="1"/>
    </w:lvl>
  </w:abstractNum>
  <w:abstractNum w:abstractNumId="55">
    <w:nsid w:val="14217E23"/>
    <w:multiLevelType w:val="hybridMultilevel"/>
    <w:lvl w:ilvl="0">
      <w:lvlJc w:val="left"/>
      <w:lvlText w:val="•"/>
      <w:numFmt w:val="bullet"/>
      <w:start w:val="1"/>
    </w:lvl>
  </w:abstractNum>
  <w:abstractNum w:abstractNumId="56">
    <w:nsid w:val="710757D0"/>
    <w:multiLevelType w:val="hybridMultilevel"/>
    <w:lvl w:ilvl="0">
      <w:lvlJc w:val="left"/>
      <w:lvlText w:val="$"/>
      <w:numFmt w:val="bullet"/>
      <w:start w:val="1"/>
    </w:lvl>
  </w:abstractNum>
  <w:abstractNum w:abstractNumId="57">
    <w:nsid w:val="5015CD1A"/>
    <w:multiLevelType w:val="hybridMultilevel"/>
    <w:lvl w:ilvl="0">
      <w:lvlJc w:val="left"/>
      <w:lvlText w:val="$"/>
      <w:numFmt w:val="bullet"/>
      <w:start w:val="1"/>
    </w:lvl>
  </w:abstractNum>
  <w:abstractNum w:abstractNumId="58">
    <w:nsid w:val="424479DA"/>
    <w:multiLevelType w:val="hybridMultilevel"/>
    <w:lvl w:ilvl="0">
      <w:lvlJc w:val="left"/>
      <w:lvlText w:val="•"/>
      <w:numFmt w:val="bullet"/>
      <w:start w:val="1"/>
    </w:lvl>
  </w:abstractNum>
  <w:abstractNum w:abstractNumId="59">
    <w:nsid w:val="1A9A9E69"/>
    <w:multiLevelType w:val="hybridMultilevel"/>
    <w:lvl w:ilvl="0">
      <w:lvlJc w:val="left"/>
      <w:lvlText w:val="•"/>
      <w:numFmt w:val="bullet"/>
      <w:start w:val="1"/>
    </w:lvl>
  </w:abstractNum>
  <w:abstractNum w:abstractNumId="60">
    <w:nsid w:val="475E256A"/>
    <w:multiLevelType w:val="hybridMultilevel"/>
    <w:lvl w:ilvl="0">
      <w:lvlJc w:val="left"/>
      <w:lvlText w:val="•"/>
      <w:numFmt w:val="bullet"/>
      <w:start w:val="1"/>
    </w:lvl>
  </w:abstractNum>
  <w:abstractNum w:abstractNumId="61">
    <w:nsid w:val="368DB37E"/>
    <w:multiLevelType w:val="hybridMultilevel"/>
    <w:lvl w:ilvl="0">
      <w:lvlJc w:val="left"/>
      <w:lvlText w:val="•"/>
      <w:numFmt w:val="bullet"/>
      <w:start w:val="1"/>
    </w:lvl>
  </w:abstractNum>
  <w:abstractNum w:abstractNumId="62">
    <w:nsid w:val="6A3B714C"/>
    <w:multiLevelType w:val="hybridMultilevel"/>
    <w:lvl w:ilvl="0">
      <w:lvlJc w:val="left"/>
      <w:lvlText w:val="$"/>
      <w:numFmt w:val="bullet"/>
      <w:start w:val="1"/>
    </w:lvl>
  </w:abstractNum>
  <w:abstractNum w:abstractNumId="63">
    <w:nsid w:val="327B517E"/>
    <w:multiLevelType w:val="hybridMultilevel"/>
    <w:lvl w:ilvl="0">
      <w:lvlJc w:val="left"/>
      <w:lvlText w:val="$"/>
      <w:numFmt w:val="bullet"/>
      <w:start w:val="1"/>
    </w:lvl>
  </w:abstractNum>
  <w:abstractNum w:abstractNumId="64">
    <w:nsid w:val="1F461B51"/>
    <w:multiLevelType w:val="hybridMultilevel"/>
    <w:lvl w:ilvl="0">
      <w:lvlJc w:val="left"/>
      <w:lvlText w:val="•"/>
      <w:numFmt w:val="bullet"/>
      <w:start w:val="1"/>
    </w:lvl>
  </w:abstractNum>
  <w:abstractNum w:abstractNumId="65">
    <w:nsid w:val="29BACF25"/>
    <w:multiLevelType w:val="hybridMultilevel"/>
    <w:lvl w:ilvl="0">
      <w:lvlJc w:val="left"/>
      <w:lvlText w:val="•"/>
      <w:numFmt w:val="bullet"/>
      <w:start w:val="1"/>
    </w:lvl>
  </w:abstractNum>
  <w:abstractNum w:abstractNumId="66">
    <w:nsid w:val="5D5BABB3"/>
    <w:multiLevelType w:val="hybridMultilevel"/>
    <w:lvl w:ilvl="0">
      <w:lvlJc w:val="left"/>
      <w:lvlText w:val="•"/>
      <w:numFmt w:val="bullet"/>
      <w:start w:val="1"/>
    </w:lvl>
  </w:abstractNum>
  <w:abstractNum w:abstractNumId="67">
    <w:nsid w:val="51BF6B48"/>
    <w:multiLevelType w:val="hybridMultilevel"/>
    <w:lvl w:ilvl="0">
      <w:lvlJc w:val="left"/>
      <w:lvlText w:val="•"/>
      <w:numFmt w:val="bullet"/>
      <w:start w:val="1"/>
    </w:lvl>
  </w:abstractNum>
  <w:abstractNum w:abstractNumId="68">
    <w:nsid w:val="7E0F6384"/>
    <w:multiLevelType w:val="hybridMultilevel"/>
    <w:lvl w:ilvl="0">
      <w:lvlJc w:val="left"/>
      <w:lvlText w:val="*"/>
      <w:numFmt w:val="bullet"/>
      <w:start w:val="1"/>
    </w:lvl>
  </w:abstractNum>
  <w:abstractNum w:abstractNumId="69">
    <w:nsid w:val="2B4B8B53"/>
    <w:multiLevelType w:val="hybridMultilevel"/>
    <w:lvl w:ilvl="0">
      <w:lvlJc w:val="left"/>
      <w:lvlText w:val="•"/>
      <w:numFmt w:val="bullet"/>
      <w:start w:val="1"/>
    </w:lvl>
  </w:abstractNum>
  <w:abstractNum w:abstractNumId="70">
    <w:nsid w:val="72E3413A"/>
    <w:multiLevelType w:val="hybridMultilevel"/>
    <w:lvl w:ilvl="0">
      <w:lvlJc w:val="left"/>
      <w:lvlText w:val="•"/>
      <w:numFmt w:val="bullet"/>
      <w:start w:val="1"/>
    </w:lvl>
  </w:abstractNum>
  <w:abstractNum w:abstractNumId="71">
    <w:nsid w:val="116AE494"/>
    <w:multiLevelType w:val="hybridMultilevel"/>
    <w:lvl w:ilvl="0">
      <w:lvlJc w:val="left"/>
      <w:lvlText w:val="$"/>
      <w:numFmt w:val="bullet"/>
      <w:start w:val="1"/>
    </w:lvl>
  </w:abstractNum>
  <w:abstractNum w:abstractNumId="72">
    <w:nsid w:val="3494B2FB"/>
    <w:multiLevelType w:val="hybridMultilevel"/>
    <w:lvl w:ilvl="0">
      <w:lvlJc w:val="left"/>
      <w:lvlText w:val="(%1)"/>
      <w:numFmt w:val="lowerRoman"/>
      <w:start w:val="2"/>
    </w:lvl>
  </w:abstractNum>
  <w:abstractNum w:abstractNumId="73">
    <w:nsid w:val="B13A31"/>
    <w:multiLevelType w:val="hybridMultilevel"/>
    <w:lvl w:ilvl="0">
      <w:lvlJc w:val="left"/>
      <w:lvlText w:val="(%1)"/>
      <w:numFmt w:val="lowerRoman"/>
      <w:start w:val="5"/>
    </w:lvl>
  </w:abstractNum>
  <w:abstractNum w:abstractNumId="74">
    <w:nsid w:val="64429599"/>
    <w:multiLevelType w:val="hybridMultilevel"/>
    <w:lvl w:ilvl="0">
      <w:lvlJc w:val="left"/>
      <w:lvlText w:val="(%1)"/>
      <w:numFmt w:val="lowerRoman"/>
      <w:start w:val="1"/>
    </w:lvl>
  </w:abstractNum>
  <w:abstractNum w:abstractNumId="75">
    <w:nsid w:val="631F1690"/>
    <w:multiLevelType w:val="hybridMultilevel"/>
    <w:lvl w:ilvl="0">
      <w:lvlJc w:val="left"/>
      <w:lvlText w:val="(%1)"/>
      <w:numFmt w:val="lowerRoman"/>
      <w:start w:val="4"/>
    </w:lvl>
  </w:abstractNum>
  <w:abstractNum w:abstractNumId="76">
    <w:nsid w:val="25973E32"/>
    <w:multiLevelType w:val="hybridMultilevel"/>
    <w:lvl w:ilvl="0">
      <w:lvlJc w:val="left"/>
      <w:lvlText w:val="•"/>
      <w:numFmt w:val="bullet"/>
      <w:start w:val="1"/>
    </w:lvl>
  </w:abstractNum>
  <w:abstractNum w:abstractNumId="77">
    <w:nsid w:val="EAD6F57"/>
    <w:multiLevelType w:val="hybridMultilevel"/>
    <w:lvl w:ilvl="0">
      <w:lvlJc w:val="left"/>
      <w:lvlText w:val="•"/>
      <w:numFmt w:val="bullet"/>
      <w:start w:val="1"/>
    </w:lvl>
  </w:abstractNum>
  <w:abstractNum w:abstractNumId="78">
    <w:nsid w:val="6EC9D844"/>
    <w:multiLevelType w:val="hybridMultilevel"/>
    <w:lvl w:ilvl="0">
      <w:lvlJc w:val="left"/>
      <w:lvlText w:val="•"/>
      <w:numFmt w:val="bullet"/>
      <w:start w:val="1"/>
    </w:lvl>
  </w:abstractNum>
  <w:abstractNum w:abstractNumId="79">
    <w:nsid w:val="5C49EAEE"/>
    <w:multiLevelType w:val="hybridMultilevel"/>
    <w:lvl w:ilvl="0">
      <w:lvlJc w:val="left"/>
      <w:lvlText w:val="•"/>
      <w:numFmt w:val="bullet"/>
      <w:start w:val="1"/>
    </w:lvl>
  </w:abstractNum>
  <w:abstractNum w:abstractNumId="80">
    <w:nsid w:val="64AF49B"/>
    <w:multiLevelType w:val="hybridMultilevel"/>
    <w:lvl w:ilvl="0">
      <w:lvlJc w:val="left"/>
      <w:lvlText w:val="•"/>
      <w:numFmt w:val="bullet"/>
      <w:start w:val="1"/>
    </w:lvl>
  </w:abstractNum>
  <w:abstractNum w:abstractNumId="81">
    <w:nsid w:val="397C46BC"/>
    <w:multiLevelType w:val="hybridMultilevel"/>
    <w:lvl w:ilvl="0">
      <w:lvlJc w:val="left"/>
      <w:lvlText w:val="•"/>
      <w:numFmt w:val="bullet"/>
      <w:start w:val="1"/>
    </w:lvl>
  </w:abstractNum>
  <w:abstractNum w:abstractNumId="82">
    <w:nsid w:val="7E448DE9"/>
    <w:multiLevelType w:val="hybridMultilevel"/>
    <w:lvl w:ilvl="0">
      <w:lvlJc w:val="left"/>
      <w:lvlText w:val="•"/>
      <w:numFmt w:val="bullet"/>
      <w:start w:val="1"/>
    </w:lvl>
  </w:abstractNum>
  <w:abstractNum w:abstractNumId="83">
    <w:nsid w:val="5A9CC3E5"/>
    <w:multiLevelType w:val="hybridMultilevel"/>
    <w:lvl w:ilvl="0">
      <w:lvlJc w:val="left"/>
      <w:lvlText w:val="•"/>
      <w:numFmt w:val="bullet"/>
      <w:start w:val="1"/>
    </w:lvl>
  </w:abstractNum>
  <w:abstractNum w:abstractNumId="84">
    <w:nsid w:val="1AFE3625"/>
    <w:multiLevelType w:val="hybridMultilevel"/>
    <w:lvl w:ilvl="0">
      <w:lvlJc w:val="left"/>
      <w:lvlText w:val="•"/>
      <w:numFmt w:val="bullet"/>
      <w:start w:val="1"/>
    </w:lvl>
  </w:abstractNum>
  <w:abstractNum w:abstractNumId="85">
    <w:nsid w:val="3CA88ECF"/>
    <w:multiLevelType w:val="hybridMultilevel"/>
    <w:lvl w:ilvl="0">
      <w:lvlJc w:val="left"/>
      <w:lvlText w:val="•"/>
      <w:numFmt w:val="bullet"/>
      <w:start w:val="1"/>
    </w:lvl>
  </w:abstractNum>
  <w:abstractNum w:abstractNumId="86">
    <w:nsid w:val="6EBE4208"/>
    <w:multiLevelType w:val="hybridMultilevel"/>
    <w:lvl w:ilvl="0">
      <w:lvlJc w:val="left"/>
      <w:lvlText w:val="•"/>
      <w:numFmt w:val="bullet"/>
      <w:start w:val="1"/>
    </w:lvl>
  </w:abstractNum>
  <w:abstractNum w:abstractNumId="87">
    <w:nsid w:val="C058DF5"/>
    <w:multiLevelType w:val="hybridMultilevel"/>
    <w:lvl w:ilvl="0">
      <w:lvlJc w:val="left"/>
      <w:lvlText w:val="(%1)"/>
      <w:numFmt w:val="decimal"/>
      <w:start w:val="1"/>
    </w:lvl>
  </w:abstractNum>
  <w:abstractNum w:abstractNumId="88">
    <w:nsid w:val="CBE5BE9"/>
    <w:multiLevelType w:val="hybridMultilevel"/>
    <w:lvl w:ilvl="0">
      <w:lvlJc w:val="left"/>
      <w:lvlText w:val="(%1)"/>
      <w:numFmt w:val="lowerLetter"/>
      <w:start w:val="1"/>
    </w:lvl>
  </w:abstractNum>
  <w:abstractNum w:abstractNumId="89">
    <w:nsid w:val="3102BBE2"/>
    <w:multiLevelType w:val="hybridMultilevel"/>
    <w:lvl w:ilvl="0">
      <w:lvlJc w:val="left"/>
      <w:lvlText w:val="(%1)"/>
      <w:numFmt w:val="decimal"/>
      <w:start w:val="3"/>
    </w:lvl>
  </w:abstractNum>
  <w:abstractNum w:abstractNumId="90">
    <w:nsid w:val="26A02C5E"/>
    <w:multiLevelType w:val="hybridMultilevel"/>
    <w:lvl w:ilvl="0">
      <w:lvlJc w:val="left"/>
      <w:lvlText w:val="(%1)"/>
      <w:numFmt w:val="decimal"/>
      <w:start w:val="4"/>
    </w:lvl>
  </w:abstractNum>
  <w:abstractNum w:abstractNumId="91">
    <w:nsid w:val="541C8153"/>
    <w:multiLevelType w:val="hybridMultilevel"/>
    <w:lvl w:ilvl="0">
      <w:lvlJc w:val="left"/>
      <w:lvlText w:val="•"/>
      <w:numFmt w:val="bullet"/>
      <w:start w:val="1"/>
    </w:lvl>
  </w:abstractNum>
  <w:abstractNum w:abstractNumId="92">
    <w:nsid w:val="67906F60"/>
    <w:multiLevelType w:val="hybridMultilevel"/>
    <w:lvl w:ilvl="0">
      <w:lvlJc w:val="left"/>
      <w:lvlText w:val="(%1)"/>
      <w:numFmt w:val="decimal"/>
      <w:start w:val="1"/>
    </w:lvl>
  </w:abstractNum>
  <w:abstractNum w:abstractNumId="93">
    <w:nsid w:val="10DB9DAA"/>
    <w:multiLevelType w:val="hybridMultilevel"/>
    <w:lvl w:ilvl="0">
      <w:lvlJc w:val="left"/>
      <w:lvlText w:val="(%1)"/>
      <w:numFmt w:val="decimal"/>
      <w:start w:val="1"/>
    </w:lvl>
  </w:abstractNum>
  <w:abstractNum w:abstractNumId="94">
    <w:nsid w:val="697D2D2"/>
    <w:multiLevelType w:val="hybridMultilevel"/>
    <w:lvl w:ilvl="0">
      <w:lvlJc w:val="left"/>
      <w:lvlText w:val="(%1)"/>
      <w:numFmt w:val="decimal"/>
      <w:start w:val="2"/>
    </w:lvl>
  </w:abstractNum>
  <w:abstractNum w:abstractNumId="95">
    <w:nsid w:val="6D68AB2"/>
    <w:multiLevelType w:val="hybridMultilevel"/>
    <w:lvl w:ilvl="0">
      <w:lvlJc w:val="left"/>
      <w:lvlText w:val="•"/>
      <w:numFmt w:val="bullet"/>
      <w:start w:val="1"/>
    </w:lvl>
  </w:abstractNum>
  <w:abstractNum w:abstractNumId="96">
    <w:nsid w:val="3A966CD0"/>
    <w:multiLevelType w:val="hybridMultilevel"/>
    <w:lvl w:ilvl="0">
      <w:lvlJc w:val="left"/>
      <w:lvlText w:val="•"/>
      <w:numFmt w:val="bullet"/>
      <w:start w:val="1"/>
    </w:lvl>
  </w:abstractNum>
  <w:abstractNum w:abstractNumId="97">
    <w:nsid w:val="63F37E85"/>
    <w:multiLevelType w:val="hybridMultilevel"/>
    <w:lvl w:ilvl="0">
      <w:lvlJc w:val="left"/>
      <w:lvlText w:val="•"/>
      <w:numFmt w:val="bullet"/>
      <w:start w:val="1"/>
    </w:lvl>
  </w:abstractNum>
  <w:abstractNum w:abstractNumId="98">
    <w:nsid w:val="5895F5FA"/>
    <w:multiLevelType w:val="hybridMultilevel"/>
    <w:lvl w:ilvl="0">
      <w:lvlJc w:val="left"/>
      <w:lvlText w:val="•"/>
      <w:numFmt w:val="bullet"/>
      <w:start w:val="1"/>
    </w:lvl>
  </w:abstractNum>
  <w:abstractNum w:abstractNumId="99">
    <w:nsid w:val="38A5D054"/>
    <w:multiLevelType w:val="hybridMultilevel"/>
    <w:lvl w:ilvl="0">
      <w:lvlJc w:val="left"/>
      <w:lvlText w:val="(%1)"/>
      <w:numFmt w:val="decimal"/>
      <w:start w:val="1"/>
    </w:lvl>
  </w:abstractNum>
  <w:abstractNum w:abstractNumId="100">
    <w:nsid w:val="F3F09D8"/>
    <w:multiLevelType w:val="hybridMultilevel"/>
    <w:lvl w:ilvl="0">
      <w:lvlJc w:val="left"/>
      <w:lvlText w:val="(%1)"/>
      <w:numFmt w:val="decimal"/>
      <w:start w:val="1"/>
    </w:lvl>
  </w:abstractNum>
  <w:abstractNum w:abstractNumId="101">
    <w:nsid w:val="4B793735"/>
    <w:multiLevelType w:val="hybridMultilevel"/>
    <w:lvl w:ilvl="0">
      <w:lvlJc w:val="left"/>
      <w:lvlText w:val="•"/>
      <w:numFmt w:val="bullet"/>
      <w:start w:val="1"/>
    </w:lvl>
  </w:abstractNum>
  <w:abstractNum w:abstractNumId="102">
    <w:nsid w:val="4A10B4E8"/>
    <w:multiLevelType w:val="hybridMultilevel"/>
    <w:lvl w:ilvl="0">
      <w:lvlJc w:val="left"/>
      <w:lvlText w:val="(%1)"/>
      <w:numFmt w:val="decimal"/>
      <w:start w:val="2"/>
    </w:lvl>
  </w:abstractNum>
  <w:abstractNum w:abstractNumId="103">
    <w:nsid w:val="43D3BCD4"/>
    <w:multiLevelType w:val="hybridMultilevel"/>
    <w:lvl w:ilvl="0">
      <w:lvlJc w:val="left"/>
      <w:lvlText w:val="*"/>
      <w:numFmt w:val="bullet"/>
      <w:start w:val="1"/>
    </w:lvl>
  </w:abstractNum>
  <w:abstractNum w:abstractNumId="104">
    <w:nsid w:val="4C2A7166"/>
    <w:multiLevelType w:val="hybridMultilevel"/>
    <w:lvl w:ilvl="0">
      <w:lvlJc w:val="left"/>
      <w:lvlText w:val="†"/>
      <w:numFmt w:val="bullet"/>
      <w:start w:val="1"/>
    </w:lvl>
  </w:abstractNum>
  <w:abstractNum w:abstractNumId="105">
    <w:nsid w:val="2E534A82"/>
    <w:multiLevelType w:val="hybridMultilevel"/>
    <w:lvl w:ilvl="0">
      <w:lvlJc w:val="left"/>
      <w:lvlText w:val="•"/>
      <w:numFmt w:val="bullet"/>
      <w:start w:val="1"/>
    </w:lvl>
  </w:abstractNum>
  <w:abstractNum w:abstractNumId="106">
    <w:nsid w:val="26F2D364"/>
    <w:multiLevelType w:val="hybridMultilevel"/>
    <w:lvl w:ilvl="0">
      <w:lvlJc w:val="left"/>
      <w:lvlText w:val="•"/>
      <w:numFmt w:val="bullet"/>
      <w:start w:val="1"/>
    </w:lvl>
  </w:abstractNum>
  <w:abstractNum w:abstractNumId="107">
    <w:nsid w:val="71C1AF98"/>
    <w:multiLevelType w:val="hybridMultilevel"/>
    <w:lvl w:ilvl="0">
      <w:lvlJc w:val="left"/>
      <w:lvlText w:val="&amp;"/>
      <w:numFmt w:val="bullet"/>
      <w:start w:val="1"/>
    </w:lvl>
  </w:abstractNum>
  <w:abstractNum w:abstractNumId="108">
    <w:nsid w:val="3D00B9D9"/>
    <w:multiLevelType w:val="hybridMultilevel"/>
    <w:lvl w:ilvl="0">
      <w:lvlJc w:val="left"/>
      <w:lvlText w:val="•"/>
      <w:numFmt w:val="bullet"/>
      <w:start w:val="1"/>
    </w:lvl>
  </w:abstractNum>
  <w:abstractNum w:abstractNumId="109">
    <w:nsid w:val="15BCABA8"/>
    <w:multiLevelType w:val="hybridMultilevel"/>
    <w:lvl w:ilvl="0">
      <w:lvlJc w:val="left"/>
      <w:lvlText w:val="•"/>
      <w:numFmt w:val="bullet"/>
      <w:start w:val="1"/>
    </w:lvl>
  </w:abstractNum>
  <w:abstractNum w:abstractNumId="110">
    <w:nsid w:val="4E0B9A87"/>
    <w:multiLevelType w:val="hybridMultilevel"/>
    <w:lvl w:ilvl="0">
      <w:lvlJc w:val="left"/>
      <w:lvlText w:val="•"/>
      <w:numFmt w:val="bullet"/>
      <w:start w:val="1"/>
    </w:lvl>
  </w:abstractNum>
  <w:abstractNum w:abstractNumId="111">
    <w:nsid w:val="434BAE75"/>
    <w:multiLevelType w:val="hybridMultilevel"/>
    <w:lvl w:ilvl="0">
      <w:lvlJc w:val="left"/>
      <w:lvlText w:val="•"/>
      <w:numFmt w:val="bullet"/>
      <w:start w:val="1"/>
    </w:lvl>
  </w:abstractNum>
  <w:abstractNum w:abstractNumId="112">
    <w:nsid w:val="4F38F265"/>
    <w:multiLevelType w:val="hybridMultilevel"/>
    <w:lvl w:ilvl="0">
      <w:lvlJc w:val="left"/>
      <w:lvlText w:val="•"/>
      <w:numFmt w:val="bullet"/>
      <w:start w:val="1"/>
    </w:lvl>
  </w:abstractNum>
  <w:abstractNum w:abstractNumId="113">
    <w:nsid w:val="4C502870"/>
    <w:multiLevelType w:val="hybridMultilevel"/>
    <w:lvl w:ilvl="0">
      <w:lvlJc w:val="left"/>
      <w:lvlText w:val="•"/>
      <w:numFmt w:val="bullet"/>
      <w:start w:val="1"/>
    </w:lvl>
  </w:abstractNum>
  <w:abstractNum w:abstractNumId="114">
    <w:nsid w:val="1DE8725A"/>
    <w:multiLevelType w:val="hybridMultilevel"/>
    <w:lvl w:ilvl="0">
      <w:lvlJc w:val="left"/>
      <w:lvlText w:val="(%1)"/>
      <w:numFmt w:val="lowerLetter"/>
      <w:start w:val="1"/>
    </w:lvl>
  </w:abstractNum>
  <w:abstractNum w:abstractNumId="115">
    <w:nsid w:val="6A37288A"/>
    <w:multiLevelType w:val="hybridMultilevel"/>
    <w:lvl w:ilvl="0">
      <w:lvlJc w:val="left"/>
      <w:lvlText w:val="(%1)"/>
      <w:numFmt w:val="lowerLetter"/>
      <w:start w:val="1"/>
    </w:lvl>
  </w:abstractNum>
  <w:abstractNum w:abstractNumId="116">
    <w:nsid w:val="8F8B73F"/>
    <w:multiLevelType w:val="hybridMultilevel"/>
    <w:lvl w:ilvl="0">
      <w:lvlJc w:val="left"/>
      <w:lvlText w:val="(%1)"/>
      <w:numFmt w:val="lowerLetter"/>
      <w:start w:val="1"/>
    </w:lvl>
  </w:abstractNum>
  <w:abstractNum w:abstractNumId="117">
    <w:nsid w:val="CA6B462"/>
    <w:multiLevelType w:val="hybridMultilevel"/>
    <w:lvl w:ilvl="0">
      <w:lvlJc w:val="left"/>
      <w:lvlText w:val="(%1)"/>
      <w:numFmt w:val="lowerRoman"/>
      <w:start w:val="3"/>
    </w:lvl>
  </w:abstractNum>
  <w:abstractNum w:abstractNumId="118">
    <w:nsid w:val="763CB680"/>
    <w:multiLevelType w:val="hybridMultilevel"/>
    <w:lvl w:ilvl="0">
      <w:lvlJc w:val="left"/>
      <w:lvlText w:val="%1."/>
      <w:numFmt w:val="decimal"/>
      <w:start w:val="1"/>
    </w:lvl>
  </w:abstractNum>
  <w:abstractNum w:abstractNumId="119">
    <w:nsid w:val="15B71329"/>
    <w:multiLevelType w:val="hybridMultilevel"/>
    <w:lvl w:ilvl="0">
      <w:lvlJc w:val="left"/>
      <w:lvlText w:val="%1."/>
      <w:numFmt w:val="decimal"/>
      <w:start w:val="2"/>
    </w:lvl>
  </w:abstractNum>
  <w:abstractNum w:abstractNumId="120">
    <w:nsid w:val="3DA97044"/>
    <w:multiLevelType w:val="hybridMultilevel"/>
    <w:lvl w:ilvl="0">
      <w:lvlJc w:val="left"/>
      <w:lvlText w:val="(%1)"/>
      <w:numFmt w:val="lowerRoman"/>
      <w:start w:val="1"/>
    </w:lvl>
  </w:abstractNum>
  <w:abstractNum w:abstractNumId="121">
    <w:nsid w:val="1CDCE2DE"/>
    <w:multiLevelType w:val="hybridMultilevel"/>
    <w:lvl w:ilvl="0">
      <w:lvlJc w:val="left"/>
      <w:lvlText w:val="•"/>
      <w:numFmt w:val="bullet"/>
      <w:start w:val="1"/>
    </w:lvl>
  </w:abstractNum>
  <w:abstractNum w:abstractNumId="122">
    <w:nsid w:val="69D3947C"/>
    <w:multiLevelType w:val="hybridMultilevel"/>
    <w:lvl w:ilvl="0">
      <w:lvlJc w:val="left"/>
      <w:lvlText w:val="%1."/>
      <w:numFmt w:val="decimal"/>
      <w:start w:val="3"/>
    </w:lvl>
  </w:abstractNum>
  <w:abstractNum w:abstractNumId="123">
    <w:nsid w:val="2539DFA5"/>
    <w:multiLevelType w:val="hybridMultilevel"/>
    <w:lvl w:ilvl="0">
      <w:lvlJc w:val="left"/>
      <w:lvlText w:val="%1."/>
      <w:numFmt w:val="decimal"/>
      <w:start w:val="4"/>
    </w:lvl>
  </w:abstractNum>
  <w:abstractNum w:abstractNumId="124">
    <w:nsid w:val="2DB88089"/>
    <w:multiLevelType w:val="hybridMultilevel"/>
    <w:lvl w:ilvl="0">
      <w:lvlJc w:val="left"/>
      <w:lvlText w:val="%1."/>
      <w:numFmt w:val="decimal"/>
      <w:start w:val="5"/>
    </w:lvl>
  </w:abstractNum>
  <w:abstractNum w:abstractNumId="125">
    <w:nsid w:val="706B674E"/>
    <w:multiLevelType w:val="hybridMultilevel"/>
    <w:lvl w:ilvl="0">
      <w:lvlJc w:val="left"/>
      <w:lvlText w:val="%1."/>
      <w:numFmt w:val="decimal"/>
      <w:start w:val="6"/>
    </w:lvl>
  </w:abstractNum>
  <w:abstractNum w:abstractNumId="126">
    <w:nsid w:val="2C106A57"/>
    <w:multiLevelType w:val="hybridMultilevel"/>
    <w:lvl w:ilvl="0">
      <w:lvlJc w:val="left"/>
      <w:lvlText w:val="%1."/>
      <w:numFmt w:val="decimal"/>
      <w:start w:val="7"/>
    </w:lvl>
  </w:abstractNum>
  <w:abstractNum w:abstractNumId="127">
    <w:nsid w:val="684EED59"/>
    <w:multiLevelType w:val="hybridMultilevel"/>
    <w:lvl w:ilvl="0">
      <w:lvlJc w:val="left"/>
      <w:lvlText w:val="%1."/>
      <w:numFmt w:val="decimal"/>
      <w:start w:val="8"/>
    </w:lvl>
  </w:abstractNum>
  <w:abstractNum w:abstractNumId="128">
    <w:nsid w:val="545EE5D3"/>
    <w:multiLevelType w:val="hybridMultilevel"/>
    <w:lvl w:ilvl="0">
      <w:lvlJc w:val="left"/>
      <w:lvlText w:val="%1."/>
      <w:numFmt w:val="decimal"/>
      <w:start w:val="9"/>
    </w:lvl>
  </w:abstractNum>
  <w:abstractNum w:abstractNumId="129">
    <w:nsid w:val="4A66051"/>
    <w:multiLevelType w:val="hybridMultilevel"/>
    <w:lvl w:ilvl="0">
      <w:lvlJc w:val="left"/>
      <w:lvlText w:val="*"/>
      <w:numFmt w:val="bullet"/>
      <w:start w:val="1"/>
    </w:lvl>
  </w:abstractNum>
  <w:abstractNum w:abstractNumId="130">
    <w:nsid w:val="20F4BDAD"/>
    <w:multiLevelType w:val="hybridMultilevel"/>
    <w:lvl w:ilvl="0">
      <w:lvlJc w:val="left"/>
      <w:lvlText w:val="*"/>
      <w:numFmt w:val="bullet"/>
      <w:start w:val="1"/>
    </w:lvl>
  </w:abstractNum>
  <w:abstractNum w:abstractNumId="131">
    <w:nsid w:val="639DEFAC"/>
    <w:multiLevelType w:val="hybridMultilevel"/>
    <w:lvl w:ilvl="0">
      <w:lvlJc w:val="left"/>
      <w:lvlText w:val="%1."/>
      <w:numFmt w:val="decimal"/>
      <w:start w:val="10"/>
    </w:lvl>
  </w:abstractNum>
  <w:abstractNum w:abstractNumId="132">
    <w:nsid w:val="501F9786"/>
    <w:multiLevelType w:val="hybridMultilevel"/>
    <w:lvl w:ilvl="0">
      <w:lvlJc w:val="left"/>
      <w:lvlText w:val="%1."/>
      <w:numFmt w:val="decimal"/>
      <w:start w:val="11"/>
    </w:lvl>
  </w:abstractNum>
  <w:abstractNum w:abstractNumId="133">
    <w:nsid w:val="6B057295"/>
    <w:multiLevelType w:val="hybridMultilevel"/>
    <w:lvl w:ilvl="0">
      <w:lvlJc w:val="left"/>
      <w:lvlText w:val="(%1)"/>
      <w:numFmt w:val="lowerRoman"/>
      <w:start w:val="1"/>
    </w:lvl>
  </w:abstractNum>
  <w:abstractNum w:abstractNumId="134">
    <w:nsid w:val="2771AC80"/>
    <w:multiLevelType w:val="hybridMultilevel"/>
    <w:lvl w:ilvl="0">
      <w:lvlJc w:val="left"/>
      <w:lvlText w:val="%1."/>
      <w:numFmt w:val="decimal"/>
      <w:start w:val="12"/>
    </w:lvl>
  </w:abstractNum>
  <w:abstractNum w:abstractNumId="135">
    <w:nsid w:val="1C4A08EC"/>
    <w:multiLevelType w:val="hybridMultilevel"/>
    <w:lvl w:ilvl="0">
      <w:lvlJc w:val="left"/>
      <w:lvlText w:val="%1."/>
      <w:numFmt w:val="decimal"/>
      <w:start w:val="14"/>
    </w:lvl>
  </w:abstractNum>
  <w:abstractNum w:abstractNumId="136">
    <w:nsid w:val="1958BD17"/>
    <w:multiLevelType w:val="hybridMultilevel"/>
    <w:lvl w:ilvl="0">
      <w:lvlJc w:val="left"/>
      <w:lvlText w:val="%1."/>
      <w:numFmt w:val="decimal"/>
      <w:start w:val="15"/>
    </w:lvl>
  </w:abstractNum>
  <w:abstractNum w:abstractNumId="137">
    <w:nsid w:val="4E647FE4"/>
    <w:multiLevelType w:val="hybridMultilevel"/>
    <w:lvl w:ilvl="0">
      <w:lvlJc w:val="left"/>
      <w:lvlText w:val="%1."/>
      <w:numFmt w:val="decimal"/>
      <w:start w:val="16"/>
    </w:lvl>
  </w:abstractNum>
  <w:abstractNum w:abstractNumId="138">
    <w:nsid w:val="E0BB885"/>
    <w:multiLevelType w:val="hybridMultilevel"/>
    <w:lvl w:ilvl="0">
      <w:lvlJc w:val="left"/>
      <w:lvlText w:val="$"/>
      <w:numFmt w:val="bullet"/>
      <w:start w:val="1"/>
    </w:lvl>
  </w:abstractNum>
  <w:abstractNum w:abstractNumId="139">
    <w:nsid w:val="565976F1"/>
    <w:multiLevelType w:val="hybridMultilevel"/>
    <w:lvl w:ilvl="0">
      <w:lvlJc w:val="left"/>
      <w:lvlText w:val="$"/>
      <w:numFmt w:val="bullet"/>
      <w:start w:val="1"/>
    </w:lvl>
  </w:abstractNum>
  <w:abstractNum w:abstractNumId="140">
    <w:nsid w:val="64212B8C"/>
    <w:multiLevelType w:val="hybridMultilevel"/>
    <w:lvl w:ilvl="0">
      <w:lvlJc w:val="left"/>
      <w:lvlText w:val="(%1)"/>
      <w:numFmt w:val="decimal"/>
      <w:start w:val="1"/>
    </w:lvl>
  </w:abstractNum>
  <w:abstractNum w:abstractNumId="141">
    <w:nsid w:val="5C17530C"/>
    <w:multiLevelType w:val="hybridMultilevel"/>
    <w:lvl w:ilvl="0">
      <w:lvlJc w:val="left"/>
      <w:lvlText w:val="(%1)"/>
      <w:numFmt w:val="decimal"/>
      <w:start w:val="11"/>
    </w:lvl>
  </w:abstractNum>
  <w:abstractNum w:abstractNumId="142">
    <w:nsid w:val="19A52566"/>
    <w:multiLevelType w:val="hybridMultilevel"/>
    <w:lvl w:ilvl="0">
      <w:lvlJc w:val="left"/>
      <w:lvlText w:val="(%1)"/>
      <w:numFmt w:val="lowerLetter"/>
      <w:start w:val="1"/>
    </w:lvl>
  </w:abstractNum>
  <w:abstractNum w:abstractNumId="143">
    <w:nsid w:val="335A1DF1"/>
    <w:multiLevelType w:val="hybridMultilevel"/>
    <w:lvl w:ilvl="0">
      <w:lvlJc w:val="left"/>
      <w:lvlText w:val="(%1)"/>
      <w:numFmt w:val="lowerLetter"/>
      <w:start w:val="2"/>
    </w:lvl>
  </w:abstractNum>
  <w:abstractNum w:abstractNumId="144">
    <w:nsid w:val="28677B7C"/>
    <w:multiLevelType w:val="hybridMultilevel"/>
    <w:lvl w:ilvl="0">
      <w:lvlJc w:val="left"/>
      <w:lvlText w:val="(%1)"/>
      <w:numFmt w:val="decimal"/>
      <w:start w:val="1"/>
    </w:lvl>
  </w:abstractNum>
  <w:abstractNum w:abstractNumId="145">
    <w:nsid w:val="378D97C0"/>
    <w:multiLevelType w:val="hybridMultilevel"/>
    <w:lvl w:ilvl="0">
      <w:lvlJc w:val="left"/>
      <w:lvlText w:val="*"/>
      <w:numFmt w:val="bullet"/>
      <w:start w:val="1"/>
    </w:lvl>
  </w:abstractNum>
  <w:abstractNum w:abstractNumId="146">
    <w:nsid w:val="1D91467C"/>
    <w:multiLevelType w:val="hybridMultilevel"/>
    <w:lvl w:ilvl="0">
      <w:lvlJc w:val="left"/>
      <w:lvlText w:val="(%1)"/>
      <w:numFmt w:val="lowerLetter"/>
      <w:start w:val="3"/>
    </w:lvl>
  </w:abstractNum>
  <w:abstractNum w:abstractNumId="147">
    <w:nsid w:val="316032BB"/>
    <w:multiLevelType w:val="hybridMultilevel"/>
    <w:lvl w:ilvl="0">
      <w:lvlJc w:val="left"/>
      <w:lvlText w:val="(%1)"/>
      <w:numFmt w:val="lowerLetter"/>
      <w:start w:val="1"/>
    </w:lvl>
  </w:abstractNum>
  <w:abstractNum w:abstractNumId="148">
    <w:nsid w:val="44344C22"/>
    <w:multiLevelType w:val="hybridMultilevel"/>
    <w:lvl w:ilvl="0">
      <w:lvlJc w:val="left"/>
      <w:lvlText w:val="%1"/>
      <w:numFmt w:val="lowerLetter"/>
      <w:start w:val="1"/>
    </w:lvl>
    <w:lvl w:ilvl="1">
      <w:lvlJc w:val="left"/>
      <w:lvlText w:val="(%2)"/>
      <w:numFmt w:val="lowerLetter"/>
      <w:start w:val="1"/>
    </w:lvl>
  </w:abstractNum>
  <w:abstractNum w:abstractNumId="149">
    <w:nsid w:val="13CDFCFC"/>
    <w:multiLevelType w:val="hybridMultilevel"/>
    <w:lvl w:ilvl="0">
      <w:lvlJc w:val="left"/>
      <w:lvlText w:val="(%1)"/>
      <w:numFmt w:val="lowerLetter"/>
      <w:start w:val="61"/>
    </w:lvl>
    <w:lvl w:ilvl="1">
      <w:lvlJc w:val="left"/>
      <w:lvlText w:val="(%2)"/>
      <w:numFmt w:val="lowerLetter"/>
      <w:start w:val="2"/>
    </w:lvl>
  </w:abstractNum>
  <w:abstractNum w:abstractNumId="150">
    <w:nsid w:val="471745E4"/>
    <w:multiLevelType w:val="hybridMultilevel"/>
    <w:lvl w:ilvl="0">
      <w:lvlJc w:val="left"/>
      <w:lvlText w:val="(%1)"/>
      <w:numFmt w:val="lowerLetter"/>
      <w:start w:val="5"/>
    </w:lvl>
  </w:abstractNum>
  <w:abstractNum w:abstractNumId="151">
    <w:nsid w:val="1DDBC66"/>
    <w:multiLevelType w:val="hybridMultilevel"/>
    <w:lvl w:ilvl="0">
      <w:lvlJc w:val="left"/>
      <w:lvlText w:val="(%1)"/>
      <w:numFmt w:val="lowerLetter"/>
      <w:start w:val="1"/>
    </w:lvl>
  </w:abstractNum>
  <w:abstractNum w:abstractNumId="152">
    <w:nsid w:val="30AADFDA"/>
    <w:multiLevelType w:val="hybridMultilevel"/>
    <w:lvl w:ilvl="0">
      <w:lvlJc w:val="left"/>
      <w:lvlText w:val="(%1)"/>
      <w:numFmt w:val="lowerLetter"/>
      <w:start w:val="2"/>
    </w:lvl>
  </w:abstractNum>
  <w:abstractNum w:abstractNumId="153">
    <w:nsid w:val="30EADA61"/>
    <w:multiLevelType w:val="hybridMultilevel"/>
    <w:lvl w:ilvl="0">
      <w:lvlJc w:val="left"/>
      <w:lvlText w:val="1"/>
      <w:numFmt w:val="bullet"/>
      <w:start w:val="1"/>
    </w:lvl>
  </w:abstractNum>
  <w:abstractNum w:abstractNumId="154">
    <w:nsid w:val="27179C0B"/>
    <w:multiLevelType w:val="hybridMultilevel"/>
    <w:lvl w:ilvl="0">
      <w:lvlJc w:val="left"/>
      <w:lvlText w:val="(%1)"/>
      <w:numFmt w:val="lowerRoman"/>
      <w:start w:val="1"/>
    </w:lvl>
  </w:abstractNum>
  <w:abstractNum w:abstractNumId="155">
    <w:nsid w:val="5E636063"/>
    <w:multiLevelType w:val="hybridMultilevel"/>
    <w:lvl w:ilvl="0">
      <w:lvlJc w:val="left"/>
      <w:lvlText w:val="(%1)"/>
      <w:numFmt w:val="decimal"/>
      <w:start w:val="1"/>
    </w:lvl>
  </w:abstractNum>
  <w:abstractNum w:abstractNumId="156">
    <w:nsid w:val="215641AF"/>
    <w:multiLevelType w:val="hybridMultilevel"/>
    <w:lvl w:ilvl="0">
      <w:lvlJc w:val="left"/>
      <w:lvlText w:val="(%1)"/>
      <w:numFmt w:val="lowerLetter"/>
      <w:start w:val="1"/>
    </w:lvl>
  </w:abstractNum>
  <w:abstractNum w:abstractNumId="157">
    <w:nsid w:val="53280662"/>
    <w:multiLevelType w:val="hybridMultilevel"/>
    <w:lvl w:ilvl="0">
      <w:lvlJc w:val="left"/>
      <w:lvlText w:val="(%1)"/>
      <w:numFmt w:val="lowerLetter"/>
      <w:start w:val="1"/>
    </w:lvl>
  </w:abstractNum>
  <w:abstractNum w:abstractNumId="158">
    <w:nsid w:val="46B24DBC"/>
    <w:multiLevelType w:val="hybridMultilevel"/>
    <w:lvl w:ilvl="0">
      <w:lvlJc w:val="left"/>
      <w:lvlText w:val="(%1)"/>
      <w:numFmt w:val="lowerLetter"/>
      <w:start w:val="1"/>
    </w:lvl>
  </w:abstractNum>
  <w:abstractNum w:abstractNumId="159">
    <w:nsid w:val="75B52783"/>
    <w:multiLevelType w:val="hybridMultilevel"/>
    <w:lvl w:ilvl="0">
      <w:lvlJc w:val="left"/>
      <w:lvlText w:val="(%1)"/>
      <w:numFmt w:val="lowerLetter"/>
      <w:start w:val="5"/>
    </w:lvl>
  </w:abstractNum>
  <w:abstractNum w:abstractNumId="160">
    <w:nsid w:val="57CE66B4"/>
    <w:multiLevelType w:val="hybridMultilevel"/>
    <w:lvl w:ilvl="0">
      <w:lvlJc w:val="left"/>
      <w:lvlText w:val="(%1)"/>
      <w:numFmt w:val="lowerLetter"/>
      <w:start w:val="23"/>
    </w:lvl>
  </w:abstractNum>
  <w:abstractNum w:abstractNumId="161">
    <w:nsid w:val="67A70B69"/>
    <w:multiLevelType w:val="hybridMultilevel"/>
    <w:lvl w:ilvl="0">
      <w:lvlJc w:val="left"/>
      <w:lvlText w:val="(%1)"/>
      <w:numFmt w:val="lowerRoman"/>
      <w:start w:val="1"/>
    </w:lvl>
  </w:abstractNum>
  <w:abstractNum w:abstractNumId="162">
    <w:nsid w:val="5953172F"/>
    <w:multiLevelType w:val="hybridMultilevel"/>
    <w:lvl w:ilvl="0">
      <w:lvlJc w:val="left"/>
      <w:lvlText w:val="(%1)"/>
      <w:numFmt w:val="lowerRoman"/>
      <w:start w:val="2"/>
    </w:lvl>
  </w:abstractNum>
  <w:abstractNum w:abstractNumId="163">
    <w:nsid w:val="27EDFE3A"/>
    <w:multiLevelType w:val="hybridMultilevel"/>
    <w:lvl w:ilvl="0">
      <w:lvlJc w:val="left"/>
      <w:lvlText w:val="(%1)"/>
      <w:numFmt w:val="lowerRoman"/>
      <w:start w:val="4"/>
    </w:lvl>
  </w:abstractNum>
  <w:abstractNum w:abstractNumId="164">
    <w:nsid w:val="52AC7DFF"/>
    <w:multiLevelType w:val="hybridMultilevel"/>
    <w:lvl w:ilvl="0">
      <w:lvlJc w:val="left"/>
      <w:lvlText w:val="(%1)"/>
      <w:numFmt w:val="lowerLetter"/>
      <w:start w:val="4"/>
    </w:lvl>
  </w:abstractNum>
  <w:abstractNum w:abstractNumId="165">
    <w:nsid w:val="C4C3AF"/>
    <w:multiLevelType w:val="hybridMultilevel"/>
    <w:lvl w:ilvl="0">
      <w:lvlJc w:val="left"/>
      <w:lvlText w:val="(%1)"/>
      <w:numFmt w:val="lowerLetter"/>
      <w:start w:val="2"/>
    </w:lvl>
  </w:abstractNum>
  <w:abstractNum w:abstractNumId="166">
    <w:nsid w:val="44380727"/>
    <w:multiLevelType w:val="hybridMultilevel"/>
    <w:lvl w:ilvl="0">
      <w:lvlJc w:val="left"/>
      <w:lvlText w:val="(%1)"/>
      <w:numFmt w:val="lowerLetter"/>
      <w:start w:val="6"/>
    </w:lvl>
  </w:abstractNum>
  <w:abstractNum w:abstractNumId="167">
    <w:nsid w:val="6C053B16"/>
    <w:multiLevelType w:val="hybridMultilevel"/>
    <w:lvl w:ilvl="0">
      <w:lvlJc w:val="left"/>
      <w:lvlText w:val="(%1)"/>
      <w:numFmt w:val="lowerLetter"/>
      <w:start w:val="1"/>
    </w:lvl>
  </w:abstractNum>
  <w:abstractNum w:abstractNumId="168">
    <w:nsid w:val="4F294393"/>
    <w:multiLevelType w:val="hybridMultilevel"/>
    <w:lvl w:ilvl="0">
      <w:lvlJc w:val="left"/>
      <w:lvlText w:val="(%1)"/>
      <w:numFmt w:val="lowerLetter"/>
      <w:start w:val="5"/>
    </w:lvl>
  </w:abstractNum>
  <w:abstractNum w:abstractNumId="169">
    <w:nsid w:val="5243BFAC"/>
    <w:multiLevelType w:val="hybridMultilevel"/>
    <w:lvl w:ilvl="0">
      <w:lvlJc w:val="left"/>
      <w:lvlText w:val="(%1)"/>
      <w:numFmt w:val="lowerLetter"/>
      <w:start w:val="1"/>
    </w:lvl>
  </w:abstractNum>
  <w:abstractNum w:abstractNumId="170">
    <w:nsid w:val="425EB207"/>
    <w:multiLevelType w:val="hybridMultilevel"/>
    <w:lvl w:ilvl="0">
      <w:lvlJc w:val="left"/>
      <w:lvlText w:val="(%1)"/>
      <w:numFmt w:val="lowerLetter"/>
      <w:start w:val="4"/>
    </w:lvl>
  </w:abstractNum>
  <w:abstractNum w:abstractNumId="171">
    <w:nsid w:val="334A6F1F"/>
    <w:multiLevelType w:val="hybridMultilevel"/>
    <w:lvl w:ilvl="0">
      <w:lvlJc w:val="left"/>
      <w:lvlText w:val="(%1)"/>
      <w:numFmt w:val="lowerLetter"/>
      <w:start w:val="4"/>
    </w:lvl>
  </w:abstractNum>
  <w:abstractNum w:abstractNumId="172">
    <w:nsid w:val="2E5B12B8"/>
    <w:multiLevelType w:val="hybridMultilevel"/>
    <w:lvl w:ilvl="0">
      <w:lvlJc w:val="left"/>
      <w:lvlText w:val="(%1)"/>
      <w:numFmt w:val="lowerLetter"/>
      <w:start w:val="1"/>
    </w:lvl>
  </w:abstractNum>
  <w:abstractNum w:abstractNumId="173">
    <w:nsid w:val="5C03D76D"/>
    <w:multiLevelType w:val="hybridMultilevel"/>
    <w:lvl w:ilvl="0">
      <w:lvlJc w:val="left"/>
      <w:lvlText w:val="%1."/>
      <w:numFmt w:val="decimal"/>
      <w:start w:val="21"/>
    </w:lvl>
  </w:abstractNum>
  <w:abstractNum w:abstractNumId="174">
    <w:nsid w:val="66A48D11"/>
    <w:multiLevelType w:val="hybridMultilevel"/>
    <w:lvl w:ilvl="0">
      <w:lvlJc w:val="left"/>
      <w:lvlText w:val="(%1)"/>
      <w:numFmt w:val="lowerLetter"/>
      <w:start w:val="1"/>
    </w:lvl>
  </w:abstractNum>
  <w:abstractNum w:abstractNumId="175">
    <w:nsid w:val="56C28E34"/>
    <w:multiLevelType w:val="hybridMultilevel"/>
    <w:lvl w:ilvl="0">
      <w:lvlJc w:val="left"/>
      <w:lvlText w:val="(%1)"/>
      <w:numFmt w:val="lowerLetter"/>
      <w:start w:val="2"/>
    </w:lvl>
  </w:abstractNum>
  <w:abstractNum w:abstractNumId="176">
    <w:nsid w:val="13916F2D"/>
    <w:multiLevelType w:val="hybridMultilevel"/>
    <w:lvl w:ilvl="0">
      <w:lvlJc w:val="left"/>
      <w:lvlText w:val="(%1)"/>
      <w:numFmt w:val="lowerRoman"/>
      <w:start w:val="10"/>
    </w:lvl>
  </w:abstractNum>
  <w:abstractNum w:abstractNumId="177">
    <w:nsid w:val="435D38D"/>
    <w:multiLevelType w:val="hybridMultilevel"/>
    <w:lvl w:ilvl="0">
      <w:lvlJc w:val="left"/>
      <w:lvlText w:val="(%1)"/>
      <w:numFmt w:val="lowerLetter"/>
      <w:start w:val="1"/>
    </w:lvl>
  </w:abstractNum>
  <w:abstractNum w:abstractNumId="178">
    <w:nsid w:val="822C0EF"/>
    <w:multiLevelType w:val="hybridMultilevel"/>
    <w:lvl w:ilvl="0">
      <w:lvlJc w:val="left"/>
      <w:lvlText w:val="(%1)"/>
      <w:numFmt w:val="lowerLetter"/>
      <w:start w:val="1"/>
    </w:lvl>
  </w:abstractNum>
  <w:abstractNum w:abstractNumId="179">
    <w:nsid w:val="57C5BB4F"/>
    <w:multiLevelType w:val="hybridMultilevel"/>
    <w:lvl w:ilvl="0">
      <w:lvlJc w:val="left"/>
      <w:lvlText w:val="(%1)"/>
      <w:numFmt w:val="decimal"/>
      <w:start w:val="2"/>
    </w:lvl>
    <w:lvl w:ilvl="1">
      <w:lvlJc w:val="left"/>
      <w:lvlText w:val="(%2)"/>
      <w:numFmt w:val="lowerRoman"/>
      <w:start w:val="1"/>
    </w:lvl>
  </w:abstractNum>
  <w:abstractNum w:abstractNumId="180">
    <w:nsid w:val="1803D089"/>
    <w:multiLevelType w:val="hybridMultilevel"/>
    <w:lvl w:ilvl="0">
      <w:lvlJc w:val="left"/>
      <w:lvlText w:val="%1"/>
      <w:numFmt w:val="lowerLetter"/>
      <w:start w:val="1"/>
    </w:lvl>
    <w:lvl w:ilvl="1">
      <w:lvlJc w:val="left"/>
      <w:lvlText w:val="(%2)"/>
      <w:numFmt w:val="lowerLetter"/>
      <w:start w:val="1"/>
    </w:lvl>
  </w:abstractNum>
  <w:abstractNum w:abstractNumId="181">
    <w:nsid w:val="4F3A06D4"/>
    <w:multiLevelType w:val="hybridMultilevel"/>
    <w:lvl w:ilvl="0">
      <w:lvlJc w:val="left"/>
      <w:lvlText w:val="(%1)"/>
      <w:numFmt w:val="lowerLetter"/>
      <w:start w:val="9"/>
    </w:lvl>
    <w:lvl w:ilvl="1">
      <w:lvlJc w:val="left"/>
      <w:lvlText w:val="%2"/>
      <w:numFmt w:val="lowerLetter"/>
      <w:start w:val="1"/>
    </w:lvl>
  </w:abstractNum>
  <w:abstractNum w:abstractNumId="182">
    <w:nsid w:val="59A377B6"/>
    <w:multiLevelType w:val="hybridMultilevel"/>
    <w:lvl w:ilvl="0">
      <w:lvlJc w:val="left"/>
      <w:lvlText w:val="2"/>
      <w:numFmt w:val="bullet"/>
      <w:start w:val="1"/>
    </w:lvl>
  </w:abstractNum>
  <w:abstractNum w:abstractNumId="183">
    <w:nsid w:val="48AEB0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4">
    <w:nsid w:val="24E135"/>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2"/>
    </w:lvl>
  </w:abstractNum>
  <w:abstractNum w:abstractNumId="185">
    <w:nsid w:val="BB13C1"/>
    <w:multiLevelType w:val="hybridMultilevel"/>
    <w:lvl w:ilvl="0">
      <w:lvlJc w:val="left"/>
      <w:lvlText w:val="(%1)"/>
      <w:numFmt w:val="lowerLetter"/>
      <w:start w:val="1"/>
    </w:lvl>
  </w:abstractNum>
  <w:abstractNum w:abstractNumId="186">
    <w:nsid w:val="271210C7"/>
    <w:multiLevelType w:val="hybridMultilevel"/>
    <w:lvl w:ilvl="0">
      <w:lvlJc w:val="left"/>
      <w:lvlText w:val="(%1)"/>
      <w:numFmt w:val="lowerLetter"/>
      <w:start w:val="1"/>
    </w:lvl>
  </w:abstractNum>
  <w:abstractNum w:abstractNumId="187">
    <w:nsid w:val="217B22E4"/>
    <w:multiLevelType w:val="hybridMultilevel"/>
    <w:lvl w:ilvl="0">
      <w:lvlJc w:val="left"/>
      <w:lvlText w:val="%1"/>
      <w:numFmt w:val="decimal"/>
      <w:start w:val="1"/>
    </w:lvl>
    <w:lvl w:ilvl="1">
      <w:lvlJc w:val="left"/>
      <w:lvlText w:val="(%2)"/>
      <w:numFmt w:val="lowerLetter"/>
      <w:start w:val="1"/>
    </w:lvl>
  </w:abstractNum>
  <w:abstractNum w:abstractNumId="188">
    <w:nsid w:val="53E31A24"/>
    <w:multiLevelType w:val="hybridMultilevel"/>
    <w:lvl w:ilvl="0">
      <w:lvlJc w:val="left"/>
      <w:lvlText w:val="(%1)"/>
      <w:numFmt w:val="decimal"/>
      <w:start w:val="1"/>
    </w:lvl>
    <w:lvl w:ilvl="1">
      <w:lvlJc w:val="left"/>
      <w:lvlText w:val="(%2)"/>
      <w:numFmt w:val="lowerLetter"/>
      <w:start w:val="5"/>
    </w:lvl>
  </w:abstractNum>
  <w:abstractNum w:abstractNumId="189">
    <w:nsid w:val="6DC45E83"/>
    <w:multiLevelType w:val="hybridMultilevel"/>
    <w:lvl w:ilvl="0">
      <w:lvlJc w:val="left"/>
      <w:lvlText w:val="(%1)"/>
      <w:numFmt w:val="lowerLetter"/>
      <w:start w:val="6"/>
    </w:lvl>
  </w:abstractNum>
  <w:abstractNum w:abstractNumId="190">
    <w:nsid w:val="17304A67"/>
    <w:multiLevelType w:val="hybridMultilevel"/>
    <w:lvl w:ilvl="0">
      <w:lvlJc w:val="left"/>
      <w:lvlText w:val="%1"/>
      <w:numFmt w:val="lowerLetter"/>
      <w:start w:val="1"/>
    </w:lvl>
    <w:lvl w:ilvl="1">
      <w:lvlJc w:val="left"/>
      <w:lvlText w:val="(%2)"/>
      <w:numFmt w:val="lowerLetter"/>
      <w:start w:val="7"/>
    </w:lvl>
  </w:abstractNum>
  <w:abstractNum w:abstractNumId="191">
    <w:nsid w:val="2BB180D8"/>
    <w:multiLevelType w:val="hybridMultilevel"/>
    <w:lvl w:ilvl="0">
      <w:lvlJc w:val="left"/>
      <w:lvlText w:val="(%1)"/>
      <w:numFmt w:val="lowerLetter"/>
      <w:start w:val="1"/>
    </w:lvl>
    <w:lvl w:ilvl="1">
      <w:lvlJc w:val="left"/>
      <w:lvlText w:val="%2"/>
      <w:numFmt w:val="lowerLetter"/>
      <w:start w:val="1"/>
    </w:lvl>
  </w:abstractNum>
  <w:abstractNum w:abstractNumId="192">
    <w:nsid w:val="556B69ED"/>
    <w:multiLevelType w:val="hybridMultilevel"/>
    <w:lvl w:ilvl="0">
      <w:lvlJc w:val="left"/>
      <w:lvlText w:val="(%1)"/>
      <w:numFmt w:val="lowerLetter"/>
      <w:start w:val="1"/>
    </w:lvl>
  </w:abstractNum>
  <w:abstractNum w:abstractNumId="193">
    <w:nsid w:val="70836196"/>
    <w:multiLevelType w:val="hybridMultilevel"/>
    <w:lvl w:ilvl="0">
      <w:lvlJc w:val="left"/>
      <w:lvlText w:val="(%1)"/>
      <w:numFmt w:val="lowerLetter"/>
      <w:start w:val="4"/>
    </w:lvl>
  </w:abstractNum>
  <w:abstractNum w:abstractNumId="194">
    <w:nsid w:val="539F7F12"/>
    <w:multiLevelType w:val="hybridMultilevel"/>
    <w:lvl w:ilvl="0">
      <w:lvlJc w:val="left"/>
      <w:lvlText w:val="%1"/>
      <w:numFmt w:val="upperLetter"/>
      <w:start w:val="1"/>
    </w:lvl>
    <w:lvl w:ilvl="1">
      <w:lvlJc w:val="left"/>
      <w:lvlText w:val="(%2)"/>
      <w:numFmt w:val="lowerLetter"/>
      <w:start w:val="1"/>
    </w:lvl>
  </w:abstractNum>
  <w:abstractNum w:abstractNumId="195">
    <w:nsid w:val="2817E7EC"/>
    <w:multiLevelType w:val="hybridMultilevel"/>
    <w:lvl w:ilvl="0">
      <w:lvlJc w:val="left"/>
      <w:lvlText w:val="(%1)"/>
      <w:numFmt w:val="upperLetter"/>
      <w:start w:val="1"/>
    </w:lvl>
    <w:lvl w:ilvl="1">
      <w:lvlJc w:val="left"/>
      <w:lvlText w:val="%2"/>
      <w:numFmt w:val="lowerLetter"/>
      <w:start w:val="1"/>
    </w:lvl>
  </w:abstractNum>
  <w:abstractNum w:abstractNumId="196">
    <w:nsid w:val="71482545"/>
    <w:multiLevelType w:val="hybridMultilevel"/>
    <w:lvl w:ilvl="0">
      <w:lvlJc w:val="left"/>
      <w:lvlText w:val="%1"/>
      <w:numFmt w:val="upperLetter"/>
      <w:start w:val="1"/>
    </w:lvl>
    <w:lvl w:ilvl="1">
      <w:lvlJc w:val="left"/>
      <w:lvlText w:val="(%2)"/>
      <w:numFmt w:val="lowerLetter"/>
      <w:start w:val="2"/>
    </w:lvl>
  </w:abstractNum>
  <w:abstractNum w:abstractNumId="197">
    <w:nsid w:val="17D78639"/>
    <w:multiLevelType w:val="hybridMultilevel"/>
    <w:lvl w:ilvl="0">
      <w:lvlJc w:val="left"/>
      <w:lvlText w:val="(%1)"/>
      <w:numFmt w:val="upperLetter"/>
      <w:start w:val="1"/>
    </w:lvl>
    <w:lvl w:ilvl="1">
      <w:lvlJc w:val="left"/>
      <w:lvlText w:val="(%2)"/>
      <w:numFmt w:val="lowerLetter"/>
      <w:start w:val="3"/>
    </w:lvl>
  </w:abstractNum>
  <w:abstractNum w:abstractNumId="198">
    <w:nsid w:val="141D2302"/>
    <w:multiLevelType w:val="hybridMultilevel"/>
    <w:lvl w:ilvl="0">
      <w:lvlJc w:val="left"/>
      <w:lvlText w:val="(%1)"/>
      <w:numFmt w:val="lowerLetter"/>
      <w:start w:val="5"/>
    </w:lvl>
  </w:abstractNum>
  <w:abstractNum w:abstractNumId="199">
    <w:nsid w:val="407168D8"/>
    <w:multiLevelType w:val="hybridMultilevel"/>
    <w:lvl w:ilvl="0">
      <w:lvlJc w:val="left"/>
      <w:lvlText w:val="(%1)"/>
      <w:numFmt w:val="lowerLetter"/>
      <w:start w:val="1"/>
    </w:lvl>
  </w:abstractNum>
  <w:abstractNum w:abstractNumId="200">
    <w:nsid w:val="6A1B45E5"/>
    <w:multiLevelType w:val="hybridMultilevel"/>
    <w:lvl w:ilvl="0">
      <w:lvlJc w:val="left"/>
      <w:lvlText w:val="%1"/>
      <w:numFmt w:val="lowerLetter"/>
      <w:start w:val="1"/>
    </w:lvl>
    <w:lvl w:ilvl="1">
      <w:lvlJc w:val="left"/>
      <w:lvlText w:val="(%2)"/>
      <w:numFmt w:val="lowerLetter"/>
      <w:start w:val="3"/>
    </w:lvl>
  </w:abstractNum>
  <w:abstractNum w:abstractNumId="201">
    <w:nsid w:val="567BD50A"/>
    <w:multiLevelType w:val="hybridMultilevel"/>
    <w:lvl w:ilvl="0">
      <w:lvlJc w:val="left"/>
      <w:lvlText w:val="(%1)"/>
      <w:numFmt w:val="lowerLetter"/>
      <w:start w:val="9"/>
    </w:lvl>
    <w:lvl w:ilvl="1">
      <w:lvlJc w:val="left"/>
      <w:lvlText w:val="(%2)"/>
      <w:numFmt w:val="lowerLetter"/>
      <w:start w:val="4"/>
    </w:lvl>
  </w:abstractNum>
  <w:abstractNum w:abstractNumId="202">
    <w:nsid w:val="73BBD7F8"/>
    <w:multiLevelType w:val="hybridMultilevel"/>
    <w:lvl w:ilvl="0">
      <w:lvlJc w:val="left"/>
      <w:lvlText w:val="(%1)"/>
      <w:numFmt w:val="lowerRoman"/>
      <w:start w:val="1"/>
    </w:lvl>
  </w:abstractNum>
  <w:abstractNum w:abstractNumId="203">
    <w:nsid w:val="1876589D"/>
    <w:multiLevelType w:val="hybridMultilevel"/>
    <w:lvl w:ilvl="0">
      <w:lvlJc w:val="left"/>
      <w:lvlText w:val="(%1)"/>
      <w:numFmt w:val="lowerRoman"/>
      <w:start w:val="2"/>
    </w:lvl>
  </w:abstractNum>
  <w:abstractNum w:abstractNumId="204">
    <w:nsid w:val="327FAC77"/>
    <w:multiLevelType w:val="hybridMultilevel"/>
    <w:lvl w:ilvl="0">
      <w:lvlJc w:val="left"/>
      <w:lvlText w:val="(%1)"/>
      <w:numFmt w:val="lowerLetter"/>
      <w:start w:val="2"/>
    </w:lvl>
  </w:abstractNum>
  <w:abstractNum w:abstractNumId="205">
    <w:nsid w:val="5A606509"/>
    <w:multiLevelType w:val="hybridMultilevel"/>
    <w:lvl w:ilvl="0">
      <w:lvlJc w:val="left"/>
      <w:lvlText w:val="(%1)"/>
      <w:numFmt w:val="lowerLetter"/>
      <w:start w:val="1"/>
    </w:lvl>
  </w:abstractNum>
  <w:abstractNum w:abstractNumId="206">
    <w:nsid w:val="6F38E6D1"/>
    <w:multiLevelType w:val="hybridMultilevel"/>
    <w:lvl w:ilvl="0">
      <w:lvlJc w:val="left"/>
      <w:lvlText w:val="%1"/>
      <w:numFmt w:val="lowerLetter"/>
      <w:start w:val="1"/>
    </w:lvl>
    <w:lvl w:ilvl="1">
      <w:lvlJc w:val="left"/>
      <w:lvlText w:val="(%2)"/>
      <w:numFmt w:val="lowerLetter"/>
      <w:start w:val="2"/>
    </w:lvl>
  </w:abstractNum>
  <w:abstractNum w:abstractNumId="207">
    <w:nsid w:val="46111BA5"/>
    <w:multiLevelType w:val="hybridMultilevel"/>
    <w:lvl w:ilvl="0">
      <w:lvlJc w:val="left"/>
      <w:lvlText w:val="(%1)"/>
      <w:numFmt w:val="lowerLetter"/>
      <w:start w:val="6"/>
    </w:lvl>
    <w:lvl w:ilvl="1">
      <w:lvlJc w:val="left"/>
      <w:lvlText w:val="%2"/>
      <w:numFmt w:val="lowerLetter"/>
      <w:start w:val="1"/>
    </w:lvl>
  </w:abstractNum>
  <w:abstractNum w:abstractNumId="208">
    <w:nsid w:val="5E963896"/>
    <w:multiLevelType w:val="hybridMultilevel"/>
    <w:lvl w:ilvl="0">
      <w:lvlJc w:val="left"/>
      <w:lvlText w:val="(%1)"/>
      <w:numFmt w:val="lowerRoman"/>
      <w:start w:val="1"/>
    </w:lvl>
  </w:abstractNum>
  <w:abstractNum w:abstractNumId="209">
    <w:nsid w:val="775BA7C1"/>
    <w:multiLevelType w:val="hybridMultilevel"/>
    <w:lvl w:ilvl="0">
      <w:lvlJc w:val="left"/>
      <w:lvlText w:val="(%1)"/>
      <w:numFmt w:val="decimal"/>
      <w:start w:val="1"/>
    </w:lvl>
    <w:lvl w:ilvl="1">
      <w:lvlJc w:val="left"/>
      <w:lvlText w:val="(%2)"/>
      <w:numFmt w:val="lowerRoman"/>
      <w:start w:val="9"/>
    </w:lvl>
    <w:lvl w:ilvl="2">
      <w:lvlJc w:val="left"/>
      <w:lvlText w:val="(%3)"/>
      <w:numFmt w:val="upperLetter"/>
      <w:start w:val="1"/>
    </w:lvl>
  </w:abstractNum>
  <w:abstractNum w:abstractNumId="210">
    <w:nsid w:val="1DD6D6F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211">
    <w:nsid w:val="769A091F"/>
    <w:multiLevelType w:val="hybridMultilevel"/>
    <w:lvl w:ilvl="0">
      <w:lvlJc w:val="left"/>
      <w:lvlText w:val="(%1)"/>
      <w:numFmt w:val="decimal"/>
      <w:start w:val="3"/>
    </w:lvl>
  </w:abstractNum>
  <w:abstractNum w:abstractNumId="212">
    <w:nsid w:val="4695AE95"/>
    <w:multiLevelType w:val="hybridMultilevel"/>
    <w:lvl w:ilvl="0">
      <w:lvlJc w:val="left"/>
      <w:lvlText w:val="(%1)"/>
      <w:numFmt w:val="lowerLetter"/>
      <w:start w:val="7"/>
    </w:lvl>
  </w:abstractNum>
  <w:abstractNum w:abstractNumId="213">
    <w:nsid w:val="777A4EAA"/>
    <w:multiLevelType w:val="hybridMultilevel"/>
    <w:lvl w:ilvl="0">
      <w:lvlJc w:val="left"/>
      <w:lvlText w:val="(%1)"/>
      <w:numFmt w:val="lowerLetter"/>
      <w:start w:val="9"/>
    </w:lvl>
  </w:abstractNum>
  <w:abstractNum w:abstractNumId="214">
    <w:nsid w:val="3F48B982"/>
    <w:multiLevelType w:val="hybridMultilevel"/>
    <w:lvl w:ilvl="0">
      <w:lvlJc w:val="left"/>
      <w:lvlText w:val="(%1)"/>
      <w:numFmt w:val="lowerLetter"/>
      <w:start w:val="1"/>
    </w:lvl>
  </w:abstractNum>
  <w:abstractNum w:abstractNumId="215">
    <w:nsid w:val="46BA8FCA"/>
    <w:multiLevelType w:val="hybridMultilevel"/>
    <w:lvl w:ilvl="0">
      <w:lvlJc w:val="left"/>
      <w:lvlText w:val="%1"/>
      <w:numFmt w:val="lowerRoman"/>
      <w:start w:val="1"/>
    </w:lvl>
    <w:lvl w:ilvl="1">
      <w:lvlJc w:val="left"/>
      <w:lvlText w:val="(%2)"/>
      <w:numFmt w:val="lowerLetter"/>
      <w:start w:val="2"/>
    </w:lvl>
  </w:abstractNum>
  <w:abstractNum w:abstractNumId="216">
    <w:nsid w:val="7835626C"/>
    <w:multiLevelType w:val="hybridMultilevel"/>
    <w:lvl w:ilvl="0">
      <w:lvlJc w:val="left"/>
      <w:lvlText w:val="(%1)"/>
      <w:numFmt w:val="lowerRoman"/>
      <w:start w:val="1"/>
    </w:lvl>
    <w:lvl w:ilvl="1">
      <w:lvlJc w:val="left"/>
      <w:lvlText w:val="%2"/>
      <w:numFmt w:val="lowerLetter"/>
      <w:start w:val="1"/>
    </w:lvl>
  </w:abstractNum>
  <w:abstractNum w:abstractNumId="217">
    <w:nsid w:val="665ACA49"/>
    <w:multiLevelType w:val="hybridMultilevel"/>
    <w:lvl w:ilvl="0">
      <w:lvlJc w:val="left"/>
      <w:lvlText w:val="(%1)"/>
      <w:numFmt w:val="lowerRoman"/>
      <w:start w:val="4"/>
    </w:lvl>
  </w:abstractNum>
  <w:abstractNum w:abstractNumId="218">
    <w:nsid w:val="6835B2AE"/>
    <w:multiLevelType w:val="hybridMultilevel"/>
    <w:lvl w:ilvl="0">
      <w:lvlJc w:val="left"/>
      <w:lvlText w:val="%1"/>
      <w:numFmt w:val="lowerLetter"/>
      <w:start w:val="1"/>
    </w:lvl>
    <w:lvl w:ilvl="1">
      <w:lvlJc w:val="left"/>
      <w:lvlText w:val="(%2)"/>
      <w:numFmt w:val="lowerLetter"/>
      <w:start w:val="1"/>
    </w:lvl>
  </w:abstractNum>
  <w:abstractNum w:abstractNumId="219">
    <w:nsid w:val="4C187C90"/>
    <w:multiLevelType w:val="hybridMultilevel"/>
    <w:lvl w:ilvl="0">
      <w:lvlJc w:val="left"/>
      <w:lvlText w:val="(%1)"/>
      <w:numFmt w:val="lowerLetter"/>
      <w:start w:val="35"/>
    </w:lvl>
    <w:lvl w:ilvl="1">
      <w:lvlJc w:val="left"/>
      <w:lvlText w:val="%2"/>
      <w:numFmt w:val="lowerLetter"/>
      <w:start w:val="1"/>
    </w:lvl>
  </w:abstractNum>
  <w:abstractNum w:abstractNumId="220">
    <w:nsid w:val="541F28CD"/>
    <w:multiLevelType w:val="hybridMultilevel"/>
    <w:lvl w:ilvl="0">
      <w:lvlJc w:val="left"/>
      <w:lvlText w:val="%1"/>
      <w:numFmt w:val="upperLetter"/>
      <w:start w:val="1"/>
    </w:lvl>
    <w:lvl w:ilvl="1">
      <w:lvlJc w:val="left"/>
      <w:lvlText w:val="(%2)"/>
      <w:numFmt w:val="lowerLetter"/>
      <w:start w:val="1"/>
    </w:lvl>
  </w:abstractNum>
  <w:abstractNum w:abstractNumId="221">
    <w:nsid w:val="7F65FD16"/>
    <w:multiLevelType w:val="hybridMultilevel"/>
    <w:lvl w:ilvl="0">
      <w:lvlJc w:val="left"/>
      <w:lvlText w:val="(%1)"/>
      <w:numFmt w:val="upperLetter"/>
      <w:start w:val="2"/>
    </w:lvl>
    <w:lvl w:ilvl="1">
      <w:lvlJc w:val="left"/>
      <w:lvlText w:val="%2"/>
      <w:numFmt w:val="lowerLetter"/>
      <w:start w:val="1"/>
    </w:lvl>
  </w:abstractNum>
  <w:abstractNum w:abstractNumId="222">
    <w:nsid w:val="77C9FD68"/>
    <w:multiLevelType w:val="hybridMultilevel"/>
    <w:lvl w:ilvl="0">
      <w:lvlJc w:val="left"/>
      <w:lvlText w:val="(%1)"/>
      <w:numFmt w:val="lowerLetter"/>
      <w:start w:val="1"/>
    </w:lvl>
  </w:abstractNum>
  <w:abstractNum w:abstractNumId="223">
    <w:nsid w:val="298A92BA"/>
    <w:multiLevelType w:val="hybridMultilevel"/>
    <w:lvl w:ilvl="0">
      <w:lvlJc w:val="left"/>
      <w:lvlText w:val="%1"/>
      <w:numFmt w:val="lowerRoman"/>
      <w:start w:val="1"/>
    </w:lvl>
    <w:lvl w:ilvl="1">
      <w:lvlJc w:val="left"/>
      <w:lvlText w:val="(%2)"/>
      <w:numFmt w:val="lowerLetter"/>
      <w:start w:val="1"/>
    </w:lvl>
  </w:abstractNum>
  <w:abstractNum w:abstractNumId="224">
    <w:nsid w:val="6FE95EAC"/>
    <w:multiLevelType w:val="hybridMultilevel"/>
    <w:lvl w:ilvl="0">
      <w:lvlJc w:val="left"/>
      <w:lvlText w:val="(%1)"/>
      <w:numFmt w:val="lowerRoman"/>
      <w:start w:val="1"/>
    </w:lvl>
    <w:lvl w:ilvl="1">
      <w:lvlJc w:val="left"/>
      <w:lvlText w:val="(%2)"/>
      <w:numFmt w:val="lowerLetter"/>
      <w:start w:val="3"/>
    </w:lvl>
  </w:abstractNum>
  <w:abstractNum w:abstractNumId="225">
    <w:nsid w:val="4B697C7A"/>
    <w:multiLevelType w:val="hybridMultilevel"/>
    <w:lvl w:ilvl="0">
      <w:lvlJc w:val="left"/>
      <w:lvlText w:val="(%1)"/>
      <w:numFmt w:val="lowerLetter"/>
      <w:start w:val="1"/>
    </w:lvl>
  </w:abstractNum>
  <w:abstractNum w:abstractNumId="226">
    <w:nsid w:val="51A27AA6"/>
    <w:multiLevelType w:val="hybridMultilevel"/>
    <w:lvl w:ilvl="0">
      <w:lvlJc w:val="left"/>
      <w:lvlText w:val="(%1)"/>
      <w:numFmt w:val="lowerLetter"/>
      <w:start w:val="2"/>
    </w:lvl>
  </w:abstractNum>
  <w:abstractNum w:abstractNumId="227">
    <w:nsid w:val="613183F2"/>
    <w:multiLevelType w:val="hybridMultilevel"/>
    <w:lvl w:ilvl="0">
      <w:lvlJc w:val="left"/>
      <w:lvlText w:val="(%1)"/>
      <w:numFmt w:val="lowerLetter"/>
      <w:start w:val="1"/>
    </w:lvl>
  </w:abstractNum>
  <w:abstractNum w:abstractNumId="228">
    <w:nsid w:val="634102B4"/>
    <w:multiLevelType w:val="hybridMultilevel"/>
    <w:lvl w:ilvl="0">
      <w:lvlJc w:val="left"/>
      <w:lvlText w:val="(%1)"/>
      <w:numFmt w:val="lowerLetter"/>
      <w:start w:val="2"/>
    </w:lvl>
  </w:abstractNum>
  <w:abstractNum w:abstractNumId="229">
    <w:nsid w:val="65BF9DA8"/>
    <w:multiLevelType w:val="hybridMultilevel"/>
    <w:lvl w:ilvl="0">
      <w:lvlJc w:val="left"/>
      <w:lvlText w:val="(%1)"/>
      <w:numFmt w:val="lowerLetter"/>
      <w:start w:val="5"/>
    </w:lvl>
  </w:abstractNum>
  <w:abstractNum w:abstractNumId="230">
    <w:nsid w:val="21A2ECCA"/>
    <w:multiLevelType w:val="hybridMultilevel"/>
    <w:lvl w:ilvl="0">
      <w:lvlJc w:val="left"/>
      <w:lvlText w:val="(%1)"/>
      <w:numFmt w:val="lowerLetter"/>
      <w:start w:val="1"/>
    </w:lvl>
  </w:abstractNum>
  <w:abstractNum w:abstractNumId="231">
    <w:nsid w:val="4D5C4899"/>
    <w:multiLevelType w:val="hybridMultilevel"/>
    <w:lvl w:ilvl="0">
      <w:lvlJc w:val="left"/>
      <w:lvlText w:val="(%1)"/>
      <w:numFmt w:val="lowerLetter"/>
      <w:start w:val="2"/>
    </w:lvl>
    <w:lvl w:ilvl="1">
      <w:lvlJc w:val="left"/>
      <w:lvlText w:val="(%2)"/>
      <w:numFmt w:val="lowerRoman"/>
      <w:start w:val="1"/>
    </w:lvl>
  </w:abstractNum>
  <w:abstractNum w:abstractNumId="232">
    <w:nsid w:val="3C3B72B2"/>
    <w:multiLevelType w:val="hybridMultilevel"/>
    <w:lvl w:ilvl="0">
      <w:lvlJc w:val="left"/>
      <w:lvlText w:val="(%1)"/>
      <w:numFmt w:val="lowerLetter"/>
      <w:start w:val="9"/>
    </w:lvl>
  </w:abstractNum>
  <w:abstractNum w:abstractNumId="233">
    <w:nsid w:val="155EC4C2"/>
    <w:multiLevelType w:val="hybridMultilevel"/>
    <w:lvl w:ilvl="0">
      <w:lvlJc w:val="left"/>
      <w:lvlText w:val="(%1)"/>
      <w:numFmt w:val="lowerLetter"/>
      <w:start w:val="1"/>
    </w:lvl>
  </w:abstractNum>
  <w:abstractNum w:abstractNumId="234">
    <w:nsid w:val="65D2A137"/>
    <w:multiLevelType w:val="hybridMultilevel"/>
    <w:lvl w:ilvl="0">
      <w:lvlJc w:val="left"/>
      <w:lvlText w:val="(%1)"/>
      <w:numFmt w:val="lowerLetter"/>
      <w:start w:val="5"/>
    </w:lvl>
  </w:abstractNum>
  <w:abstractNum w:abstractNumId="235">
    <w:nsid w:val="6EBB1F2A"/>
    <w:multiLevelType w:val="hybridMultilevel"/>
    <w:lvl w:ilvl="0">
      <w:lvlJc w:val="left"/>
      <w:lvlText w:val="%1"/>
      <w:numFmt w:val="lowerLetter"/>
      <w:start w:val="1"/>
    </w:lvl>
    <w:lvl w:ilvl="1">
      <w:lvlJc w:val="left"/>
      <w:lvlText w:val="(%2)"/>
      <w:numFmt w:val="lowerLetter"/>
      <w:start w:val="1"/>
    </w:lvl>
  </w:abstractNum>
  <w:abstractNum w:abstractNumId="236">
    <w:nsid w:val="6FBF29CB"/>
    <w:multiLevelType w:val="hybridMultilevel"/>
    <w:lvl w:ilvl="0">
      <w:lvlJc w:val="left"/>
      <w:lvlText w:val="(%1)"/>
      <w:numFmt w:val="lowerLetter"/>
      <w:start w:val="61"/>
    </w:lvl>
    <w:lvl w:ilvl="1">
      <w:lvlJc w:val="left"/>
      <w:lvlText w:val="%2"/>
      <w:numFmt w:val="lowerLetter"/>
      <w:start w:val="1"/>
    </w:lvl>
  </w:abstractNum>
  <w:abstractNum w:abstractNumId="237">
    <w:nsid w:val="550B8808"/>
    <w:multiLevelType w:val="hybridMultilevel"/>
    <w:lvl w:ilvl="0">
      <w:lvlJc w:val="left"/>
      <w:lvlText w:val="(%1)"/>
      <w:numFmt w:val="lowerLetter"/>
      <w:start w:val="8"/>
    </w:lvl>
  </w:abstractNum>
  <w:abstractNum w:abstractNumId="238">
    <w:nsid w:val="34CC3ACF"/>
    <w:multiLevelType w:val="hybridMultilevel"/>
    <w:lvl w:ilvl="0">
      <w:lvlJc w:val="left"/>
      <w:lvlText w:val="(%1)"/>
      <w:numFmt w:val="lowerLetter"/>
      <w:start w:val="1"/>
    </w:lvl>
  </w:abstractNum>
  <w:abstractNum w:abstractNumId="239">
    <w:nsid w:val="4E556261"/>
    <w:multiLevelType w:val="hybridMultilevel"/>
    <w:lvl w:ilvl="0">
      <w:lvlJc w:val="left"/>
      <w:lvlText w:val="(%1)"/>
      <w:numFmt w:val="lowerLetter"/>
      <w:start w:val="2"/>
    </w:lvl>
  </w:abstractNum>
  <w:abstractNum w:abstractNumId="240">
    <w:nsid w:val="4C672FC9"/>
    <w:multiLevelType w:val="hybridMultilevel"/>
    <w:lvl w:ilvl="0">
      <w:lvlJc w:val="left"/>
      <w:lvlText w:val="(%1)"/>
      <w:numFmt w:val="lowerLetter"/>
      <w:start w:val="2"/>
    </w:lvl>
  </w:abstractNum>
  <w:abstractNum w:abstractNumId="241">
    <w:nsid w:val="52A311C3"/>
    <w:multiLevelType w:val="hybridMultilevel"/>
    <w:lvl w:ilvl="0">
      <w:lvlJc w:val="left"/>
      <w:lvlText w:val="(%1)"/>
      <w:numFmt w:val="lowerRoman"/>
      <w:start w:val="2"/>
    </w:lvl>
  </w:abstractNum>
  <w:abstractNum w:abstractNumId="242">
    <w:nsid w:val="44EF6B80"/>
    <w:multiLevelType w:val="hybridMultilevel"/>
    <w:lvl w:ilvl="0">
      <w:lvlJc w:val="left"/>
      <w:lvlText w:val="(%1)"/>
      <w:numFmt w:val="lowerLetter"/>
      <w:start w:val="2"/>
    </w:lvl>
  </w:abstractNum>
  <w:abstractNum w:abstractNumId="243">
    <w:nsid w:val="12FCDE5E"/>
    <w:multiLevelType w:val="hybridMultilevel"/>
    <w:lvl w:ilvl="0">
      <w:lvlJc w:val="left"/>
      <w:lvlText w:val="(%1)"/>
      <w:numFmt w:val="lowerLetter"/>
      <w:start w:val="1"/>
    </w:lvl>
  </w:abstractNum>
  <w:abstractNum w:abstractNumId="244">
    <w:nsid w:val="4A1D606E"/>
    <w:multiLevelType w:val="hybridMultilevel"/>
    <w:lvl w:ilvl="0">
      <w:lvlJc w:val="left"/>
      <w:lvlText w:val="(%1)"/>
      <w:numFmt w:val="lowerLetter"/>
      <w:start w:val="1"/>
    </w:lvl>
  </w:abstractNum>
  <w:abstractNum w:abstractNumId="245">
    <w:nsid w:val="4382503"/>
    <w:multiLevelType w:val="hybridMultilevel"/>
    <w:lvl w:ilvl="0">
      <w:lvlJc w:val="left"/>
      <w:lvlText w:val="(%1)"/>
      <w:numFmt w:val="lowerRoman"/>
      <w:start w:val="1"/>
    </w:lvl>
  </w:abstractNum>
  <w:abstractNum w:abstractNumId="246">
    <w:nsid w:val="59B76E28"/>
    <w:multiLevelType w:val="hybridMultilevel"/>
    <w:lvl w:ilvl="0">
      <w:lvlJc w:val="left"/>
      <w:lvlText w:val="%1"/>
      <w:numFmt w:val="upperLetter"/>
      <w:start w:val="1"/>
    </w:lvl>
    <w:lvl w:ilvl="1">
      <w:lvlJc w:val="left"/>
      <w:lvlText w:val="(%2)"/>
      <w:numFmt w:val="lowerRoman"/>
      <w:start w:val="5"/>
    </w:lvl>
  </w:abstractNum>
  <w:abstractNum w:abstractNumId="247">
    <w:nsid w:val="4252C2DA"/>
    <w:multiLevelType w:val="hybridMultilevel"/>
    <w:lvl w:ilvl="0">
      <w:lvlJc w:val="left"/>
      <w:lvlText w:val="(%1)"/>
      <w:numFmt w:val="upperLetter"/>
      <w:start w:val="2"/>
    </w:lvl>
    <w:lvl w:ilvl="1">
      <w:lvlJc w:val="left"/>
      <w:lvlText w:val="(%2)"/>
      <w:numFmt w:val="lowerRoman"/>
      <w:start w:val="7"/>
    </w:lvl>
  </w:abstractNum>
  <w:abstractNum w:abstractNumId="248">
    <w:nsid w:val="6A92EF4C"/>
    <w:multiLevelType w:val="hybridMultilevel"/>
    <w:lvl w:ilvl="0">
      <w:lvlJc w:val="left"/>
      <w:lvlText w:val="(%1)"/>
      <w:numFmt w:val="upperLetter"/>
      <w:start w:val="2"/>
    </w:lvl>
    <w:lvl w:ilvl="1">
      <w:lvlJc w:val="left"/>
      <w:lvlText w:val="(%2)"/>
      <w:numFmt w:val="lowerRoman"/>
      <w:start w:val="8"/>
    </w:lvl>
  </w:abstractNum>
  <w:abstractNum w:abstractNumId="249">
    <w:nsid w:val="41ED20D7"/>
    <w:multiLevelType w:val="hybridMultilevel"/>
    <w:lvl w:ilvl="0">
      <w:lvlJc w:val="left"/>
      <w:lvlText w:val="(%1)"/>
      <w:numFmt w:val="lowerRoman"/>
      <w:start w:val="14"/>
    </w:lvl>
    <w:lvl w:ilvl="1">
      <w:lvlJc w:val="left"/>
      <w:lvlText w:val="(%2)"/>
      <w:numFmt w:val="lowerLetter"/>
      <w:start w:val="2"/>
    </w:lvl>
  </w:abstractNum>
  <w:abstractNum w:abstractNumId="250">
    <w:nsid w:val="E6B3F6A"/>
    <w:multiLevelType w:val="hybridMultilevel"/>
    <w:lvl w:ilvl="0">
      <w:lvlJc w:val="left"/>
      <w:lvlText w:val="(%1)"/>
      <w:numFmt w:val="lowerRoman"/>
      <w:start w:val="1"/>
    </w:lvl>
  </w:abstractNum>
  <w:abstractNum w:abstractNumId="251">
    <w:nsid w:val="3EB21819"/>
    <w:multiLevelType w:val="hybridMultilevel"/>
    <w:lvl w:ilvl="0">
      <w:lvlJc w:val="left"/>
      <w:lvlText w:val="(%1)"/>
      <w:numFmt w:val="lowerRoman"/>
      <w:start w:val="4"/>
    </w:lvl>
  </w:abstractNum>
  <w:abstractNum w:abstractNumId="252">
    <w:nsid w:val="41531DED"/>
    <w:multiLevelType w:val="hybridMultilevel"/>
    <w:lvl w:ilvl="0">
      <w:lvlJc w:val="left"/>
      <w:lvlText w:val="(%1)"/>
      <w:numFmt w:val="lowerRoman"/>
      <w:start w:val="14"/>
    </w:lvl>
    <w:lvl w:ilvl="1">
      <w:lvlJc w:val="left"/>
      <w:lvlText w:val="(%2)"/>
      <w:numFmt w:val="lowerLetter"/>
      <w:start w:val="2"/>
    </w:lvl>
  </w:abstractNum>
  <w:abstractNum w:abstractNumId="253">
    <w:nsid w:val="6353CD2"/>
    <w:multiLevelType w:val="hybridMultilevel"/>
    <w:lvl w:ilvl="0">
      <w:lvlJc w:val="left"/>
      <w:lvlText w:val="(%1)"/>
      <w:numFmt w:val="lowerLetter"/>
      <w:start w:val="1"/>
    </w:lvl>
  </w:abstractNum>
  <w:abstractNum w:abstractNumId="254">
    <w:nsid w:val="683CAAD3"/>
    <w:multiLevelType w:val="hybridMultilevel"/>
    <w:lvl w:ilvl="0">
      <w:lvlJc w:val="left"/>
      <w:lvlText w:val="(%1)"/>
      <w:numFmt w:val="lowerRoman"/>
      <w:start w:val="1"/>
    </w:lvl>
  </w:abstractNum>
  <w:abstractNum w:abstractNumId="255">
    <w:nsid w:val="313C7C99"/>
    <w:multiLevelType w:val="hybridMultilevel"/>
    <w:lvl w:ilvl="0">
      <w:lvlJc w:val="left"/>
      <w:lvlText w:val="(%1)"/>
      <w:numFmt w:val="lowerRoman"/>
      <w:start w:val="11"/>
    </w:lvl>
  </w:abstractNum>
  <w:abstractNum w:abstractNumId="256">
    <w:nsid w:val="519EB94C"/>
    <w:multiLevelType w:val="hybridMultilevel"/>
    <w:lvl w:ilvl="0">
      <w:lvlJc w:val="left"/>
      <w:lvlText w:val="(%1)"/>
      <w:numFmt w:val="lowerRoman"/>
      <w:start w:val="18"/>
    </w:lvl>
  </w:abstractNum>
  <w:abstractNum w:abstractNumId="257">
    <w:nsid w:val="39DF2579"/>
    <w:multiLevelType w:val="hybridMultilevel"/>
    <w:lvl w:ilvl="0">
      <w:lvlJc w:val="left"/>
      <w:lvlText w:val="(%1)"/>
      <w:numFmt w:val="lowerLetter"/>
      <w:start w:val="2"/>
    </w:lvl>
  </w:abstractNum>
  <w:abstractNum w:abstractNumId="258">
    <w:nsid w:val="126E008B"/>
    <w:multiLevelType w:val="hybridMultilevel"/>
    <w:lvl w:ilvl="0">
      <w:lvlJc w:val="left"/>
      <w:lvlText w:val="(%1)"/>
      <w:numFmt w:val="lowerLetter"/>
      <w:start w:val="1"/>
    </w:lvl>
  </w:abstractNum>
  <w:abstractNum w:abstractNumId="259">
    <w:nsid w:val="34DFBC00"/>
    <w:multiLevelType w:val="hybridMultilevel"/>
    <w:lvl w:ilvl="0">
      <w:lvlJc w:val="left"/>
      <w:lvlText w:val="(%1)"/>
      <w:numFmt w:val="lowerLetter"/>
      <w:start w:val="8"/>
    </w:lvl>
  </w:abstractNum>
  <w:abstractNum w:abstractNumId="260">
    <w:nsid w:val="1F9EC322"/>
    <w:multiLevelType w:val="hybridMultilevel"/>
    <w:lvl w:ilvl="0">
      <w:lvlJc w:val="left"/>
      <w:lvlText w:val="(%1)"/>
      <w:numFmt w:val="lowerLetter"/>
      <w:start w:val="1"/>
    </w:lvl>
  </w:abstractNum>
  <w:abstractNum w:abstractNumId="261">
    <w:nsid w:val="3410ED56"/>
    <w:multiLevelType w:val="hybridMultilevel"/>
    <w:lvl w:ilvl="0">
      <w:lvlJc w:val="left"/>
      <w:lvlText w:val="(%1)"/>
      <w:numFmt w:val="lowerRoman"/>
      <w:start w:val="1"/>
    </w:lvl>
  </w:abstractNum>
  <w:abstractNum w:abstractNumId="262">
    <w:nsid w:val="23C049A"/>
    <w:multiLevelType w:val="hybridMultilevel"/>
    <w:lvl w:ilvl="0">
      <w:lvlJc w:val="left"/>
      <w:lvlText w:val="%1"/>
      <w:numFmt w:val="lowerRoman"/>
      <w:start w:val="1"/>
    </w:lvl>
    <w:lvl w:ilvl="1">
      <w:lvlJc w:val="left"/>
      <w:lvlText w:val="(%2)"/>
      <w:numFmt w:val="lowerLetter"/>
      <w:start w:val="2"/>
    </w:lvl>
  </w:abstractNum>
  <w:abstractNum w:abstractNumId="263">
    <w:nsid w:val="5BDA35D4"/>
    <w:multiLevelType w:val="hybridMultilevel"/>
    <w:lvl w:ilvl="0">
      <w:lvlJc w:val="left"/>
      <w:lvlText w:val="(%1)"/>
      <w:numFmt w:val="lowerRoman"/>
      <w:start w:val="1"/>
    </w:lvl>
    <w:lvl w:ilvl="1">
      <w:lvlJc w:val="left"/>
      <w:lvlText w:val="%2"/>
      <w:numFmt w:val="lowerLetter"/>
      <w:start w:val="1"/>
    </w:lvl>
  </w:abstractNum>
  <w:abstractNum w:abstractNumId="264">
    <w:nsid w:val="496FB218"/>
    <w:multiLevelType w:val="hybridMultilevel"/>
    <w:lvl w:ilvl="0">
      <w:lvlJc w:val="left"/>
      <w:lvlText w:val="(%1)"/>
      <w:numFmt w:val="lowerLetter"/>
      <w:start w:val="1"/>
    </w:lvl>
  </w:abstractNum>
  <w:abstractNum w:abstractNumId="265">
    <w:nsid w:val="680EA5D1"/>
    <w:multiLevelType w:val="hybridMultilevel"/>
    <w:lvl w:ilvl="0">
      <w:lvlJc w:val="left"/>
      <w:lvlText w:val="(%1)"/>
      <w:numFmt w:val="lowerLetter"/>
      <w:start w:val="5"/>
    </w:lvl>
  </w:abstractNum>
  <w:abstractNum w:abstractNumId="266">
    <w:nsid w:val="4A9554FE"/>
    <w:multiLevelType w:val="hybridMultilevel"/>
    <w:lvl w:ilvl="0">
      <w:lvlJc w:val="left"/>
      <w:lvlText w:val="%1"/>
      <w:numFmt w:val="lowerRoman"/>
      <w:start w:val="1"/>
    </w:lvl>
    <w:lvl w:ilvl="1">
      <w:lvlJc w:val="left"/>
      <w:lvlText w:val="(%2)"/>
      <w:numFmt w:val="lowerLetter"/>
      <w:start w:val="1"/>
    </w:lvl>
  </w:abstractNum>
  <w:abstractNum w:abstractNumId="267">
    <w:nsid w:val="392EDBE4"/>
    <w:multiLevelType w:val="hybridMultilevel"/>
    <w:lvl w:ilvl="0">
      <w:lvlJc w:val="left"/>
      <w:lvlText w:val="(%1)"/>
      <w:numFmt w:val="lowerRoman"/>
      <w:start w:val="7"/>
    </w:lvl>
    <w:lvl w:ilvl="1">
      <w:lvlJc w:val="left"/>
      <w:lvlText w:val="(%2)"/>
      <w:numFmt w:val="lowerLetter"/>
      <w:start w:val="3"/>
    </w:lvl>
  </w:abstractNum>
  <w:abstractNum w:abstractNumId="268">
    <w:nsid w:val="3D1A2DD9"/>
    <w:multiLevelType w:val="hybridMultilevel"/>
    <w:lvl w:ilvl="0">
      <w:lvlJc w:val="left"/>
      <w:lvlText w:val="(%1)"/>
      <w:numFmt w:val="lowerLetter"/>
      <w:start w:val="1"/>
    </w:lvl>
  </w:abstractNum>
  <w:abstractNum w:abstractNumId="269">
    <w:nsid w:val="7F618FCD"/>
    <w:multiLevelType w:val="hybridMultilevel"/>
    <w:lvl w:ilvl="0">
      <w:lvlJc w:val="left"/>
      <w:lvlText w:val="(%1)"/>
      <w:numFmt w:val="lowerLetter"/>
      <w:start w:val="25"/>
    </w:lvl>
  </w:abstractNum>
  <w:abstractNum w:abstractNumId="270">
    <w:nsid w:val="7843E45"/>
    <w:multiLevelType w:val="hybridMultilevel"/>
    <w:lvl w:ilvl="0">
      <w:lvlJc w:val="left"/>
      <w:lvlText w:val="(%1)"/>
      <w:numFmt w:val="lowerLetter"/>
      <w:start w:val="1"/>
    </w:lvl>
  </w:abstractNum>
  <w:abstractNum w:abstractNumId="271">
    <w:nsid w:val="9815DA3"/>
    <w:multiLevelType w:val="hybridMultilevel"/>
    <w:lvl w:ilvl="0">
      <w:lvlJc w:val="left"/>
      <w:lvlText w:val="(%1)"/>
      <w:numFmt w:val="lowerLetter"/>
      <w:start w:val="7"/>
    </w:lvl>
  </w:abstractNum>
  <w:abstractNum w:abstractNumId="272">
    <w:nsid w:val="5204A191"/>
    <w:multiLevelType w:val="hybridMultilevel"/>
    <w:lvl w:ilvl="0">
      <w:lvlJc w:val="left"/>
      <w:lvlText w:val="(%1)"/>
      <w:numFmt w:val="lowerLetter"/>
      <w:start w:val="12"/>
    </w:lvl>
  </w:abstractNum>
  <w:abstractNum w:abstractNumId="273">
    <w:nsid w:val="4C73A9C6"/>
    <w:multiLevelType w:val="hybridMultilevel"/>
    <w:lvl w:ilvl="0">
      <w:lvlJc w:val="left"/>
      <w:lvlText w:val="(%1)"/>
      <w:numFmt w:val="lowerLetter"/>
      <w:start w:val="21"/>
    </w:lvl>
  </w:abstractNum>
  <w:abstractNum w:abstractNumId="274">
    <w:nsid w:val="1C7E3C01"/>
    <w:multiLevelType w:val="hybridMultilevel"/>
    <w:lvl w:ilvl="0">
      <w:lvlJc w:val="left"/>
      <w:lvlText w:val="%1"/>
      <w:numFmt w:val="lowerLetter"/>
      <w:start w:val="1"/>
    </w:lvl>
    <w:lvl w:ilvl="1">
      <w:lvlJc w:val="left"/>
      <w:lvlText w:val="(%2)"/>
      <w:numFmt w:val="lowerLetter"/>
      <w:start w:val="1"/>
    </w:lvl>
  </w:abstractNum>
  <w:abstractNum w:abstractNumId="275">
    <w:nsid w:val="1C2201FF"/>
    <w:multiLevelType w:val="hybridMultilevel"/>
    <w:lvl w:ilvl="0">
      <w:lvlJc w:val="left"/>
      <w:lvlText w:val="(%1)"/>
      <w:numFmt w:val="lowerLetter"/>
      <w:start w:val="9"/>
    </w:lvl>
    <w:lvl w:ilvl="1">
      <w:lvlJc w:val="left"/>
      <w:lvlText w:val="%2"/>
      <w:numFmt w:val="lowerLetter"/>
      <w:start w:val="1"/>
    </w:lvl>
  </w:abstractNum>
  <w:abstractNum w:abstractNumId="276">
    <w:nsid w:val="50ABCEC9"/>
    <w:multiLevelType w:val="hybridMultilevel"/>
    <w:lvl w:ilvl="0">
      <w:lvlJc w:val="left"/>
      <w:lvlText w:val="(%1)"/>
      <w:numFmt w:val="lowerRoman"/>
      <w:start w:val="2"/>
    </w:lvl>
    <w:lvl w:ilvl="1">
      <w:lvlJc w:val="left"/>
      <w:lvlText w:val="(%2)"/>
      <w:numFmt w:val="lowerLetter"/>
      <w:start w:val="3"/>
    </w:lvl>
  </w:abstractNum>
  <w:abstractNum w:abstractNumId="277">
    <w:nsid w:val="7635AA2A"/>
    <w:multiLevelType w:val="hybridMultilevel"/>
    <w:lvl w:ilvl="0">
      <w:lvlJc w:val="left"/>
      <w:lvlText w:val="(%1)"/>
      <w:numFmt w:val="lowerLetter"/>
      <w:start w:val="1"/>
    </w:lvl>
  </w:abstractNum>
  <w:abstractNum w:abstractNumId="278">
    <w:nsid w:val="5E74C4D9"/>
    <w:multiLevelType w:val="hybridMultilevel"/>
    <w:lvl w:ilvl="0">
      <w:lvlJc w:val="left"/>
      <w:lvlText w:val="%1"/>
      <w:numFmt w:val="lowerLetter"/>
      <w:start w:val="1"/>
    </w:lvl>
    <w:lvl w:ilvl="1">
      <w:lvlJc w:val="left"/>
      <w:lvlText w:val="(%2)"/>
      <w:numFmt w:val="lowerLetter"/>
      <w:start w:val="2"/>
    </w:lvl>
  </w:abstractNum>
  <w:abstractNum w:abstractNumId="279">
    <w:nsid w:val="3B3EBE15"/>
    <w:multiLevelType w:val="hybridMultilevel"/>
    <w:lvl w:ilvl="0">
      <w:lvlJc w:val="left"/>
      <w:lvlText w:val="(%1)"/>
      <w:numFmt w:val="lowerLetter"/>
      <w:start w:val="9"/>
    </w:lvl>
    <w:lvl w:ilvl="1">
      <w:lvlJc w:val="left"/>
      <w:lvlText w:val="(%2)"/>
      <w:numFmt w:val="lowerLetter"/>
      <w:start w:val="3"/>
    </w:lvl>
  </w:abstractNum>
  <w:abstractNum w:abstractNumId="280">
    <w:nsid w:val="3822CB01"/>
    <w:multiLevelType w:val="hybridMultilevel"/>
    <w:lvl w:ilvl="0">
      <w:lvlJc w:val="left"/>
      <w:lvlText w:val="(%1)"/>
      <w:numFmt w:val="lowerLetter"/>
      <w:start w:val="1"/>
    </w:lvl>
  </w:abstractNum>
  <w:abstractNum w:abstractNumId="281">
    <w:nsid w:val="6CE00443"/>
    <w:multiLevelType w:val="hybridMultilevel"/>
    <w:lvl w:ilvl="0">
      <w:lvlJc w:val="left"/>
      <w:lvlText w:val="%1"/>
      <w:numFmt w:val="lowerRoman"/>
      <w:start w:val="1"/>
    </w:lvl>
    <w:lvl w:ilvl="1">
      <w:lvlJc w:val="left"/>
      <w:lvlText w:val="(%2)"/>
      <w:numFmt w:val="lowerLetter"/>
      <w:start w:val="2"/>
    </w:lvl>
  </w:abstractNum>
  <w:abstractNum w:abstractNumId="282">
    <w:nsid w:val="79F0D62F"/>
    <w:multiLevelType w:val="hybridMultilevel"/>
    <w:lvl w:ilvl="0">
      <w:lvlJc w:val="left"/>
      <w:lvlText w:val="(%1)"/>
      <w:numFmt w:val="lowerRoman"/>
      <w:start w:val="1"/>
    </w:lvl>
    <w:lvl w:ilvl="1">
      <w:lvlJc w:val="left"/>
      <w:lvlText w:val="%2"/>
      <w:numFmt w:val="lowerLetter"/>
      <w:start w:val="1"/>
    </w:lvl>
  </w:abstractNum>
  <w:abstractNum w:abstractNumId="283">
    <w:nsid w:val="7975E8EE"/>
    <w:multiLevelType w:val="hybridMultilevel"/>
    <w:lvl w:ilvl="0">
      <w:lvlJc w:val="left"/>
      <w:lvlText w:val="(%1)"/>
      <w:numFmt w:val="lowerRoman"/>
      <w:start w:val="8"/>
    </w:lvl>
  </w:abstractNum>
  <w:abstractNum w:abstractNumId="284">
    <w:nsid w:val="73154115"/>
    <w:multiLevelType w:val="hybridMultilevel"/>
    <w:lvl w:ilvl="0">
      <w:lvlJc w:val="left"/>
      <w:lvlText w:val="(%1)"/>
      <w:numFmt w:val="lowerLetter"/>
      <w:start w:val="3"/>
    </w:lvl>
  </w:abstractNum>
  <w:abstractNum w:abstractNumId="285">
    <w:nsid w:val="622D8102"/>
    <w:multiLevelType w:val="hybridMultilevel"/>
    <w:lvl w:ilvl="0">
      <w:lvlJc w:val="left"/>
      <w:lvlText w:val="%1"/>
      <w:numFmt w:val="lowerLetter"/>
      <w:start w:val="1"/>
    </w:lvl>
    <w:lvl w:ilvl="1">
      <w:lvlJc w:val="left"/>
      <w:lvlText w:val="(%2)"/>
      <w:numFmt w:val="lowerLetter"/>
      <w:start w:val="1"/>
    </w:lvl>
  </w:abstractNum>
  <w:abstractNum w:abstractNumId="286">
    <w:nsid w:val="2AB26587"/>
    <w:multiLevelType w:val="hybridMultilevel"/>
    <w:lvl w:ilvl="0">
      <w:lvlJc w:val="left"/>
      <w:lvlText w:val="(%1)"/>
      <w:numFmt w:val="lowerLetter"/>
      <w:start w:val="35"/>
    </w:lvl>
    <w:lvl w:ilvl="1">
      <w:lvlJc w:val="left"/>
      <w:lvlText w:val="%2"/>
      <w:numFmt w:val="lowerLetter"/>
      <w:start w:val="1"/>
    </w:lvl>
  </w:abstractNum>
  <w:abstractNum w:abstractNumId="287">
    <w:nsid w:val="44B3FA61"/>
    <w:multiLevelType w:val="hybridMultilevel"/>
    <w:lvl w:ilvl="0">
      <w:lvlJc w:val="left"/>
      <w:lvlText w:val="(%1)"/>
      <w:numFmt w:val="lowerLetter"/>
      <w:start w:val="3"/>
    </w:lvl>
  </w:abstractNum>
  <w:abstractNum w:abstractNumId="288">
    <w:nsid w:val="1C0CA67C"/>
    <w:multiLevelType w:val="hybridMultilevel"/>
    <w:lvl w:ilvl="0">
      <w:lvlJc w:val="left"/>
      <w:lvlText w:val="(%1)"/>
      <w:numFmt w:val="lowerLetter"/>
      <w:start w:val="1"/>
    </w:lvl>
  </w:abstractNum>
  <w:abstractNum w:abstractNumId="289">
    <w:nsid w:val="3D206613"/>
    <w:multiLevelType w:val="hybridMultilevel"/>
    <w:lvl w:ilvl="0">
      <w:lvlJc w:val="left"/>
      <w:lvlText w:val="(%1)"/>
      <w:numFmt w:val="lowerLetter"/>
      <w:start w:val="2"/>
    </w:lvl>
    <w:lvl w:ilvl="1">
      <w:lvlJc w:val="left"/>
      <w:lvlText w:val="(%2)"/>
      <w:numFmt w:val="decimal"/>
      <w:start w:val="1"/>
    </w:lvl>
  </w:abstractNum>
  <w:abstractNum w:abstractNumId="290">
    <w:nsid w:val="7993B662"/>
    <w:multiLevelType w:val="hybridMultilevel"/>
    <w:lvl w:ilvl="0">
      <w:lvlJc w:val="left"/>
      <w:lvlText w:val="(%1)"/>
      <w:numFmt w:val="lowerRoman"/>
      <w:start w:val="2"/>
    </w:lvl>
    <w:lvl w:ilvl="1">
      <w:lvlJc w:val="left"/>
      <w:lvlText w:val="(%2)"/>
      <w:numFmt w:val="decimal"/>
      <w:start w:val="4"/>
    </w:lvl>
    <w:lvl w:ilvl="2">
      <w:lvlJc w:val="left"/>
      <w:lvlText w:val="(%3)"/>
      <w:numFmt w:val="decimal"/>
      <w:start w:val="1"/>
    </w:lvl>
  </w:abstractNum>
  <w:abstractNum w:abstractNumId="291">
    <w:nsid w:val="3BAB699E"/>
    <w:multiLevelType w:val="hybridMultilevel"/>
    <w:lvl w:ilvl="0">
      <w:lvlJc w:val="left"/>
      <w:lvlText w:val="(%1)"/>
      <w:numFmt w:val="decimal"/>
      <w:start w:val="2"/>
    </w:lvl>
  </w:abstractNum>
  <w:abstractNum w:abstractNumId="292">
    <w:nsid w:val="71315369"/>
    <w:multiLevelType w:val="hybridMultilevel"/>
    <w:lvl w:ilvl="0">
      <w:lvlJc w:val="left"/>
      <w:lvlText w:val="(%1)"/>
      <w:numFmt w:val="lowerLetter"/>
      <w:start w:val="3"/>
    </w:lvl>
  </w:abstractNum>
  <w:abstractNum w:abstractNumId="293">
    <w:nsid w:val="7BCFBAFC"/>
    <w:multiLevelType w:val="hybridMultilevel"/>
    <w:lvl w:ilvl="0">
      <w:lvlJc w:val="left"/>
      <w:lvlText w:val="(%1)"/>
      <w:numFmt w:val="lowerLetter"/>
      <w:start w:val="9"/>
    </w:lvl>
    <w:lvl w:ilvl="1">
      <w:lvlJc w:val="left"/>
      <w:lvlText w:val="(%2)"/>
      <w:numFmt w:val="lowerLetter"/>
      <w:start w:val="5"/>
    </w:lvl>
  </w:abstractNum>
  <w:abstractNum w:abstractNumId="294">
    <w:nsid w:val="17859F72"/>
    <w:multiLevelType w:val="hybridMultilevel"/>
    <w:lvl w:ilvl="0">
      <w:lvlJc w:val="left"/>
      <w:lvlText w:val="(%1)"/>
      <w:numFmt w:val="lowerLetter"/>
      <w:start w:val="6"/>
    </w:lvl>
  </w:abstractNum>
  <w:abstractNum w:abstractNumId="295">
    <w:nsid w:val="3AA10581"/>
    <w:multiLevelType w:val="hybridMultilevel"/>
    <w:lvl w:ilvl="0">
      <w:lvlJc w:val="left"/>
      <w:lvlText w:val="(%1)"/>
      <w:numFmt w:val="lowerLetter"/>
      <w:start w:val="1"/>
    </w:lvl>
  </w:abstractNum>
  <w:abstractNum w:abstractNumId="296">
    <w:nsid w:val="63DE60CD"/>
    <w:multiLevelType w:val="hybridMultilevel"/>
    <w:lvl w:ilvl="0">
      <w:lvlJc w:val="left"/>
      <w:lvlText w:val="(%1)"/>
      <w:numFmt w:val="lowerLetter"/>
      <w:start w:val="4"/>
    </w:lvl>
  </w:abstractNum>
  <w:abstractNum w:abstractNumId="297">
    <w:nsid w:val="621AF471"/>
    <w:multiLevelType w:val="hybridMultilevel"/>
    <w:lvl w:ilvl="0">
      <w:lvlJc w:val="left"/>
      <w:lvlText w:val="(%1)"/>
      <w:numFmt w:val="upperLetter"/>
      <w:start w:val="2"/>
    </w:lvl>
  </w:abstractNum>
  <w:abstractNum w:abstractNumId="298">
    <w:nsid w:val="73CFE165"/>
    <w:multiLevelType w:val="hybridMultilevel"/>
    <w:lvl w:ilvl="0">
      <w:lvlJc w:val="left"/>
      <w:lvlText w:val="(%1)"/>
      <w:numFmt w:val="lowerLetter"/>
      <w:start w:val="1"/>
    </w:lvl>
    <w:lvl w:ilvl="1">
      <w:lvlJc w:val="left"/>
      <w:lvlText w:val="(%2)"/>
      <w:numFmt w:val="lowerLetter"/>
      <w:start w:val="9"/>
    </w:lvl>
  </w:abstractNum>
  <w:abstractNum w:abstractNumId="299">
    <w:nsid w:val="20F88EA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2024-05-27T00:23:10Z</dcterms:created>
  <dcterms:modified xsi:type="dcterms:W3CDTF">2024-05-27T00:23:10Z</dcterms:modified>
</cp:coreProperties>
</file>