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332500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27973225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09/25/2025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06/14/2024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55329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06/14/2024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06/14/2024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06/14/2024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03/05/2020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17642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03/05/2020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04/22/2022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183343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04/22/2022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12/02/2016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12/02/2016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08/19/2025 17458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1369580.1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8361451.85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08/27/2025 266000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19710290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2090362.96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08/27/2025 66500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4927572</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(266,000 shares) and Gray Media, LLC (66,500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09/25/2025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159" w:lineRule="exact"/>
        <w:rPr>
          <w:sz w:val="20"/>
          <w:szCs w:val="20"/>
          <w:color w:val="auto"/>
        </w:rPr>
      </w:pPr>
    </w:p>
    <w:p>
      <w:pPr>
        <w:sectPr>
          <w:pgSz w:w="11900" w:h="16838" w:orient="portrait"/>
          <w:cols w:equalWidth="0" w:num="2">
            <w:col w:w="3380" w:space="420"/>
            <w:col w:w="74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2025-09-25T18:08:56Z</dcterms:created>
  <dcterms:modified xsi:type="dcterms:W3CDTF">2025-09-25T18:08:56Z</dcterms:modified>
</cp:coreProperties>
</file>