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47-4903308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600 West Chicago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510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May 6, 2025, Tempus AI, Inc. (the “Company”) issued a press release regarding its financial results for the quarter ended March 31, 2025. A copy of the press release is furnished as Exhibit 99.1 to this Current Report on Form 8-K.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6, 2025, the Company made available on the “Events” page of its investor relations website at http://investors.tempus.com supplemental financial information for the quarter ended March 31, 2025 and a letter from its Chief Executive Officer and Chief Financial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Tempus AI, Inc. dated 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-7620</wp:posOffset>
            </wp:positionV>
            <wp:extent cx="2763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3520" cy="8890"/>
                    </a:xfrm>
                    <a:prstGeom prst="rect">
                      <a:avLst/>
                    </a:prstGeom>
                    <a:noFill/>
                  </pic:spPr>
                </pic:pic>
              </a:graphicData>
            </a:graphic>
          </wp:anchor>
        </w:drawing>
      </w:r>
    </w:p>
    <w:p>
      <w:pPr>
        <w:spacing w:after="0" w:line="97"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78" w:lineRule="exact"/>
        <w:rPr>
          <w:sz w:val="20"/>
          <w:szCs w:val="20"/>
          <w:color w:val="auto"/>
        </w:rPr>
      </w:pPr>
    </w:p>
    <w:p>
      <w:pPr>
        <w:spacing w:after="0"/>
        <w:tabs>
          <w:tab w:leader="none" w:pos="70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By:</w:t>
        <w:tab/>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Reports First Quarter 2025 Results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CHICAGO, May 6, 2025 </w:t>
      </w:r>
      <w:r>
        <w:rPr>
          <w:rFonts w:ascii="Times New Roman" w:cs="Times New Roman" w:eastAsia="Times New Roman" w:hAnsi="Times New Roman"/>
          <w:sz w:val="18"/>
          <w:szCs w:val="18"/>
          <w:color w:val="auto"/>
        </w:rPr>
        <w:t>— Tempus AI, Inc. (NASDAQ: TEM), a technology company leading the adoption of AI to advance precision medicine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care, today reported financial results for the quarter ended March 31, 2025.</w:t>
      </w:r>
    </w:p>
    <w:p>
      <w:pPr>
        <w:spacing w:after="0" w:line="159" w:lineRule="exact"/>
        <w:rPr>
          <w:sz w:val="20"/>
          <w:szCs w:val="20"/>
          <w:color w:val="auto"/>
        </w:rPr>
      </w:pPr>
    </w:p>
    <w:p>
      <w:pPr>
        <w:ind w:left="1140" w:hanging="36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75.4% year-over-year to $255.7 million in the first quarter of 2025</w:t>
      </w:r>
    </w:p>
    <w:p>
      <w:pPr>
        <w:spacing w:after="0" w:line="225" w:lineRule="exact"/>
        <w:rPr>
          <w:rFonts w:ascii="Times New Roman" w:cs="Times New Roman" w:eastAsia="Times New Roman" w:hAnsi="Times New Roman"/>
          <w:sz w:val="18"/>
          <w:szCs w:val="18"/>
          <w:color w:val="auto"/>
        </w:rPr>
      </w:pPr>
    </w:p>
    <w:p>
      <w:pPr>
        <w:ind w:left="1160" w:right="740" w:hanging="388"/>
        <w:spacing w:after="0" w:line="282" w:lineRule="auto"/>
        <w:tabs>
          <w:tab w:leader="none" w:pos="11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gross profit increased 99.8% year-over-year, reaching $155.2 million with continued gross margin improvement in both Genomics and Data and services</w:t>
      </w:r>
    </w:p>
    <w:p>
      <w:pPr>
        <w:spacing w:after="0" w:line="53" w:lineRule="exact"/>
        <w:rPr>
          <w:rFonts w:ascii="Times New Roman" w:cs="Times New Roman" w:eastAsia="Times New Roman" w:hAnsi="Times New Roman"/>
          <w:sz w:val="18"/>
          <w:szCs w:val="18"/>
          <w:color w:val="auto"/>
        </w:rPr>
      </w:pPr>
    </w:p>
    <w:p>
      <w:pPr>
        <w:ind w:left="1160" w:right="240" w:hanging="388"/>
        <w:spacing w:after="0" w:line="282" w:lineRule="auto"/>
        <w:tabs>
          <w:tab w:leader="none" w:pos="11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multi-year, strategic collaborations with AstraZeneca and Pathos to work together to build the largest multimodal foundation model in oncology, resulting in additional $200.0 million in data licensing and model development fees over the next 3 years</w:t>
      </w:r>
    </w:p>
    <w:p>
      <w:pPr>
        <w:spacing w:after="0" w:line="53" w:lineRule="exact"/>
        <w:rPr>
          <w:rFonts w:ascii="Times New Roman" w:cs="Times New Roman" w:eastAsia="Times New Roman" w:hAnsi="Times New Roman"/>
          <w:sz w:val="18"/>
          <w:szCs w:val="18"/>
          <w:color w:val="auto"/>
        </w:rPr>
      </w:pPr>
    </w:p>
    <w:p>
      <w:pPr>
        <w:ind w:left="1160" w:right="540" w:hanging="388"/>
        <w:spacing w:after="0" w:line="282" w:lineRule="auto"/>
        <w:tabs>
          <w:tab w:leader="none" w:pos="11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full year 2025 revenue guidance to $1.25 billion, representing approximately 80% growth year-over-year. Expect positive Adjusted EBITDA of $5 million for full year 2025, increasing approximately $110 million over 2024</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business is performing well with revenues growing, margins improving, and our costs remaining in check, allowing us to demonstrate significant year-over-year operating leverage,” said Eric Lefkofsky, Founder and CEO of Tempus. “Our strategic investments in AI have us uniquely positioned to advance what is possible in diagnostics and drug development, as evidenced by our announcement to build the largest foundation model in oncology with AstraZeneca and Pathos. We believe this is just the beginning as more and more healthcare providers and life science companies embrace 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Summary Results</w:t>
      </w:r>
    </w:p>
    <w:p>
      <w:pPr>
        <w:spacing w:after="0" w:line="121" w:lineRule="exact"/>
        <w:rPr>
          <w:sz w:val="20"/>
          <w:szCs w:val="20"/>
          <w:color w:val="auto"/>
        </w:rPr>
      </w:pPr>
    </w:p>
    <w:p>
      <w:pPr>
        <w:ind w:left="1140" w:hanging="36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revenue increased 75.4% year-over-year to $255.7 million in the first quarter of 2025.</w:t>
      </w:r>
    </w:p>
    <w:p>
      <w:pPr>
        <w:spacing w:after="0" w:line="117" w:lineRule="exact"/>
        <w:rPr>
          <w:rFonts w:ascii="Times New Roman" w:cs="Times New Roman" w:eastAsia="Times New Roman" w:hAnsi="Times New Roman"/>
          <w:sz w:val="18"/>
          <w:szCs w:val="18"/>
          <w:color w:val="auto"/>
        </w:rPr>
      </w:pPr>
    </w:p>
    <w:p>
      <w:pPr>
        <w:ind w:left="1560" w:hanging="354"/>
        <w:spacing w:after="0"/>
        <w:tabs>
          <w:tab w:leader="none" w:pos="15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Genomics contributed $193.8 million in revenue in the first quarter of 2025, growing 88.9% compared to the first quarter of 2024.</w:t>
      </w:r>
    </w:p>
    <w:p>
      <w:pPr>
        <w:spacing w:after="0" w:line="117" w:lineRule="exact"/>
        <w:rPr>
          <w:rFonts w:ascii="Times New Roman" w:cs="Times New Roman" w:eastAsia="Times New Roman" w:hAnsi="Times New Roman"/>
          <w:sz w:val="18"/>
          <w:szCs w:val="18"/>
          <w:color w:val="auto"/>
        </w:rPr>
      </w:pPr>
    </w:p>
    <w:p>
      <w:pPr>
        <w:ind w:left="1800" w:hanging="295"/>
        <w:spacing w:after="0" w:line="282" w:lineRule="auto"/>
        <w:tabs>
          <w:tab w:leader="none" w:pos="18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Oncology testing (legacy Tempus clinical) revenue delivered $119.0 million, up 31.0% year-over-year in the first quarter of 2025, with approximately 20% volume growth.</w:t>
      </w:r>
    </w:p>
    <w:p>
      <w:pPr>
        <w:spacing w:after="0" w:line="53" w:lineRule="exact"/>
        <w:rPr>
          <w:rFonts w:ascii="Times New Roman" w:cs="Times New Roman" w:eastAsia="Times New Roman" w:hAnsi="Times New Roman"/>
          <w:sz w:val="18"/>
          <w:szCs w:val="18"/>
          <w:color w:val="auto"/>
        </w:rPr>
      </w:pPr>
    </w:p>
    <w:p>
      <w:pPr>
        <w:ind w:left="1800" w:hanging="295"/>
        <w:spacing w:after="0" w:line="282" w:lineRule="auto"/>
        <w:tabs>
          <w:tab w:leader="none" w:pos="18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Hereditary testing (legacy Ambry Genetics) contributed $63.5 million in revenue in the first quarter, with approximately 23% unit growth.</w:t>
      </w:r>
    </w:p>
    <w:p>
      <w:pPr>
        <w:spacing w:after="0" w:line="53" w:lineRule="exact"/>
        <w:rPr>
          <w:rFonts w:ascii="Times New Roman" w:cs="Times New Roman" w:eastAsia="Times New Roman" w:hAnsi="Times New Roman"/>
          <w:sz w:val="18"/>
          <w:szCs w:val="18"/>
          <w:color w:val="auto"/>
        </w:rPr>
      </w:pPr>
    </w:p>
    <w:p>
      <w:pPr>
        <w:ind w:left="1140" w:right="100" w:hanging="368"/>
        <w:spacing w:after="0" w:line="282" w:lineRule="auto"/>
        <w:tabs>
          <w:tab w:leader="none" w:pos="11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Data and services totaled $61.9 million in the first quarter of 2025, delivering 43.2% growth versus the first quarter of 2024, led by Insights (data licensing), which grew 58.0% year-over-year.</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$155.2 million in quarterly gross profit, reflecting a 99.8% improvement year-over-year.</w:t>
      </w:r>
    </w:p>
    <w:p>
      <w:pPr>
        <w:spacing w:after="0" w:line="117" w:lineRule="exact"/>
        <w:rPr>
          <w:rFonts w:ascii="Times New Roman" w:cs="Times New Roman" w:eastAsia="Times New Roman" w:hAnsi="Times New Roman"/>
          <w:sz w:val="18"/>
          <w:szCs w:val="18"/>
          <w:color w:val="auto"/>
        </w:rPr>
      </w:pPr>
    </w:p>
    <w:p>
      <w:pPr>
        <w:ind w:left="1140" w:right="260" w:hanging="368"/>
        <w:spacing w:after="0" w:line="266" w:lineRule="auto"/>
        <w:tabs>
          <w:tab w:leader="none" w:pos="11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a net loss of ($68.0 million) in the first quarter of 2025, including $28.2 million in stock compensation expense and related employer payroll taxes and fair value losses of $31.8 million related to our marketable equity securities, compared to a net loss of ($64.7 million) in the first quarter of 2024.</w:t>
      </w:r>
    </w:p>
    <w:p>
      <w:pPr>
        <w:spacing w:after="0" w:line="67" w:lineRule="exact"/>
        <w:rPr>
          <w:rFonts w:ascii="Times New Roman" w:cs="Times New Roman" w:eastAsia="Times New Roman" w:hAnsi="Times New Roman"/>
          <w:sz w:val="18"/>
          <w:szCs w:val="18"/>
          <w:color w:val="auto"/>
        </w:rPr>
      </w:pPr>
    </w:p>
    <w:p>
      <w:pPr>
        <w:ind w:left="1140" w:right="20" w:hanging="368"/>
        <w:spacing w:after="0" w:line="282" w:lineRule="auto"/>
        <w:tabs>
          <w:tab w:leader="none" w:pos="11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($16.2 million) in the first quarter of 2025 compared to ($43.9 million) in the first quarter of 2024, an improvement of $27.8 million year-over-year.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and Recent Operational Highlights</w:t>
      </w:r>
    </w:p>
    <w:p>
      <w:pPr>
        <w:spacing w:after="0" w:line="121" w:lineRule="exact"/>
        <w:rPr>
          <w:sz w:val="20"/>
          <w:szCs w:val="20"/>
          <w:color w:val="auto"/>
        </w:rPr>
      </w:pPr>
    </w:p>
    <w:p>
      <w:pPr>
        <w:ind w:left="1140" w:right="240" w:hanging="368"/>
        <w:spacing w:after="0" w:line="282" w:lineRule="auto"/>
        <w:tabs>
          <w:tab w:leader="none" w:pos="11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multi-year, strategic collaborations with AstraZeneca and Pathos to work together to build a multimodal foundation model in oncology, which include $200.0 million in additional data licensing and model development fees to Tempus over the next 3 years.</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Ambry Genetics on February 3, 2025.</w:t>
      </w:r>
    </w:p>
    <w:p>
      <w:pPr>
        <w:spacing w:after="0" w:line="117" w:lineRule="exact"/>
        <w:rPr>
          <w:rFonts w:ascii="Times New Roman" w:cs="Times New Roman" w:eastAsia="Times New Roman" w:hAnsi="Times New Roman"/>
          <w:sz w:val="18"/>
          <w:szCs w:val="18"/>
          <w:color w:val="auto"/>
        </w:rPr>
      </w:pPr>
    </w:p>
    <w:p>
      <w:pPr>
        <w:ind w:left="1140" w:right="420" w:hanging="368"/>
        <w:spacing w:after="0" w:line="282" w:lineRule="auto"/>
        <w:tabs>
          <w:tab w:leader="none" w:pos="11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a collaboration with Illumina combining its AI technologies with Tempus’ comprehensive multimodal data platform to train genomic algorithms and accelerate clinical adoption of molecular testing.</w:t>
      </w:r>
    </w:p>
    <w:p>
      <w:pPr>
        <w:spacing w:after="0" w:line="53"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the acquisition of Deep 6 AI, broadening Tempus’s reach and enhancing applications like Next and TIME.</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olivia, an AI-enabled personal health concierge app for patients nationally.</w:t>
      </w:r>
    </w:p>
    <w:p>
      <w:pPr>
        <w:spacing w:after="0" w:line="117" w:lineRule="exact"/>
        <w:rPr>
          <w:rFonts w:ascii="Times New Roman" w:cs="Times New Roman" w:eastAsia="Times New Roman" w:hAnsi="Times New Roman"/>
          <w:sz w:val="18"/>
          <w:szCs w:val="18"/>
          <w:color w:val="auto"/>
        </w:rPr>
      </w:pPr>
    </w:p>
    <w:p>
      <w:pPr>
        <w:ind w:left="1140" w:hanging="36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Nationally launched xT CDx with ADLT pricing established at $4,500 per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6"/>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percentages and per</w:t>
            </w: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center"/>
              <w:ind w:left="677"/>
              <w:spacing w:after="0" w:line="149" w:lineRule="exact"/>
              <w:rPr>
                <w:sz w:val="20"/>
                <w:szCs w:val="20"/>
                <w:color w:val="auto"/>
              </w:rPr>
            </w:pPr>
            <w:r>
              <w:rPr>
                <w:rFonts w:ascii="Times New Roman" w:cs="Times New Roman" w:eastAsia="Times New Roman" w:hAnsi="Times New Roman"/>
                <w:sz w:val="14"/>
                <w:szCs w:val="14"/>
                <w:b w:val="1"/>
                <w:bCs w:val="1"/>
                <w:color w:val="auto"/>
              </w:rPr>
              <w:t>share amounts)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155,203</w:t>
            </w:r>
          </w:p>
        </w:tc>
        <w:tc>
          <w:tcPr>
            <w:tcW w:w="18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77,697</w:t>
            </w:r>
          </w:p>
        </w:tc>
        <w:tc>
          <w:tcPr>
            <w:tcW w:w="2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(68,689)</w:t>
            </w: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(53,274)</w:t>
            </w:r>
          </w:p>
        </w:tc>
        <w:tc>
          <w:tcPr>
            <w:tcW w:w="1540" w:type="dxa"/>
            <w:vAlign w:val="bottom"/>
            <w:gridSpan w:val="2"/>
            <w:shd w:val="clear" w:color="auto" w:fill="CFF0FC"/>
          </w:tcPr>
          <w:p>
            <w:pPr>
              <w:jc w:val="right"/>
              <w:ind w:right="180"/>
              <w:spacing w:after="0" w:line="216"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(25,777)</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(53,274)</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(64,743)</w:t>
            </w:r>
          </w:p>
        </w:tc>
        <w:tc>
          <w:tcPr>
            <w:tcW w:w="1540" w:type="dxa"/>
            <w:vAlign w:val="bottom"/>
            <w:gridSpan w:val="2"/>
            <w:shd w:val="clear" w:color="auto" w:fill="CFF0FC"/>
          </w:tcPr>
          <w:p>
            <w:pPr>
              <w:jc w:val="right"/>
              <w:ind w:right="180"/>
              <w:spacing w:after="0" w:line="216"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(16,174)</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(43,926)</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Not meaningful due to the impact of including stock compensation expense and related employer payroll taxes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and Guidance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Tempus now expects full year 2025 revenue of approximately $1.25 billion for the consolidated Tempus and Ambry Genetics business, which represents approximately 80% annual growth, and Adjusted EBITDA of $5 million for full year 2025, an improvement of approximately $110 million over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quarter, including a letter from our CEO and CFO, please visit our investors relations site at investors.tempus.com.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conference call and webcast will begin today, May 6, 2025 after market close at 4:30 p.m. Eastern Time. Interested parties may access details at: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Conference ID: 4680302</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Domestic Dial-in Number: (888) 672-2415</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International Dial-in Number: (646) 307-1952</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Live webcast: https://edge.media-server.com/mmc/p/b4nkd33c/</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webcast may be accessed on the company’s investor relations website at investors.tempus.com. For those unable to listen to the live webcast, a recording will be made available on the company’s website after the event and will be accessible for one year. Visit the investor relations website to find the company’s latest deck, and commentary on the quarter by Eric Lefkofsky, Founder and CEO and Jim Rogers, CFO, which will be discussed on the conference call and webcast.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Tempus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addition to the financial information presented in this release in accordance with accounting principles generally accepted in the United States of America (GAAP), Tempus also presents adjusted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Non-GAAP gross profit </w:t>
      </w:r>
      <w:r>
        <w:rPr>
          <w:rFonts w:ascii="Times New Roman" w:cs="Times New Roman" w:eastAsia="Times New Roman" w:hAnsi="Times New Roman"/>
          <w:sz w:val="18"/>
          <w:szCs w:val="18"/>
          <w:color w:val="auto"/>
        </w:rPr>
        <w:t>is defined as GAAP gross profit, excluding stock-based compensation expense and employer payroll tax related to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compensation (collectively, the “stock-based compensation adjustments”). </w:t>
      </w:r>
      <w:r>
        <w:rPr>
          <w:rFonts w:ascii="Times New Roman" w:cs="Times New Roman" w:eastAsia="Times New Roman" w:hAnsi="Times New Roman"/>
          <w:sz w:val="18"/>
          <w:szCs w:val="18"/>
          <w:b w:val="1"/>
          <w:bCs w:val="1"/>
          <w:color w:val="auto"/>
        </w:rPr>
        <w:t>Non-GAAP gross margin</w:t>
      </w:r>
      <w:r>
        <w:rPr>
          <w:rFonts w:ascii="Times New Roman" w:cs="Times New Roman" w:eastAsia="Times New Roman" w:hAnsi="Times New Roman"/>
          <w:sz w:val="18"/>
          <w:szCs w:val="18"/>
          <w:color w:val="auto"/>
        </w:rPr>
        <w:t xml:space="preserve"> is defined as gross profit, excluding the stock-based compensation adjustments, as a percentage of revenue. </w:t>
      </w:r>
      <w:r>
        <w:rPr>
          <w:rFonts w:ascii="Times New Roman" w:cs="Times New Roman" w:eastAsia="Times New Roman" w:hAnsi="Times New Roman"/>
          <w:sz w:val="18"/>
          <w:szCs w:val="18"/>
          <w:b w:val="1"/>
          <w:bCs w:val="1"/>
          <w:color w:val="auto"/>
        </w:rPr>
        <w:t>Non-GAAP operating expenses</w:t>
      </w:r>
      <w:r>
        <w:rPr>
          <w:rFonts w:ascii="Times New Roman" w:cs="Times New Roman" w:eastAsia="Times New Roman" w:hAnsi="Times New Roman"/>
          <w:sz w:val="18"/>
          <w:szCs w:val="18"/>
          <w:color w:val="auto"/>
        </w:rPr>
        <w:t xml:space="preserve"> are calculated as the sum of technology research and development expense, research and development expense, and selling, general and administrative expense, excluding the stock-based compensation adjustments,acquisition-related expenses, and amortization of intangibles due to acquisition. </w:t>
      </w:r>
      <w:r>
        <w:rPr>
          <w:rFonts w:ascii="Times New Roman" w:cs="Times New Roman" w:eastAsia="Times New Roman" w:hAnsi="Times New Roman"/>
          <w:sz w:val="18"/>
          <w:szCs w:val="18"/>
          <w:b w:val="1"/>
          <w:bCs w:val="1"/>
          <w:color w:val="auto"/>
        </w:rPr>
        <w:t>Non-GAAP loss from operations</w:t>
      </w:r>
      <w:r>
        <w:rPr>
          <w:rFonts w:ascii="Times New Roman" w:cs="Times New Roman" w:eastAsia="Times New Roman" w:hAnsi="Times New Roman"/>
          <w:sz w:val="18"/>
          <w:szCs w:val="18"/>
          <w:color w:val="auto"/>
        </w:rPr>
        <w:t xml:space="preserve"> is defined as loss from operations, adjusted to exclude (i) stock-based compensation expense, (ii) employer payroll tax related to stock-based compensation expense, (iii) acquisition-related expenses, and (iv) amortization of intangibles due to acquisition. </w:t>
      </w:r>
      <w:r>
        <w:rPr>
          <w:rFonts w:ascii="Times New Roman" w:cs="Times New Roman" w:eastAsia="Times New Roman" w:hAnsi="Times New Roman"/>
          <w:sz w:val="18"/>
          <w:szCs w:val="18"/>
          <w:b w:val="1"/>
          <w:bCs w:val="1"/>
          <w:color w:val="auto"/>
        </w:rPr>
        <w:t>Non-GAAP net loss</w:t>
      </w:r>
      <w:r>
        <w:rPr>
          <w:rFonts w:ascii="Times New Roman" w:cs="Times New Roman" w:eastAsia="Times New Roman" w:hAnsi="Times New Roman"/>
          <w:sz w:val="18"/>
          <w:szCs w:val="18"/>
          <w:color w:val="auto"/>
        </w:rPr>
        <w:t xml:space="preserve"> is defined as net loss, adjusted to exclude (i) changes in fair value of our warrant liability, warrant asset, marketable equity securities, contingent consideration liabilities and indemnity-related holdback liabilities, (ii) stock-based compensation expense, (iii) employer payroll tax related to stock-based compensation expense, (iv) acquisition-related expenses,</w:t>
      </w:r>
    </w:p>
    <w:p>
      <w:pPr>
        <w:spacing w:after="0" w:line="3" w:lineRule="exact"/>
        <w:rPr>
          <w:sz w:val="20"/>
          <w:szCs w:val="20"/>
          <w:color w:val="auto"/>
        </w:rPr>
      </w:pPr>
    </w:p>
    <w:p>
      <w:pPr>
        <w:ind w:right="140"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amortization of intangibles due to acquisition, (vi) losses on equity method investments, (vii) (benefit from) provision for income taxes, and (viii) amortization of deferred other income from our IP License Agreement with SB Tempus. </w:t>
      </w:r>
      <w:r>
        <w:rPr>
          <w:rFonts w:ascii="Times New Roman" w:cs="Times New Roman" w:eastAsia="Times New Roman" w:hAnsi="Times New Roman"/>
          <w:sz w:val="18"/>
          <w:szCs w:val="18"/>
          <w:b w:val="1"/>
          <w:bCs w:val="1"/>
          <w:color w:val="auto"/>
        </w:rPr>
        <w:t>Non-GAAP net loss per share</w:t>
      </w:r>
      <w:r>
        <w:rPr>
          <w:rFonts w:ascii="Times New Roman" w:cs="Times New Roman" w:eastAsia="Times New Roman" w:hAnsi="Times New Roman"/>
          <w:sz w:val="18"/>
          <w:szCs w:val="18"/>
          <w:color w:val="auto"/>
        </w:rPr>
        <w:t xml:space="preserve"> is defined as non-GAAP net loss divided by weighted average common shares outstanding, basic and diluted.</w:t>
      </w:r>
    </w:p>
    <w:p>
      <w:pPr>
        <w:spacing w:after="0" w:line="182"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is defined as net loss, adjusted to exclude (i) interest income, (ii) interest expense, (iii) depreciation and amortization, (iv)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provision for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acquisition related expenses, and (x) amortization of deferred other income from our IP License Agreement with SB Tempus.</w:t>
      </w:r>
    </w:p>
    <w:p>
      <w:pPr>
        <w:spacing w:after="0" w:line="18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Tempus does not provide guidance for net loss, the most directly comparable GAAP measure to EBITDA and Adjusted EBITDA, and similarly cannot provide a reconciliation between Tempus’ forecasted Adjusted EBITDA and net loss without unreasonable effort due to the unavailability of reliable estimates for certain components of net income (loss) and the respective reconciliations. These forecasted items are not within Tempus’ control, may vary greatly between periods, and could significantly impact future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Key Metrics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Remaining Contract Value (TCV) </w:t>
      </w:r>
      <w:r>
        <w:rPr>
          <w:rFonts w:ascii="Times New Roman" w:cs="Times New Roman" w:eastAsia="Times New Roman" w:hAnsi="Times New Roman"/>
          <w:sz w:val="18"/>
          <w:szCs w:val="18"/>
          <w:color w:val="auto"/>
        </w:rPr>
        <w:t>is equal to the total potential value of signed contracts and assumes the exercise of all contract options,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discretionary opt-ins, and no early termination. Remaining TCV excludes any revenue recognized to date on these contracts or any future adjustments made to the contractual value as a result of amendments or terminations.</w:t>
      </w:r>
    </w:p>
    <w:p>
      <w:pPr>
        <w:spacing w:after="0" w:line="17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compares the annual Insights product revenue generated from all customers that made an Insights purchase in one year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Insights product revenue generated from the same cohort of customers in the subsequent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as amended, about Tempus and its industry that involve substantial risks and uncertainties. All statements other than statements of historical facts contained in this press release are forward-looking statements, including, but not limited to, Tempus’ expected financial results for full year 2025; the expectation that the collaborations with AstraZeneca and Pathos AI will result in the largest multimodal foundation model in oncology; and whether investments in AI will transform what is possible in diagnostics and research.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spacing w:after="0" w:line="19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t>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including Tempus’ ability to realize the expected benefits of the acquisition of Ambry Genetics and Deep 6 AI; the potential adverse impact of climate change, natural disasters, health epidemics, macroeconomic conditions, and war or other armed conflict, as well as risks, uncertainties, and other factors described in the section titled “Risk Factors” in Tempus’ Form 10-K for the year ended December 31, 2024, filed with the Securities and Exchange Commission (“the SEC”) on February 24, 2025, as well as in other filings Tempus may make with the SEC in the future.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Carron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media@tempus.com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Krutoholow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Elizabeth.krutoholow@tempus.com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Tempus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Genomics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193,804</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Data and services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324,426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(68,689)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(53,274)</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(27,455)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benefit from (provision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(112,334)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(64,732)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(93,056)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170,506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0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(63,439)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(64,799)</w:t>
            </w:r>
          </w:p>
        </w:tc>
        <w:tc>
          <w:tcPr>
            <w:tcW w:w="0" w:type="dxa"/>
            <w:vAlign w:val="bottom"/>
          </w:tcPr>
          <w:p>
            <w:pPr>
              <w:spacing w:after="0"/>
              <w:rPr>
                <w:sz w:val="1"/>
                <w:szCs w:val="1"/>
                <w:color w:val="auto"/>
              </w:rPr>
            </w:pPr>
          </w:p>
        </w:tc>
      </w:tr>
      <w:tr>
        <w:trPr>
          <w:trHeight w:val="972"/>
        </w:trPr>
        <w:tc>
          <w:tcPr>
            <w:tcW w:w="7700" w:type="dxa"/>
            <w:vAlign w:val="bottom"/>
            <w:tcBorders>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-4293870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-4293870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-3188335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-3188335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-2622550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-2622550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-2056765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-2039620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-2039620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-1756410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-1756410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-788035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-788035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151,603</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340,954</w:t>
            </w: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$1,477 and $1,141 at March 31, 2025 and December 31,</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154,819</w:t>
            </w:r>
          </w:p>
        </w:tc>
        <w:tc>
          <w:tcPr>
            <w:tcW w:w="100" w:type="dxa"/>
            <w:vAlign w:val="bottom"/>
          </w:tcPr>
          <w:p>
            <w:pPr>
              <w:spacing w:after="0"/>
              <w:rPr>
                <w:sz w:val="20"/>
                <w:szCs w:val="20"/>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67,183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573,970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667,603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93,536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1,543,137</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equity</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75,981</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other income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336,470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291,070</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168,192</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267,244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other income, less current portion</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8"/>
                <w:szCs w:val="18"/>
                <w:color w:val="auto"/>
              </w:rPr>
            </w:pPr>
          </w:p>
        </w:tc>
      </w:tr>
      <w:tr>
        <w:trPr>
          <w:trHeight w:val="24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1,216,943</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100" w:type="dxa"/>
            <w:vAlign w:val="bottom"/>
            <w:shd w:val="clear" w:color="auto" w:fill="CFF0FC"/>
          </w:tcPr>
          <w:p>
            <w:pPr>
              <w:spacing w:after="0"/>
              <w:rPr>
                <w:sz w:val="21"/>
                <w:szCs w:val="21"/>
                <w:color w:val="auto"/>
              </w:rPr>
            </w:pPr>
          </w:p>
        </w:tc>
      </w:tr>
      <w:tr>
        <w:trPr>
          <w:trHeight w:val="960"/>
        </w:trPr>
        <w:tc>
          <w:tcPr>
            <w:tcW w:w="790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5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-4697095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-3590925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-2047875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-659765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-642620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9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Convertible redeemable preferred stock, $0.0001 par value, 20,000,000 shares authorized at March 31,</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2025 and December 31, 2024, respectively, no shares issued and outstanding at March 31, 2025 and</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2024; aggregate liquidation preference of $0 at March 31, 2025 and December 31, 2024,</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9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Voting Common Stock, $0.0001 par value, 1,000,000,000 shares authorized at March 31, 2025</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December 31, 2024, respectively; 167,989,074 and 157,076,972 shares issued and outstanding at</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0"/>
                <w:szCs w:val="20"/>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B Voting Common Stock, $0.0001 par value, 5,500,000 shares authorized at March 31, 2025 and</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2024, respectively; 5,043,789 issued and outstanding at March 31, 2025 and December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2024, respectively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198"/>
        </w:trPr>
        <w:tc>
          <w:tcPr>
            <w:tcW w:w="79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no shares authorized at March 31, 2025 and December</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31, 2024, respectively; no shares issued and outstanding at March 31, 2025, and December 31, 2024,</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145,466 shares at March 31, 2025 and December 31, 2024, at cost</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(3,602)</w:t>
            </w:r>
          </w:p>
        </w:tc>
        <w:tc>
          <w:tcPr>
            <w:tcW w:w="4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(3,602)</w:t>
            </w: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2,543,957</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2,210,664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(2,218,871)</w:t>
            </w:r>
          </w:p>
        </w:tc>
        <w:tc>
          <w:tcPr>
            <w:tcW w:w="4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(2,150,834)</w:t>
            </w:r>
          </w:p>
        </w:tc>
      </w:tr>
      <w:tr>
        <w:trPr>
          <w:trHeight w:val="209"/>
        </w:trPr>
        <w:tc>
          <w:tcPr>
            <w:tcW w:w="7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326,194</w:t>
            </w: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56,339</w:t>
            </w:r>
          </w:p>
        </w:tc>
        <w:tc>
          <w:tcPr>
            <w:tcW w:w="100" w:type="dxa"/>
            <w:vAlign w:val="bottom"/>
            <w:tcBorders>
              <w:top w:val="single" w:sz="8" w:color="CFF0FC"/>
            </w:tcBorders>
          </w:tcPr>
          <w:p>
            <w:pPr>
              <w:spacing w:after="0"/>
              <w:rPr>
                <w:sz w:val="18"/>
                <w:szCs w:val="18"/>
                <w:color w:val="auto"/>
              </w:rPr>
            </w:pPr>
          </w:p>
        </w:tc>
      </w:tr>
      <w:tr>
        <w:trPr>
          <w:trHeight w:val="24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equity</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1,543,137</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960"/>
        </w:trPr>
        <w:tc>
          <w:tcPr>
            <w:tcW w:w="7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-950595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-659765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-642620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9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(68,037)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(64,743)</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marketable equity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(6,246)</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(46,216)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holdback liability</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18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(45,175)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(13,552)</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(5,729)</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(12,057)</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(15,974)</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Deferred other income</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(27,606)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(2,353)</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r>
      <w:tr>
        <w:trPr>
          <w:trHeight w:val="20"/>
        </w:trPr>
        <w:tc>
          <w:tcPr>
            <w:tcW w:w="9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(105,624)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(101,378)</w:t>
            </w:r>
          </w:p>
        </w:tc>
      </w:tr>
      <w:tr>
        <w:trPr>
          <w:trHeight w:val="210"/>
        </w:trPr>
        <w:tc>
          <w:tcPr>
            <w:tcW w:w="9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(6,108)</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4)</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(380,762)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capitalized software</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(375,818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00" w:type="dxa"/>
            <w:vAlign w:val="bottom"/>
          </w:tcPr>
          <w:p>
            <w:pPr>
              <w:spacing w:after="0"/>
              <w:rPr>
                <w:sz w:val="18"/>
                <w:szCs w:val="18"/>
                <w:color w:val="auto"/>
              </w:rPr>
            </w:pPr>
          </w:p>
        </w:tc>
      </w:tr>
      <w:tr>
        <w:trPr>
          <w:trHeight w:val="973"/>
        </w:trPr>
        <w:tc>
          <w:tcPr>
            <w:tcW w:w="9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-1765300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6344285</wp:posOffset>
            </wp:positionH>
            <wp:positionV relativeFrom="paragraph">
              <wp:posOffset>-800735</wp:posOffset>
            </wp:positionV>
            <wp:extent cx="10287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-800735</wp:posOffset>
            </wp:positionV>
            <wp:extent cx="939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revolving credit facility, net of original issue discount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09"/>
        </w:trPr>
        <w:tc>
          <w:tcPr>
            <w:tcW w:w="910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9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(188,509)</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166,607</w:t>
            </w:r>
          </w:p>
        </w:tc>
        <w:tc>
          <w:tcPr>
            <w:tcW w:w="100" w:type="dxa"/>
            <w:vAlign w:val="bottom"/>
          </w:tcPr>
          <w:p>
            <w:pPr>
              <w:spacing w:after="0"/>
              <w:rPr>
                <w:sz w:val="18"/>
                <w:szCs w:val="18"/>
                <w:color w:val="auto"/>
              </w:rPr>
            </w:pPr>
          </w:p>
        </w:tc>
      </w:tr>
      <w:tr>
        <w:trPr>
          <w:trHeight w:val="249"/>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153,326</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00" w:type="dxa"/>
            <w:vAlign w:val="bottom"/>
            <w:shd w:val="clear" w:color="auto" w:fill="CFF0FC"/>
          </w:tcPr>
          <w:p>
            <w:pPr>
              <w:spacing w:after="0"/>
              <w:rPr>
                <w:sz w:val="21"/>
                <w:szCs w:val="21"/>
                <w:color w:val="auto"/>
              </w:rPr>
            </w:pPr>
          </w:p>
        </w:tc>
      </w:tr>
      <w:tr>
        <w:trPr>
          <w:trHeight w:val="413"/>
        </w:trPr>
        <w:tc>
          <w:tcPr>
            <w:tcW w:w="9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79,942</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8"/>
                <w:szCs w:val="18"/>
                <w:color w:val="auto"/>
              </w:rPr>
            </w:pPr>
          </w:p>
        </w:tc>
      </w:tr>
      <w:tr>
        <w:trPr>
          <w:trHeight w:val="250"/>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153,326</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00" w:type="dxa"/>
            <w:vAlign w:val="bottom"/>
            <w:shd w:val="clear" w:color="auto" w:fill="CFF0FC"/>
          </w:tcPr>
          <w:p>
            <w:pPr>
              <w:spacing w:after="0"/>
              <w:rPr>
                <w:sz w:val="21"/>
                <w:szCs w:val="21"/>
                <w:color w:val="auto"/>
              </w:rPr>
            </w:pPr>
          </w:p>
        </w:tc>
      </w:tr>
      <w:tr>
        <w:trPr>
          <w:trHeight w:val="413"/>
        </w:trPr>
        <w:tc>
          <w:tcPr>
            <w:tcW w:w="9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shd w:val="clear" w:color="auto" w:fill="CFF0FC"/>
          </w:tcPr>
          <w:p>
            <w:pPr>
              <w:spacing w:after="0"/>
              <w:rPr>
                <w:sz w:val="20"/>
                <w:szCs w:val="20"/>
                <w:color w:val="auto"/>
              </w:rPr>
            </w:pPr>
          </w:p>
        </w:tc>
      </w:tr>
      <w:tr>
        <w:trPr>
          <w:trHeight w:val="20"/>
        </w:trPr>
        <w:tc>
          <w:tcPr>
            <w:tcW w:w="9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91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1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7,003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FF0FC"/>
          </w:tcPr>
          <w:p>
            <w:pPr>
              <w:spacing w:after="0"/>
              <w:rPr>
                <w:sz w:val="18"/>
                <w:szCs w:val="18"/>
                <w:color w:val="auto"/>
              </w:rPr>
            </w:pPr>
          </w:p>
        </w:tc>
      </w:tr>
      <w:tr>
        <w:trPr>
          <w:trHeight w:val="20"/>
        </w:trPr>
        <w:tc>
          <w:tcPr>
            <w:tcW w:w="9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91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4,071</w:t>
            </w:r>
          </w:p>
        </w:tc>
        <w:tc>
          <w:tcPr>
            <w:tcW w:w="100" w:type="dxa"/>
            <w:vAlign w:val="bottom"/>
          </w:tcPr>
          <w:p>
            <w:pPr>
              <w:spacing w:after="0"/>
              <w:rPr>
                <w:sz w:val="17"/>
                <w:szCs w:val="17"/>
                <w:color w:val="auto"/>
              </w:rPr>
            </w:pPr>
          </w:p>
        </w:tc>
      </w:tr>
      <w:tr>
        <w:trPr>
          <w:trHeight w:val="20"/>
        </w:trPr>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91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Redemption of convertible promissory note</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7,060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6,391</w:t>
            </w:r>
          </w:p>
        </w:tc>
        <w:tc>
          <w:tcPr>
            <w:tcW w:w="100" w:type="dxa"/>
            <w:vAlign w:val="bottom"/>
            <w:shd w:val="clear" w:color="auto" w:fill="CFF0FC"/>
          </w:tcPr>
          <w:p>
            <w:pPr>
              <w:spacing w:after="0"/>
              <w:rPr>
                <w:sz w:val="18"/>
                <w:szCs w:val="18"/>
                <w:color w:val="auto"/>
              </w:rPr>
            </w:pPr>
          </w:p>
        </w:tc>
      </w:tr>
      <w:tr>
        <w:trPr>
          <w:trHeight w:val="20"/>
        </w:trPr>
        <w:tc>
          <w:tcPr>
            <w:tcW w:w="9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91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7"/>
                <w:szCs w:val="17"/>
                <w:color w:val="auto"/>
              </w:rPr>
            </w:pPr>
          </w:p>
        </w:tc>
      </w:tr>
      <w:tr>
        <w:trPr>
          <w:trHeight w:val="20"/>
        </w:trPr>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91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Class A Voting Common Stock issued in connection with business combinations</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310,320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91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Issuance of Series G-3 Preferred Stock</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3,809</w:t>
            </w:r>
          </w:p>
        </w:tc>
        <w:tc>
          <w:tcPr>
            <w:tcW w:w="100" w:type="dxa"/>
            <w:vAlign w:val="bottom"/>
          </w:tcPr>
          <w:p>
            <w:pPr>
              <w:spacing w:after="0"/>
              <w:rPr>
                <w:sz w:val="17"/>
                <w:szCs w:val="17"/>
                <w:color w:val="auto"/>
              </w:rPr>
            </w:pPr>
          </w:p>
        </w:tc>
      </w:tr>
      <w:tr>
        <w:trPr>
          <w:trHeight w:val="20"/>
        </w:trPr>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1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Issuance of Series G-4 Preferred Stock</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18"/>
                <w:szCs w:val="18"/>
                <w:color w:val="auto"/>
              </w:rPr>
            </w:pPr>
          </w:p>
        </w:tc>
      </w:tr>
      <w:tr>
        <w:trPr>
          <w:trHeight w:val="20"/>
        </w:trPr>
        <w:tc>
          <w:tcPr>
            <w:tcW w:w="9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91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Convertible promissory note principal reset due to amendment</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72,488</w:t>
            </w:r>
          </w:p>
        </w:tc>
        <w:tc>
          <w:tcPr>
            <w:tcW w:w="140" w:type="dxa"/>
            <w:vAlign w:val="bottom"/>
          </w:tcPr>
          <w:p>
            <w:pPr>
              <w:spacing w:after="0"/>
              <w:rPr>
                <w:sz w:val="17"/>
                <w:szCs w:val="17"/>
                <w:color w:val="auto"/>
              </w:rPr>
            </w:pPr>
          </w:p>
        </w:tc>
        <w:tc>
          <w:tcPr>
            <w:tcW w:w="28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9"/>
        </w:trPr>
        <w:tc>
          <w:tcPr>
            <w:tcW w:w="9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6344285</wp:posOffset>
            </wp:positionH>
            <wp:positionV relativeFrom="paragraph">
              <wp:posOffset>-4589780</wp:posOffset>
            </wp:positionV>
            <wp:extent cx="10287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-4589780</wp:posOffset>
            </wp:positionV>
            <wp:extent cx="939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-3719830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-3702685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-2999740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-2982595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-2562225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-2545080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-1799590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-1782445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-1473835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-1456690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-1148080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-1130935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-822325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-805180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Genomics Gross Profit &amp; Gross Margin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Genomics revenue</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193,804</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3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genomics</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109,021</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Non-GAAP gross profit, genomics</w:t>
            </w:r>
          </w:p>
        </w:tc>
        <w:tc>
          <w:tcPr>
            <w:tcW w:w="92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110,104</w:t>
            </w:r>
          </w:p>
        </w:tc>
        <w:tc>
          <w:tcPr>
            <w:tcW w:w="38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Genomics gross margin</w:t>
            </w:r>
          </w:p>
        </w:tc>
        <w:tc>
          <w:tcPr>
            <w:tcW w:w="9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56.3%</w:t>
            </w: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9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genomics</w:t>
            </w:r>
          </w:p>
        </w:tc>
        <w:tc>
          <w:tcPr>
            <w:tcW w:w="9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9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 Gross Profit &amp; Gross Margin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Data and services revenue</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3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data and services</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46,182</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Non-GAAP gross profit, data and services</w:t>
            </w:r>
          </w:p>
        </w:tc>
        <w:tc>
          <w:tcPr>
            <w:tcW w:w="92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46,837</w:t>
            </w:r>
          </w:p>
        </w:tc>
        <w:tc>
          <w:tcPr>
            <w:tcW w:w="38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margin, data and services</w:t>
            </w:r>
          </w:p>
        </w:tc>
        <w:tc>
          <w:tcPr>
            <w:tcW w:w="9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74.6%</w:t>
            </w: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9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data and services</w:t>
            </w:r>
          </w:p>
        </w:tc>
        <w:tc>
          <w:tcPr>
            <w:tcW w:w="9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9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Gross Profit &amp; Gross Margin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0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100,534</w:t>
            </w:r>
          </w:p>
        </w:tc>
        <w:tc>
          <w:tcPr>
            <w:tcW w:w="3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155,203</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77,697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92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156,940</w:t>
            </w:r>
          </w:p>
        </w:tc>
        <w:tc>
          <w:tcPr>
            <w:tcW w:w="38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77,697</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60.7%</w:t>
            </w: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9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9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9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7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-5588635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-5588635</wp:posOffset>
            </wp:positionV>
            <wp:extent cx="1117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-5005705</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-5005705</wp:posOffset>
            </wp:positionV>
            <wp:extent cx="111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-3488055</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-3488055</wp:posOffset>
            </wp:positionV>
            <wp:extent cx="1117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-2905125</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-2905125</wp:posOffset>
            </wp:positionV>
            <wp:extent cx="111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-1388110</wp:posOffset>
            </wp:positionV>
            <wp:extent cx="111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-1388110</wp:posOffset>
            </wp:positionV>
            <wp:extent cx="1117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-805180</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-805180</wp:posOffset>
            </wp:positionV>
            <wp:extent cx="1117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0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Non-GAAP technology research and development</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160" w:type="dxa"/>
            <w:vAlign w:val="bottom"/>
          </w:tcPr>
          <w:p>
            <w:pPr>
              <w:spacing w:after="0"/>
              <w:rPr>
                <w:sz w:val="18"/>
                <w:szCs w:val="18"/>
                <w:color w:val="auto"/>
              </w:rPr>
            </w:pPr>
          </w:p>
        </w:tc>
        <w:tc>
          <w:tcPr>
            <w:tcW w:w="1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gridSpan w:val="2"/>
            <w:shd w:val="clear" w:color="auto" w:fill="CFF0FC"/>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35,874</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33,716</w:t>
            </w:r>
          </w:p>
        </w:tc>
        <w:tc>
          <w:tcPr>
            <w:tcW w:w="160" w:type="dxa"/>
            <w:vAlign w:val="bottom"/>
          </w:tcPr>
          <w:p>
            <w:pPr>
              <w:spacing w:after="0"/>
              <w:rPr>
                <w:sz w:val="18"/>
                <w:szCs w:val="18"/>
                <w:color w:val="auto"/>
              </w:rPr>
            </w:pPr>
          </w:p>
        </w:tc>
        <w:tc>
          <w:tcPr>
            <w:tcW w:w="1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gridSpan w:val="2"/>
            <w:shd w:val="clear" w:color="auto" w:fill="CFF0FC"/>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154,627</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79,564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due to acquisition</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Non-GAAP selling, general and administrative</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119,190</w:t>
            </w:r>
          </w:p>
        </w:tc>
        <w:tc>
          <w:tcPr>
            <w:tcW w:w="160" w:type="dxa"/>
            <w:vAlign w:val="bottom"/>
          </w:tcPr>
          <w:p>
            <w:pPr>
              <w:spacing w:after="0"/>
              <w:rPr>
                <w:sz w:val="18"/>
                <w:szCs w:val="18"/>
                <w:color w:val="auto"/>
              </w:rPr>
            </w:pPr>
          </w:p>
        </w:tc>
        <w:tc>
          <w:tcPr>
            <w:tcW w:w="1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gridSpan w:val="2"/>
            <w:shd w:val="clear" w:color="auto" w:fill="CFF0FC"/>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223,892</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130,971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due to acquisition</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182,717</w:t>
            </w:r>
          </w:p>
        </w:tc>
        <w:tc>
          <w:tcPr>
            <w:tcW w:w="160" w:type="dxa"/>
            <w:vAlign w:val="bottom"/>
          </w:tcPr>
          <w:p>
            <w:pPr>
              <w:spacing w:after="0"/>
              <w:rPr>
                <w:sz w:val="18"/>
                <w:szCs w:val="18"/>
                <w:color w:val="auto"/>
              </w:rPr>
            </w:pPr>
          </w:p>
        </w:tc>
        <w:tc>
          <w:tcPr>
            <w:tcW w:w="1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130,971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10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16"/>
        </w:trPr>
        <w:tc>
          <w:tcPr>
            <w:tcW w:w="7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 due to acquisition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Losses on equity method investments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(46,180)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(3,989)</w:t>
            </w:r>
          </w:p>
        </w:tc>
        <w:tc>
          <w:tcPr>
            <w:tcW w:w="140" w:type="dxa"/>
            <w:vAlign w:val="bottom"/>
            <w:tcBorders>
              <w:right w:val="single" w:sz="8" w:color="CFF0FC"/>
            </w:tcBorders>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(41,561)</w:t>
            </w:r>
          </w:p>
        </w:tc>
        <w:tc>
          <w:tcPr>
            <w:tcW w:w="10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(65,322)</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loss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10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-4834255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-4834255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-4251325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-4251325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-3394075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-3394075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-2536825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-445135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520" w:right="600" w:hanging="512"/>
        <w:spacing w:after="0" w:line="261" w:lineRule="auto"/>
        <w:tabs>
          <w:tab w:leader="none" w:pos="371"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p>
      <w:pPr>
        <w:ind w:left="520" w:right="100" w:hanging="512"/>
        <w:spacing w:after="0" w:line="260" w:lineRule="auto"/>
        <w:tabs>
          <w:tab w:leader="none" w:pos="371"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Acquisition related expenses consist of legal, diligence, accounting, and financing costs incurred for the acquisitions of Ambry and Deep 6 during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10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(46,180)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(77,674)</w:t>
            </w:r>
          </w:p>
        </w:tc>
        <w:tc>
          <w:tcPr>
            <w:tcW w:w="10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(43,336)</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on equity method investments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(2)</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(16,174)</w:t>
            </w:r>
          </w:p>
        </w:tc>
        <w:tc>
          <w:tcPr>
            <w:tcW w:w="10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(43,926)</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00" w:hanging="148"/>
        <w:spacing w:after="0" w:line="261" w:lineRule="auto"/>
        <w:rPr>
          <w:sz w:val="20"/>
          <w:szCs w:val="20"/>
          <w:color w:val="auto"/>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liabilities. </w:t>
      </w:r>
    </w:p>
    <w:p>
      <w:pPr>
        <w:ind w:right="100" w:hanging="148"/>
        <w:spacing w:after="0" w:line="260" w:lineRule="auto"/>
        <w:rPr>
          <w:sz w:val="20"/>
          <w:szCs w:val="20"/>
          <w:color w:val="auto"/>
        </w:rPr>
      </w:pPr>
      <w:r>
        <w:rPr>
          <w:rFonts w:ascii="Times New Roman" w:cs="Times New Roman" w:eastAsia="Times New Roman" w:hAnsi="Times New Roman"/>
          <w:sz w:val="18"/>
          <w:szCs w:val="18"/>
          <w:color w:val="auto"/>
        </w:rPr>
        <w:t>Acquisition related expenses consist of legal, diligence, accounting, and financing costs incurred for the acquisitions of Ambry and Deep 6 during the three months ended March 31, 2025.</w:t>
      </w:r>
    </w:p>
    <w:p>
      <w:pPr>
        <w:spacing w:after="0" w:line="177" w:lineRule="exact"/>
        <w:rPr>
          <w:sz w:val="20"/>
          <w:szCs w:val="20"/>
          <w:color w:val="auto"/>
        </w:rPr>
      </w:pPr>
    </w:p>
    <w:p>
      <w:pPr>
        <w:sectPr>
          <w:pgSz w:w="11900" w:h="16838" w:orient="portrait"/>
          <w:cols w:equalWidth="0" w:num="2">
            <w:col w:w="120" w:space="400"/>
            <w:col w:w="1072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(68,689)</w:t>
            </w:r>
          </w:p>
        </w:tc>
        <w:tc>
          <w:tcPr>
            <w:tcW w:w="10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(1)</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intangibles due to acquisition</w:t>
            </w:r>
          </w:p>
        </w:tc>
        <w:tc>
          <w:tcPr>
            <w:tcW w:w="1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(25,777)</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(53,274)</w:t>
            </w:r>
          </w:p>
        </w:tc>
      </w:tr>
      <w:tr>
        <w:trPr>
          <w:trHeight w:val="20"/>
        </w:trPr>
        <w:tc>
          <w:tcPr>
            <w:tcW w:w="7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520" w:right="100" w:hanging="512"/>
        <w:spacing w:after="0" w:line="282" w:lineRule="auto"/>
        <w:tabs>
          <w:tab w:leader="none" w:pos="371"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Acquisition related expenses consist of legal, diligence, accounting, and financing costs incurred for the acquisitions of Ambry and Deep 6 during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Roman"/>
      <w:start w:val="5"/>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2025-05-06T15:15:08Z</dcterms:created>
  <dcterms:modified xsi:type="dcterms:W3CDTF">2025-05-06T15:15:08Z</dcterms:modified>
</cp:coreProperties>
</file>