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001-42130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47-4903308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600 West Chicago Avenue</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510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Chicago, Illinois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60654</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Tempus AI, Inc. (the “Company”) issued a press release regarding its preliminary financial results for the quarter ended and full year ended December 31, 2024. A copy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13, 2025, the Company has made an updated corporate presentation available on its investor relations website at http://investors.tempus.com. The presentation may be used at conferences and investor meetings.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Tempus AI, Inc. dated January 13,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2025</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Rogers</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Announces Preliminary Fourth Quarter and Full Year 2024 Results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CHICAGO, January 13, 2025 </w:t>
      </w:r>
      <w:r>
        <w:rPr>
          <w:rFonts w:ascii="Times New Roman" w:cs="Times New Roman" w:eastAsia="Times New Roman" w:hAnsi="Times New Roman"/>
          <w:sz w:val="18"/>
          <w:szCs w:val="18"/>
          <w:color w:val="auto"/>
        </w:rPr>
        <w:t>– Tempus AI, Inc. (NASDAQ: TEM), a technology company leading the adoption of AI to advance precision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patient care, today announced select, preliminary, unaudited results for the fourth quarter and full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2024 Select, Preliminary, Unaudited Financial Results</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$693 million, representing approximately 30% growth year-over-year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improvement in adjusted EBITDA compared to the prior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2024 Select, Preliminary, Unaudited Financial Results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$200 million, an increase of approximately 35% year-over-year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trend of sequential improvement in adjusted EBITDA in the fourth quarter of 2024</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concluded 2024 with continued strength in our core businesses, as genomics revenue is expected to grow at ~30% in Q4 and our data and services revenue is expected to grow at ~45%, such that we expect to deliver ~99% of our revenue guidance for 2024 and ~100% of our adjusted EBITDA guidance,” said Eric Lefkofsky, Founder and CEO of Tempus. “Despite some softness in our CRO revenues, our core businesses gained momentum throughout the year.”</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announcement comes ahead of the Company’s presentation today at the 43rd Annual J.P. Morgan Healthcare Conference. A live webcast to the presentation and our updated investor deck, which includes an update on the expected closing of our Ambry acquisition, can be found on our investor relations website at investors.tempus.com.</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Tempus has not completed preparation of its financial statements for the fourth quarter or full year 2024. The estimates disclosed in this release for the fourth quarter and year ended December 31, 2024, are preliminary, and unaudited and inherently uncertain, and therefore subject to change as Tempus completes preparation of its financial results for these periods. Tempus is in the process of completing its customary year-end close and review procedures for the quarter and year ended December 31, 2024, and there can be no assurance that final results for these periods will not differ from these estimates, and any such difference may be material. During the preparation of Tempus’ consolidated financial statements for the year ended December 31, 2024, Tempus or its independent registered public accountants may identify items that could cause final reported results to be materially different from the preliminary financial estimates presented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plans to report its complete fourth quarter and full year 2024 financial results during its first earnings call of 2025.</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Tempus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the financial information presented in this release in accordance with accounting principles generally accepted in the United States of America (GAAP), Tempus also presents the non-GAAP financial measure Adjusted EBITDA. Adjusted EBITDA is defined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the payment of $2.3 million of our Series G-4 convertible preferred stock in connection with the initial public offering, and (x) amortization of deferred other income from our IP License Agreement with SB Tempus.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Tempus believes this non-GAAP financial measure is useful to investors and others because it allows for additional information with respect to financial measures used by management in its financial and operational decision-making and it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Adjusted EBITDA should be considered in addition to, not as a substitute for or in isolation from, net loss, the most comparable GAAP measure. Other companies, including companies in our industry, may calculate this non-GAAP financial measure differently or not at all, which reduces its usefulness as a comparative measure.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about Tempus and Tempus’ industry that involve substantial risks and uncertainties. All statements other than statements of historical facts contained in this press release are forward-looking statements, including, but not limited to,</w:t>
      </w:r>
    </w:p>
    <w:p>
      <w:pPr>
        <w:sectPr>
          <w:pgSz w:w="11900" w:h="16838" w:orient="portrait"/>
          <w:cols w:equalWidth="0" w:num="1">
            <w:col w:w="10980"/>
          </w:cols>
          <w:pgMar w:left="440" w:top="266" w:right="479" w:bottom="1440" w:gutter="0" w:footer="0" w:header="0"/>
        </w:sectPr>
      </w:pPr>
    </w:p>
    <w:bookmarkStart w:id="5" w:name="page6"/>
    <w:bookmarkEnd w:id="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Tempus’ preliminary, unaudited financial results for fourth quarter and full year 2024; Tempus’ expected financial results for full year 2025; the contributions of Tempus’ research and findings to the larger scientific community, the use of Tempus’ products and services to advance clinical care for patients, and the pending acquisition of Ambry.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our ability to consummate the acquisition of Ambry Genetics and the related financing on the terms described herein or at all and, if consummated, to realize the expected benefits of such acquisition; the potential adverse impact of climate change, natural disasters, health epidemics, macroeconomic conditions, and war or other armed conflict, as well as risks, uncertainties, and other factors described in the section titled “Risk Factors” in Tempus’ Form 10-Q for the quarter ended September 30, 2024 filed with the Securities and Exchange Commission (“SEC”) on November 4, 2024, as well as in other filings Tempus may make with the SEC in the future.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2025-01-13T07:46:19Z</dcterms:created>
  <dcterms:modified xsi:type="dcterms:W3CDTF">2025-01-13T07:46:19Z</dcterms:modified>
</cp:coreProperties>
</file>