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Eric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6 to Draft Registration Statement Submitted April 28, 2023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state that you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established data partnerships with approximately 90% of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largest public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pharmaceutical companies based on 2022 revenue. Please discuss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data partnerships, including the financial terms of any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 terms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LastNameEric Lefkofsky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5, 2023NameTempus Labs,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page 195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COO is now also the interim CEO for Pathos AI, Inc. We also note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that you are highly dependent on members of your senior management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team. Please revise your risk factor on page 79 to disclose the percentage of time that your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COO devotes to the business of the company given his other responsibilities as the interim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 of Pathos. Additionally, please revise your discussion of your agreements with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Pathos on page 216 to include Mr. Fukushima's new role at Pathos.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16. Subsequent Events, page F-43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346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amended Credit Agreement with Ares on April 25, 2023 included an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the interest rate. Please expand the disclosure to include the interest rate in the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agreement. Please expand the discussion of the Term Loan Facility in MD&amp;A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Claire DeLabar,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551-3349 or Robert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344-5791 or Jan Woo, Legal Branch Chief, at (202) 551-3453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2024-07-17T23:10:59Z</dcterms:created>
  <dcterms:modified xsi:type="dcterms:W3CDTF">2024-07-17T23:10:59Z</dcterms:modified>
</cp:coreProperties>
</file>