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100" w:type="dxa"/>
            <w:vAlign w:val="bottom"/>
          </w:tcPr>
          <w:p>
            <w:pPr>
              <w:jc w:val="center"/>
              <w:ind w:right="23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9"/>
        </w:trPr>
        <w:tc>
          <w:tcPr>
            <w:tcW w:w="4100" w:type="dxa"/>
            <w:vAlign w:val="bottom"/>
          </w:tcPr>
          <w:p>
            <w:pPr>
              <w:jc w:val="center"/>
              <w:ind w:right="23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4100" w:type="dxa"/>
            <w:vAlign w:val="bottom"/>
          </w:tcPr>
          <w:p>
            <w:pPr>
              <w:jc w:val="center"/>
              <w:ind w:left="1099"/>
              <w:spacing w:after="0"/>
              <w:rPr>
                <w:sz w:val="20"/>
                <w:szCs w:val="20"/>
                <w:color w:val="auto"/>
              </w:rPr>
            </w:pPr>
            <w:r>
              <w:rPr>
                <w:rFonts w:ascii="Times New Roman" w:cs="Times New Roman" w:eastAsia="Times New Roman" w:hAnsi="Times New Roman"/>
                <w:sz w:val="18"/>
                <w:szCs w:val="18"/>
                <w:b w:val="1"/>
                <w:bCs w:val="1"/>
                <w:color w:val="auto"/>
                <w:w w:val="98"/>
              </w:rPr>
              <w:t>600 West Chicago Avenue, Suite 510</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00" w:type="dxa"/>
            <w:vAlign w:val="bottom"/>
          </w:tcPr>
          <w:p>
            <w:pPr>
              <w:jc w:val="center"/>
              <w:ind w:left="109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22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4100" w:type="dxa"/>
            <w:vAlign w:val="bottom"/>
          </w:tcPr>
          <w:p>
            <w:pPr>
              <w:jc w:val="center"/>
              <w:ind w:left="1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September 5, 2024, the Compensation Committee of the Board of Directors (the “Compensation Committee”) of Tempus AI, Inc. (the “Company”) elected to defer the settlement of approximately 4,469,400 restricted stock units (“RSUs”) held by Eric Lefkofsky, the Company’s Chief Executive Officer. The RSUs subject to deferral vested in connection with the Company’s initial public offering (“IPO”) or vest during the IPO lock-up period, which expires on December 10, 2024. The Compensation Committee deferred such settlement until the period of time commencing on January 15, 2025 and ending on or before March 15, 2025 (the “Deferred Settlement Period”). It is expected that the Company will satisfy the tax withholding and remittance obligations related to such settlements through the sale of approximately 1,915,988 shares of Class A common stock (assuming a 42% tax rate) in one or more mandatory sell-to-cover transactions during the Deferred Settlement Period.</w:t>
      </w:r>
    </w:p>
    <w:p>
      <w:pPr>
        <w:sectPr>
          <w:pgSz w:w="11900" w:h="16838" w:orient="portrait"/>
          <w:cols w:equalWidth="0" w:num="1">
            <w:col w:w="10900"/>
          </w:cols>
          <w:pgMar w:left="440" w:top="293" w:right="55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6, 2024</w:t>
      </w: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2024-09-06T15:17:30Z</dcterms:created>
  <dcterms:modified xsi:type="dcterms:W3CDTF">2024-09-06T15:17:30Z</dcterms:modified>
</cp:coreProperties>
</file>