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Bartolucci Ryan M</w:t>
              </w:r>
            </w:hyperlink>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Tempus AI,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TEM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2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860" w:type="dxa"/>
            <w:vAlign w:val="bottom"/>
            <w:tcBorders>
              <w:top w:val="single" w:sz="8" w:color="0000EE"/>
              <w:bottom w:val="single" w:sz="8" w:color="9A9A9A"/>
            </w:tcBorders>
          </w:tcPr>
          <w:p>
            <w:pPr>
              <w:spacing w:after="0"/>
              <w:rPr>
                <w:sz w:val="16"/>
                <w:szCs w:val="16"/>
                <w:color w:val="auto"/>
              </w:rPr>
            </w:pPr>
          </w:p>
        </w:tc>
        <w:tc>
          <w:tcPr>
            <w:tcW w:w="42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860" w:type="dxa"/>
            <w:vAlign w:val="bottom"/>
            <w:tcBorders>
              <w:top w:val="single" w:sz="8" w:color="EEEEEE"/>
            </w:tcBorders>
          </w:tcPr>
          <w:p>
            <w:pPr>
              <w:spacing w:after="0"/>
              <w:rPr>
                <w:sz w:val="4"/>
                <w:szCs w:val="4"/>
                <w:color w:val="auto"/>
              </w:rPr>
            </w:pPr>
          </w:p>
        </w:tc>
        <w:tc>
          <w:tcPr>
            <w:tcW w:w="420" w:type="dxa"/>
            <w:vAlign w:val="bottom"/>
            <w:tcBorders>
              <w:top w:val="single" w:sz="8" w:color="EEEEEE"/>
            </w:tcBorders>
          </w:tcPr>
          <w:p>
            <w:pPr>
              <w:spacing w:after="0"/>
              <w:rPr>
                <w:sz w:val="4"/>
                <w:szCs w:val="4"/>
                <w:color w:val="auto"/>
              </w:rPr>
            </w:pPr>
          </w:p>
        </w:tc>
        <w:tc>
          <w:tcPr>
            <w:tcW w:w="158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580" w:type="dxa"/>
            <w:vAlign w:val="bottom"/>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TEMPUS AI, INC.</w:t>
            </w:r>
          </w:p>
        </w:tc>
        <w:tc>
          <w:tcPr>
            <w:tcW w:w="1580" w:type="dxa"/>
            <w:vAlign w:val="bottom"/>
          </w:tcPr>
          <w:p>
            <w:pPr>
              <w:spacing w:after="0"/>
              <w:rPr>
                <w:sz w:val="19"/>
                <w:szCs w:val="19"/>
                <w:color w:val="auto"/>
              </w:rPr>
            </w:pPr>
          </w:p>
        </w:tc>
        <w:tc>
          <w:tcPr>
            <w:tcW w:w="15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02/05/2025</w:t>
            </w: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 WEST CHICAGO AVENUE, SUITE 510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Accounting Officer</w:t>
      </w:r>
    </w:p>
    <w:p>
      <w:pPr>
        <w:spacing w:after="0" w:line="458"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02/05/2025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1,858</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67.57</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55,379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02/06/2025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(3)</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2,320</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71</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53,059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required to be sold to cover the statutory tax withholding obligations in connection with the vesting of the restricted stock units. This sale is mandated by the Issuer's election under its equity incentive plans to require the satisfaction of minimum statutory tax withholding obligations to be funded by a "sell to cover" transaction and does not represent a discretionary sale by the Reporting Person.</w:t>
      </w:r>
    </w:p>
    <w:p>
      <w:pPr>
        <w:spacing w:after="0" w:line="2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$67.085 to $68.00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made pursuant to a Rule 10b5-1 trading plan adopted by the Reporting Person on June 14, 2024.</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Andrew Polovin, Attorney- </w:t>
      </w:r>
      <w:r>
        <w:rPr>
          <w:rFonts w:ascii="Times New Roman" w:cs="Times New Roman" w:eastAsia="Times New Roman" w:hAnsi="Times New Roman"/>
          <w:sz w:val="34"/>
          <w:szCs w:val="34"/>
          <w:color w:val="0000FF"/>
          <w:vertAlign w:val="subscript"/>
        </w:rPr>
        <w:t>02/07/2025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54464" TargetMode="External"/><Relationship Id="rId14"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2025-02-07T16:47:36Z</dcterms:created>
  <dcterms:modified xsi:type="dcterms:W3CDTF">2025-02-07T16:47:36Z</dcterms:modified>
</cp:coreProperties>
</file>