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m-20260505.htm"/>
      <w:bookmarkStart w:id="1" w:name="kstem202605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Tempus AI,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0"/>
        <w:gridCol w:w="873"/>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001-42130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47-4903308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 West Chicago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976-5448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2026, Tempus AI, Inc. (the “Company”) issued a press release regarding its financial results for the quarter ended March 31, 2026. A copy of the press release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2026, the Company made available on the “Events” page of its investor relations website at http://investors.tempus.com supplemental financial information for the quarter ended March 31, 2026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36" w:type="dxa"/>
        <w:jc w:val="left"/>
        <w:tblInd w:w="0" w:type="dxa"/>
        <w:tblLayout w:type="fixed"/>
        <w:tblCellMar>
          <w:top w:w="28" w:type="dxa"/>
          <w:left w:w="28" w:type="dxa"/>
          <w:bottom w:w="28" w:type="dxa"/>
          <w:right w:w="28" w:type="dxa"/>
        </w:tblCellMar>
      </w:tblPr>
      <w:tblGrid>
        <w:gridCol w:w="646"/>
        <w:gridCol w:w="6790"/>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790"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em-ex99_1.htm">
              <w:r>
                <w:rPr>
                  <w:rStyle w:val="InternetLink"/>
                  <w:rFonts w:ascii="Times New Roman" w:hAnsi="Times New Roman"/>
                  <w:color w:val="0000FF"/>
                  <w:sz w:val="20"/>
                  <w:u w:val="single"/>
                </w:rPr>
                <w:t>Press release issued by Tempus AI, Inc. dated May 5, 2026.</w:t>
              </w:r>
            </w:hyperlink>
            <w:hyperlink w:anchor="tem-ex99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19" w:type="dxa"/>
        <w:jc w:val="left"/>
        <w:tblInd w:w="0" w:type="dxa"/>
        <w:tblLayout w:type="fixed"/>
        <w:tblCellMar>
          <w:top w:w="28" w:type="dxa"/>
          <w:left w:w="28" w:type="dxa"/>
          <w:bottom w:w="28" w:type="dxa"/>
          <w:right w:w="28" w:type="dxa"/>
        </w:tblCellMar>
      </w:tblPr>
      <w:tblGrid>
        <w:gridCol w:w="556"/>
        <w:gridCol w:w="120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Tempus AI,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01"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May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Rogers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Rogers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m-ex99_1.htm"/>
      <w:bookmarkStart w:id="3" w:name="kstemex99_1"/>
      <w:bookmarkEnd w:id="2"/>
      <w:bookmarkEnd w:id="3"/>
      <w:r>
        <w:rPr>
          <w:rFonts w:ascii="Times New Roman" w:hAnsi="Times New Roman"/>
          <w:b/>
          <w:color w:val="000000"/>
          <w:sz w:val="20"/>
        </w:rPr>
        <w:t>Exhibit 99.1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Tempus Reports First Quarter 2026 Results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CHICAGO, May 5, 2026 </w:t>
      </w:r>
      <w:r>
        <w:rPr>
          <w:rFonts w:ascii="Times New Roman" w:hAnsi="Times New Roman"/>
          <w:color w:val="000000"/>
          <w:sz w:val="20"/>
        </w:rPr>
        <w:t xml:space="preserve">— Tempus AI, Inc. (NASDAQ: TEM), a technology company leading the adoption of AI to advance precision medicine and patient care, today reported financial results for the quarter ended March 31, 2026.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Revenue of $348.1 million, up 36.1% year-over-year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Diagnostics revenue of $261.1 million, representing 34.7% growth year-over-year, driven by Oncology volume growth of 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MRD volume was ~6,500 tests in Q1 2026, up ~500% year-over-year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Data and Applications revenue of $87.0 million, representing 40.5% year-over-year growth, with Insights (data licensing and modeling) growing 44.1%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$643.8 million in cash and marketable securities as of March 31,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Increasing revenue guidance to $1.59 to $1.60 billion for 2026 and expect full year 2026 Adjusted EBITDA of approximately $65 million</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Our strong financial and operational performance this quarter underscores the accelerating demand for our AI-driven diagnostic platform and the immense value of our multimodal data and corresponding AI models,” said Eric Lefkofsky, Founder and CEO of Tempus. “We continue to see strong momentum as we deploy more sophisticated algorithms across our platform, driving 36% revenue growth year-over-year, with particular strength in our Oncology diagnostic business and data and modeling business”.</w:t>
        <w:br/>
        <w:br/>
      </w:r>
      <w:r>
        <w:rPr>
          <w:rFonts w:ascii="Times New Roman" w:hAnsi="Times New Roman"/>
          <w:b/>
          <w:color w:val="000000"/>
          <w:sz w:val="20"/>
        </w:rPr>
        <w:t>First Quarter Summary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Revenue increased 36.1% year-over-year to $348.1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Diagnostics generated $261.1 million of revenue, representing 34.7% year-over-year growth, driven by Oncology volume growth of 28% and Hereditary volume growth of 54% (7% growth when accounting for Ambry's 2025 pre-acquisition volumes given February's closing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Data and Applications revenue generated $87.0 million of revenue, representing 40.5% year-over-year growth, with Insights growing 44.1%.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Gross profit increased 43.1% year-over-year to $222.0 million, led by growth in Data and Applications.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Net loss was ($125.9 million), which included $56.3 million of stock compensation expense and related employer payroll taxes in the first quarter and $32.3 million in unrealized losses on marketable securities, compared to a net loss of ($68.0 million) in the first quarter of 2025 and a net loss of ($54.2 million) in the fourth quarter of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Adjusted EBITDA was ($2.8 million), compared to ($16.2 million) in the first quarter of 2025 and $12.9 million in the fourth quarter of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Operational Highlights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Established a multi-year, strategic collaboration with Merck to accelerate biomarker discovery and development by leveraging Tempus’ multimodal data and Lens analytical platform.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Expanded our collaboration with Gilead to provide enterprise-wide access to our AI-driven Lens platform and multimodal datasets, aimed at advancing their oncology pipeline through real-world evidence and AI-driven insights.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Selected by Northwestern Medicine to expand genomic testing access to oncology patients across the health system, leveraging Tempus' full suite of DNA, RNA, liquid biopsy, and MRD tests to enable more personalized cancer care and clinical trial design.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Entered a multi-year strategic collaboration with NYU Langone Health, centered on a prospective observational study that uses serial molecular profiling to track cancer evolution and treatment resistance, with the goal of developing AI-powered diagnostic tools and personalized therapies.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Entered strategic collaboration with Blood Cancer United to develop one of the largest real-world data registries for pediatric acute myeloid leukemia, aimed at accelerating research and improving treatment options for young patients.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Announced study results from the ALERT trial in collaboration with Medtronic showing that Tempus’ AI-driven EHR notifications increased life-saving heart valve procedures by 40% for patients with significant disease.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Published a study in JCO Precision Oncology demonstrating that Tempus' advanced features including tumor-normal matching and RNA sequencing identified actionable findings in 12% of patients that were missed by standard testing.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Announced the launch of a first-of-its-kind pan-cancer algorithm that utilizes RNA expression data to identify Homologous Recombination Deficiency (HRD), expanding the number of patients who may benefit from PARP inhibitors beyond those identified by traditional DNA testing.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First Quarter Financial Results</w:t>
      </w:r>
      <w:r>
        <w:rPr>
          <w:rFonts w:ascii="Times New Roman" w:hAnsi="Times New Roman"/>
          <w:color w:val="000000"/>
          <w:sz w:val="20"/>
        </w:rPr>
        <w:t xml:space="preserve"> </w:t>
      </w:r>
    </w:p>
    <w:p>
      <w:pPr>
        <w:pStyle w:val="TextBody"/>
        <w:bidi w:val="0"/>
        <w:jc w:val="left"/>
        <w:rPr/>
      </w:pPr>
      <w:r>
        <w:rPr/>
        <w:t> </w:t>
      </w:r>
    </w:p>
    <w:tbl>
      <w:tblPr>
        <w:tblW w:w="8751" w:type="dxa"/>
        <w:jc w:val="left"/>
        <w:tblInd w:w="0" w:type="dxa"/>
        <w:tblLayout w:type="fixed"/>
        <w:tblCellMar>
          <w:top w:w="28" w:type="dxa"/>
          <w:left w:w="28" w:type="dxa"/>
          <w:bottom w:w="28" w:type="dxa"/>
          <w:right w:w="28" w:type="dxa"/>
        </w:tblCellMar>
      </w:tblPr>
      <w:tblGrid>
        <w:gridCol w:w="2971"/>
        <w:gridCol w:w="146"/>
        <w:gridCol w:w="383"/>
        <w:gridCol w:w="1527"/>
        <w:gridCol w:w="301"/>
        <w:gridCol w:w="263"/>
        <w:gridCol w:w="383"/>
        <w:gridCol w:w="1417"/>
        <w:gridCol w:w="166"/>
        <w:gridCol w:w="146"/>
        <w:gridCol w:w="146"/>
        <w:gridCol w:w="526"/>
        <w:gridCol w:w="37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 and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Financial Outlook and Guidance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Tempus is increasing full year 2026 revenue guidance to $1.59 billion - $1.60 billion, which represents ~25% annual growth. We continue to expect 2026 Adjusted EBITDA to be ~$65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on the quarter, including a letter from our CEO and CFO, please visit our investor relations site at investors.tempus.com.</w:t>
      </w:r>
    </w:p>
    <w:p>
      <w:pPr>
        <w:pStyle w:val="TextBody"/>
        <w:bidi w:val="0"/>
        <w:spacing w:before="360" w:after="283"/>
        <w:jc w:val="left"/>
        <w:rPr>
          <w:rFonts w:ascii="Times New Roman" w:hAnsi="Times New Roman"/>
          <w:sz w:val="20"/>
        </w:rPr>
      </w:pPr>
      <w:r>
        <w:rPr>
          <w:rFonts w:ascii="Times New Roman" w:hAnsi="Times New Roman"/>
          <w:b/>
          <w:color w:val="000000"/>
          <w:sz w:val="20"/>
        </w:rPr>
        <w:t>Webcast and Conference Call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conference call and webcast will begin today, May 5, 2026 after market close at 4:30 p.m. Eastern Time. Interested parties may access details at:</w:t>
      </w:r>
    </w:p>
    <w:p>
      <w:pPr>
        <w:pStyle w:val="TextBody"/>
        <w:bidi w:val="0"/>
        <w:jc w:val="left"/>
        <w:rPr>
          <w:rFonts w:ascii="Times New Roman" w:hAnsi="Times New Roman"/>
          <w:color w:val="000000"/>
          <w:sz w:val="20"/>
        </w:rPr>
      </w:pPr>
      <w:r>
        <w:rPr>
          <w:rFonts w:ascii="Times New Roman" w:hAnsi="Times New Roman"/>
          <w:color w:val="000000"/>
          <w:sz w:val="20"/>
        </w:rPr>
        <w:t>Conference ID: 4294068</w:t>
      </w:r>
    </w:p>
    <w:p>
      <w:pPr>
        <w:pStyle w:val="TextBody"/>
        <w:bidi w:val="0"/>
        <w:jc w:val="left"/>
        <w:rPr>
          <w:rFonts w:ascii="Times New Roman" w:hAnsi="Times New Roman"/>
          <w:color w:val="000000"/>
          <w:sz w:val="20"/>
        </w:rPr>
      </w:pPr>
      <w:r>
        <w:rPr>
          <w:rFonts w:ascii="Times New Roman" w:hAnsi="Times New Roman"/>
          <w:color w:val="000000"/>
          <w:sz w:val="20"/>
        </w:rPr>
        <w:t>Domestic Dial-in Number: (646) 307-1963</w:t>
      </w:r>
    </w:p>
    <w:p>
      <w:pPr>
        <w:pStyle w:val="TextBody"/>
        <w:bidi w:val="0"/>
        <w:jc w:val="left"/>
        <w:rPr>
          <w:rFonts w:ascii="Times New Roman" w:hAnsi="Times New Roman"/>
          <w:color w:val="000000"/>
          <w:sz w:val="20"/>
        </w:rPr>
      </w:pPr>
      <w:r>
        <w:rPr>
          <w:rFonts w:ascii="Times New Roman" w:hAnsi="Times New Roman"/>
          <w:color w:val="000000"/>
          <w:sz w:val="20"/>
        </w:rPr>
        <w:t>International Dial-in Number: (800) 715-9871</w:t>
      </w:r>
    </w:p>
    <w:p>
      <w:pPr>
        <w:pStyle w:val="TextBody"/>
        <w:bidi w:val="0"/>
        <w:jc w:val="left"/>
        <w:rPr>
          <w:rFonts w:ascii="Times New Roman" w:hAnsi="Times New Roman"/>
          <w:color w:val="000000"/>
          <w:sz w:val="20"/>
        </w:rPr>
      </w:pPr>
      <w:r>
        <w:rPr>
          <w:rFonts w:ascii="Times New Roman" w:hAnsi="Times New Roman"/>
          <w:color w:val="000000"/>
          <w:sz w:val="20"/>
        </w:rPr>
        <w:t>Live webcast: https://edge.media-server.com/mmc/p/rv7jv7ti</w:t>
      </w:r>
    </w:p>
    <w:p>
      <w:pPr>
        <w:pStyle w:val="TextBody"/>
        <w:bidi w:val="0"/>
        <w:jc w:val="left"/>
        <w:rPr>
          <w:rFonts w:ascii="Times New Roman" w:hAnsi="Times New Roman"/>
          <w:color w:val="000000"/>
          <w:sz w:val="20"/>
        </w:rPr>
      </w:pPr>
      <w:r>
        <w:rPr>
          <w:rFonts w:ascii="Times New Roman" w:hAnsi="Times New Roman"/>
          <w:color w:val="000000"/>
          <w:sz w:val="20"/>
        </w:rPr>
        <w:t>The webcast may be accessed on the company’s investor relations website at investors.tempus.com. For those unable to listen to the live webcast, a recording will be made available on the company’s website after the event and will be accessible for one year. Visit the investor relations website to find the company’s latest deck, and commentary on the quarter by Eric Lefkofsky, Founder and CEO and Jim Rogers, CFO, which will be discussed on the conference call and webcast.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Tempus Inaugural Investor Day and Webcast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will host its inaugural Investor Day for analysts and institutional investors on Friday, May 29,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event will feature comprehensive presentations from several senior Tempus leaders, highlighting key developments across the company's Diagnostics and Data &amp; Applications organizations. The live webcast of management presentations is scheduled to begin at 8:00 a.m. Central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Investor Day will be broadcast live and can be accessed through the Investor Relations section of the Tempus website under the “News &amp; Events” tab at investors.tempus.com. Institutional investors can request in-person attendance at our Chicago headquarters by emailing investorrelations@tempus.com. </w:t>
      </w:r>
    </w:p>
    <w:p>
      <w:pPr>
        <w:pStyle w:val="TextBody"/>
        <w:bidi w:val="0"/>
        <w:spacing w:before="360" w:after="283"/>
        <w:jc w:val="left"/>
        <w:rPr>
          <w:rFonts w:ascii="Times New Roman" w:hAnsi="Times New Roman"/>
          <w:sz w:val="20"/>
        </w:rPr>
      </w:pPr>
      <w:r>
        <w:rPr>
          <w:rFonts w:ascii="Times New Roman" w:hAnsi="Times New Roman"/>
          <w:b/>
          <w:color w:val="000000"/>
          <w:sz w:val="20"/>
        </w:rPr>
        <w:t>About Tempus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financial information presented in this release in accordance with accounting principles generally accepted in the United States of America (GAAP), Tempus also presents adjusted non-GAAP financial measures.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gross profit</w:t>
      </w:r>
      <w:r>
        <w:rPr>
          <w:rFonts w:ascii="Times New Roman" w:hAnsi="Times New Roman"/>
          <w:color w:val="000000"/>
          <w:sz w:val="20"/>
        </w:rPr>
        <w:t xml:space="preserve"> is defined as GAAP gross profit, excluding stock-based compensation expense and employer payroll tax related to stock-based compensation (collectively, the “stock-based compensation adjustments”). </w:t>
      </w:r>
      <w:r>
        <w:rPr>
          <w:rFonts w:ascii="Times New Roman" w:hAnsi="Times New Roman"/>
          <w:b/>
          <w:color w:val="000000"/>
          <w:sz w:val="20"/>
        </w:rPr>
        <w:t>Non-GAAP gross margin</w:t>
      </w:r>
      <w:r>
        <w:rPr>
          <w:rFonts w:ascii="Times New Roman" w:hAnsi="Times New Roman"/>
          <w:color w:val="000000"/>
          <w:sz w:val="20"/>
        </w:rPr>
        <w:t xml:space="preserve"> is defined as gross profit, excluding the stock-based compensation adjustments, as a percentage of revenue. </w:t>
      </w:r>
      <w:r>
        <w:rPr>
          <w:rFonts w:ascii="Times New Roman" w:hAnsi="Times New Roman"/>
          <w:b/>
          <w:color w:val="000000"/>
          <w:sz w:val="20"/>
        </w:rPr>
        <w:t>Non-GAAP operating expenses</w:t>
      </w:r>
      <w:r>
        <w:rPr>
          <w:rFonts w:ascii="Times New Roman" w:hAnsi="Times New Roman"/>
          <w:color w:val="000000"/>
          <w:sz w:val="20"/>
        </w:rPr>
        <w:t xml:space="preserve"> are calculated as the sum of technology research and development expense, research and development expense, and selling, general and administrative expense, excluding the stock-based compensation adjustments, acquisition-related expenses, and amortization of intangibles due to acquisition. </w:t>
      </w:r>
      <w:r>
        <w:rPr>
          <w:rFonts w:ascii="Times New Roman" w:hAnsi="Times New Roman"/>
          <w:b/>
          <w:color w:val="000000"/>
          <w:sz w:val="20"/>
        </w:rPr>
        <w:t>Non-GAAP loss from operations</w:t>
      </w:r>
      <w:r>
        <w:rPr>
          <w:rFonts w:ascii="Times New Roman" w:hAnsi="Times New Roman"/>
          <w:color w:val="000000"/>
          <w:sz w:val="20"/>
        </w:rPr>
        <w:t xml:space="preserve"> is defined as loss from operations, adjusted to exclude (i) the stock-based compensation adjustments, (ii) acquisition-related expenses, and (iii) amortization of intangibles due to acquisition. </w:t>
      </w:r>
      <w:r>
        <w:rPr>
          <w:rFonts w:ascii="Times New Roman" w:hAnsi="Times New Roman"/>
          <w:b/>
          <w:color w:val="000000"/>
          <w:sz w:val="20"/>
        </w:rPr>
        <w:t>Non-GAAP net loss</w:t>
      </w:r>
      <w:r>
        <w:rPr>
          <w:rFonts w:ascii="Times New Roman" w:hAnsi="Times New Roman"/>
          <w:color w:val="000000"/>
          <w:sz w:val="20"/>
        </w:rPr>
        <w:t xml:space="preserve"> is defined as net loss, adjusted to exclude (i) changes in fair value of our marketable equity securities and indemnity-related holdback liabilities, (ii) the stock-based compensation adjustments, (iii) acquisition-related expenses, (iv) amortization of intangibles due to acquisition, (v) losses from equity method investments, (vi) benefit from income taxes, and (vii) amortization of deferred other income from our IP License Agreement with SB Tempus. </w:t>
      </w:r>
      <w:r>
        <w:rPr>
          <w:rFonts w:ascii="Times New Roman" w:hAnsi="Times New Roman"/>
          <w:b/>
          <w:color w:val="000000"/>
          <w:sz w:val="20"/>
        </w:rPr>
        <w:t>Non-GAAP net loss per share</w:t>
      </w:r>
      <w:r>
        <w:rPr>
          <w:rFonts w:ascii="Times New Roman" w:hAnsi="Times New Roman"/>
          <w:color w:val="000000"/>
          <w:sz w:val="20"/>
        </w:rPr>
        <w:t xml:space="preserve"> is defined as non-GAAP net loss divided by weighted average common shares outstanding, basic and diluted.</w:t>
      </w:r>
    </w:p>
    <w:p>
      <w:pPr>
        <w:pStyle w:val="TextBody"/>
        <w:bidi w:val="0"/>
        <w:spacing w:before="24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is defined as net loss, adjusted to exclude (i) interest income, (ii) interest expense, (iii) depreciation and amortization, (iv) benefit from income taxes, (v) losses from equity method investments, (vi) changes in fair value of our marketable equity securities and indemnity-related holdback liabilities, (vii) the stock-based compensation adjustments, (viii) </w:t>
      </w:r>
      <w:r>
        <w:rPr>
          <w:rFonts w:ascii="Times New Roman" w:hAnsi="Times New Roman"/>
          <w:color w:val="231F20"/>
          <w:sz w:val="20"/>
        </w:rPr>
        <w:t>acquisition-related expenses</w:t>
      </w:r>
      <w:r>
        <w:rPr>
          <w:rFonts w:ascii="Times New Roman" w:hAnsi="Times New Roman"/>
          <w:color w:val="000000"/>
          <w:sz w:val="20"/>
        </w:rPr>
        <w:t>, and (ix) amortization of deferred other income from our IP License Agreement with SB Tempus.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does not provide guidance for net loss, the most directly comparable GAAP measure to Adjusted EBITDA, and similarly cannot provide a reconciliation between Tempus’ forecasted Adjusted EBITDA and net loss without unreasonable effort due to the unavailability of reliable estimates for certain components of net loss and the respective reconciliations. These forecasted items are not within Tempus’ control, may vary greatly between periods, and could significantly impact future financial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Metrics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Total Remaining Contract Value (TCV)</w:t>
      </w:r>
      <w:r>
        <w:rPr>
          <w:rFonts w:ascii="Times New Roman" w:hAnsi="Times New Roman"/>
          <w:color w:val="000000"/>
          <w:sz w:val="20"/>
        </w:rPr>
        <w:t xml:space="preserve"> is equal to the total potential value of signed contracts and assumes the exercise of all contract options, all discretionary opt-ins, and no early termination. Remaining TCV excludes any revenue recognized to date on these contracts or any future adjustments made to the contractual value as a result of amendments or terminations.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compares the annual Insights product revenue generated from all customers that made an Insights purchase in one year to the annual Insights product revenue generated from the same cohort of customers in the subsequent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 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as amended,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full year 2026; expectations concerning Tempus' collaborations and partnerships; and Tempus' growth expectations.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realize the expected benefits of the acquisition of Paige AI, Ambry Genetics and Deep 6 AI; the potential adverse impact of climate change, natural disasters, health epidemics, macroeconomic conditions, trade tensions and tariffs, and war or other armed conflict, as well as risks, uncertainties, and other factors described in the section titled “Risk Factors” in Tempus’ Form 10-K for the year ended December 31, 2025, filed with the Securities and Exchange Commission (“the SEC”) on February 24, 2026, as well as in other filings Tempus may make with the SEC from time to time.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pStyle w:val="TextBody"/>
        <w:bidi w:val="0"/>
        <w:spacing w:before="16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Communications </w:t>
      </w:r>
    </w:p>
    <w:p>
      <w:pPr>
        <w:pStyle w:val="TextBody"/>
        <w:bidi w:val="0"/>
        <w:jc w:val="left"/>
        <w:rPr>
          <w:rFonts w:ascii="Times New Roman" w:hAnsi="Times New Roman"/>
          <w:color w:val="000000"/>
          <w:sz w:val="20"/>
        </w:rPr>
      </w:pPr>
      <w:r>
        <w:rPr>
          <w:rFonts w:ascii="Times New Roman" w:hAnsi="Times New Roman"/>
          <w:color w:val="000000"/>
          <w:sz w:val="20"/>
        </w:rPr>
        <w:t>Hanah Heintzelman</w:t>
      </w:r>
    </w:p>
    <w:p>
      <w:pPr>
        <w:pStyle w:val="TextBody"/>
        <w:bidi w:val="0"/>
        <w:jc w:val="left"/>
        <w:rPr>
          <w:rFonts w:ascii="Times New Roman" w:hAnsi="Times New Roman"/>
          <w:color w:val="000000"/>
          <w:sz w:val="20"/>
        </w:rPr>
      </w:pPr>
      <w:r>
        <w:rPr>
          <w:rFonts w:ascii="Times New Roman" w:hAnsi="Times New Roman"/>
          <w:color w:val="000000"/>
          <w:sz w:val="20"/>
        </w:rPr>
        <w:t xml:space="preserve">media@tempus.com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Tempus Investor Relations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 Krutoholow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Elizabeth.krutoholow@tempus.com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Tempus AI, Inc.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6171"/>
        <w:gridCol w:w="146"/>
        <w:gridCol w:w="211"/>
        <w:gridCol w:w="841"/>
        <w:gridCol w:w="166"/>
        <w:gridCol w:w="146"/>
        <w:gridCol w:w="211"/>
        <w:gridCol w:w="841"/>
        <w:gridCol w:w="6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applications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$21,823 and $631 for the three months ended March 31, 2026 and 2025,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6"/>
        <w:gridCol w:w="146"/>
        <w:gridCol w:w="223"/>
        <w:gridCol w:w="987"/>
        <w:gridCol w:w="146"/>
        <w:gridCol w:w="146"/>
        <w:gridCol w:w="249"/>
        <w:gridCol w:w="1099"/>
        <w:gridCol w:w="793"/>
      </w:tblGrid>
      <w:tr>
        <w:trPr/>
        <w:tc>
          <w:tcPr>
            <w:tcW w:w="6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604,787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$2,872 and $2,755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349,202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728,078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1,783,512</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$15,690 and $6,428 as of March 31, 2026 and December 31, 2025,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$403 and $3,938 as of March 31, 2026 and December 31, 2025,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March 31, 2026 and December 31, 2025, respectively, no 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March 31, 2026 and December 31, 2025, respectively; 174,360,831 and 173,235,428 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March 31, 2026 and December 31, 2025, respectively; 5,043,789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183,229 shares at March 31, 2026 and December 31, 2025, respectively,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144" w:type="dxa"/>
        <w:jc w:val="left"/>
        <w:tblInd w:w="0" w:type="dxa"/>
        <w:tblLayout w:type="fixed"/>
        <w:tblCellMar>
          <w:top w:w="28" w:type="dxa"/>
          <w:left w:w="28" w:type="dxa"/>
          <w:bottom w:w="28" w:type="dxa"/>
          <w:right w:w="28" w:type="dxa"/>
        </w:tblCellMar>
      </w:tblPr>
      <w:tblGrid>
        <w:gridCol w:w="5971"/>
        <w:gridCol w:w="146"/>
        <w:gridCol w:w="211"/>
        <w:gridCol w:w="841"/>
        <w:gridCol w:w="166"/>
        <w:gridCol w:w="146"/>
        <w:gridCol w:w="211"/>
        <w:gridCol w:w="841"/>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$9,262 for the three months ended March 31, 2026. Includes decrease in related party accounts receivable of $3,603 for the three months ended March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decrease in related party deferred revenue of $3,535 for the three months ended March 31, 2026. Includes increase in related party deferred revenue of $300 for the three months ended March 31,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217" w:type="dxa"/>
        <w:jc w:val="left"/>
        <w:tblInd w:w="0" w:type="dxa"/>
        <w:tblLayout w:type="fixed"/>
        <w:tblCellMar>
          <w:top w:w="28" w:type="dxa"/>
          <w:left w:w="28" w:type="dxa"/>
          <w:bottom w:w="28" w:type="dxa"/>
          <w:right w:w="28" w:type="dxa"/>
        </w:tblCellMar>
      </w:tblPr>
      <w:tblGrid>
        <w:gridCol w:w="6261"/>
        <w:gridCol w:w="146"/>
        <w:gridCol w:w="215"/>
        <w:gridCol w:w="795"/>
        <w:gridCol w:w="169"/>
        <w:gridCol w:w="148"/>
        <w:gridCol w:w="215"/>
        <w:gridCol w:w="857"/>
        <w:gridCol w:w="41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609,451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525,864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525,864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from)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costs, accrued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Reconciliation of GAAP to Non-GAAP Financial Measures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percentages and per share amounts)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Diagnostics Gross Profit &amp; Gross Margin</w:t>
      </w:r>
      <w:r>
        <w:rPr>
          <w:rFonts w:ascii="Times New Roman" w:hAnsi="Times New Roman"/>
          <w:color w:val="000000"/>
          <w:sz w:val="20"/>
        </w:rPr>
        <w:t xml:space="preserve"> </w:t>
      </w:r>
    </w:p>
    <w:p>
      <w:pPr>
        <w:pStyle w:val="TextBody"/>
        <w:bidi w:val="0"/>
        <w:jc w:val="left"/>
        <w:rPr/>
      </w:pPr>
      <w:r>
        <w:rPr/>
        <w:t> </w:t>
      </w:r>
    </w:p>
    <w:tbl>
      <w:tblPr>
        <w:tblW w:w="8109" w:type="dxa"/>
        <w:jc w:val="left"/>
        <w:tblInd w:w="0" w:type="dxa"/>
        <w:tblLayout w:type="fixed"/>
        <w:tblCellMar>
          <w:top w:w="28" w:type="dxa"/>
          <w:left w:w="28" w:type="dxa"/>
          <w:bottom w:w="28" w:type="dxa"/>
          <w:right w:w="28" w:type="dxa"/>
        </w:tblCellMar>
      </w:tblPr>
      <w:tblGrid>
        <w:gridCol w:w="5046"/>
        <w:gridCol w:w="146"/>
        <w:gridCol w:w="211"/>
        <w:gridCol w:w="781"/>
        <w:gridCol w:w="271"/>
        <w:gridCol w:w="146"/>
        <w:gridCol w:w="211"/>
        <w:gridCol w:w="781"/>
        <w:gridCol w:w="516"/>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110,104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Diagnostics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Data and applications Gross Profit &amp; Gross Margin</w:t>
      </w:r>
      <w:r>
        <w:rPr>
          <w:rFonts w:ascii="Times New Roman" w:hAnsi="Times New Roman"/>
          <w:color w:val="000000"/>
          <w:sz w:val="20"/>
        </w:rPr>
        <w:t xml:space="preserve"> </w:t>
      </w:r>
    </w:p>
    <w:p>
      <w:pPr>
        <w:pStyle w:val="TextBody"/>
        <w:bidi w:val="0"/>
        <w:jc w:val="left"/>
        <w:rPr/>
      </w:pPr>
      <w:r>
        <w:rPr/>
        <w:t> </w:t>
      </w:r>
    </w:p>
    <w:tbl>
      <w:tblPr>
        <w:tblW w:w="8105" w:type="dxa"/>
        <w:jc w:val="left"/>
        <w:tblInd w:w="0" w:type="dxa"/>
        <w:tblLayout w:type="fixed"/>
        <w:tblCellMar>
          <w:top w:w="28" w:type="dxa"/>
          <w:left w:w="28" w:type="dxa"/>
          <w:bottom w:w="28" w:type="dxa"/>
          <w:right w:w="28" w:type="dxa"/>
        </w:tblCellMar>
      </w:tblPr>
      <w:tblGrid>
        <w:gridCol w:w="5046"/>
        <w:gridCol w:w="146"/>
        <w:gridCol w:w="231"/>
        <w:gridCol w:w="740"/>
        <w:gridCol w:w="296"/>
        <w:gridCol w:w="159"/>
        <w:gridCol w:w="231"/>
        <w:gridCol w:w="740"/>
        <w:gridCol w:w="516"/>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applications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Total Gross Profit &amp; Gross Margin</w:t>
      </w:r>
      <w:r>
        <w:rPr>
          <w:rFonts w:ascii="Times New Roman" w:hAnsi="Times New Roman"/>
          <w:color w:val="000000"/>
          <w:sz w:val="20"/>
        </w:rPr>
        <w:t xml:space="preserve"> </w:t>
      </w:r>
    </w:p>
    <w:p>
      <w:pPr>
        <w:pStyle w:val="TextBody"/>
        <w:bidi w:val="0"/>
        <w:jc w:val="left"/>
        <w:rPr/>
      </w:pPr>
      <w:r>
        <w:rPr/>
        <w:t> </w:t>
      </w:r>
    </w:p>
    <w:tbl>
      <w:tblPr>
        <w:tblW w:w="8109" w:type="dxa"/>
        <w:jc w:val="left"/>
        <w:tblInd w:w="0" w:type="dxa"/>
        <w:tblLayout w:type="fixed"/>
        <w:tblCellMar>
          <w:top w:w="28" w:type="dxa"/>
          <w:left w:w="28" w:type="dxa"/>
          <w:bottom w:w="28" w:type="dxa"/>
          <w:right w:w="28" w:type="dxa"/>
        </w:tblCellMar>
      </w:tblPr>
      <w:tblGrid>
        <w:gridCol w:w="5046"/>
        <w:gridCol w:w="146"/>
        <w:gridCol w:w="211"/>
        <w:gridCol w:w="781"/>
        <w:gridCol w:w="271"/>
        <w:gridCol w:w="146"/>
        <w:gridCol w:w="211"/>
        <w:gridCol w:w="781"/>
        <w:gridCol w:w="516"/>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100,534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155,203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156,940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7980" w:type="dxa"/>
        <w:jc w:val="left"/>
        <w:tblInd w:w="0" w:type="dxa"/>
        <w:tblLayout w:type="fixed"/>
        <w:tblCellMar>
          <w:top w:w="28" w:type="dxa"/>
          <w:left w:w="28" w:type="dxa"/>
          <w:bottom w:w="28" w:type="dxa"/>
          <w:right w:w="28" w:type="dxa"/>
        </w:tblCellMar>
      </w:tblPr>
      <w:tblGrid>
        <w:gridCol w:w="5046"/>
        <w:gridCol w:w="146"/>
        <w:gridCol w:w="220"/>
        <w:gridCol w:w="816"/>
        <w:gridCol w:w="173"/>
        <w:gridCol w:w="152"/>
        <w:gridCol w:w="220"/>
        <w:gridCol w:w="816"/>
        <w:gridCol w:w="39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43,189</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306,752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237,814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months ended March 31,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Operations</w:t>
      </w:r>
    </w:p>
    <w:p>
      <w:pPr>
        <w:pStyle w:val="TextBody"/>
        <w:bidi w:val="0"/>
        <w:jc w:val="left"/>
        <w:rPr/>
      </w:pPr>
      <w:r>
        <w:rPr/>
        <w:t> </w:t>
      </w:r>
    </w:p>
    <w:tbl>
      <w:tblPr>
        <w:tblW w:w="7601" w:type="dxa"/>
        <w:jc w:val="left"/>
        <w:tblInd w:w="0" w:type="dxa"/>
        <w:tblLayout w:type="fixed"/>
        <w:tblCellMar>
          <w:top w:w="28" w:type="dxa"/>
          <w:left w:w="28" w:type="dxa"/>
          <w:bottom w:w="28" w:type="dxa"/>
          <w:right w:w="28" w:type="dxa"/>
        </w:tblCellMar>
      </w:tblPr>
      <w:tblGrid>
        <w:gridCol w:w="4846"/>
        <w:gridCol w:w="146"/>
        <w:gridCol w:w="229"/>
        <w:gridCol w:w="801"/>
        <w:gridCol w:w="180"/>
        <w:gridCol w:w="158"/>
        <w:gridCol w:w="229"/>
        <w:gridCol w:w="80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months ended March 31, 2026 and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pPr>
      <w:r>
        <w:rPr/>
        <w:t> </w:t>
      </w:r>
    </w:p>
    <w:tbl>
      <w:tblPr>
        <w:tblW w:w="7602" w:type="dxa"/>
        <w:jc w:val="left"/>
        <w:tblInd w:w="0" w:type="dxa"/>
        <w:tblLayout w:type="fixed"/>
        <w:tblCellMar>
          <w:top w:w="28" w:type="dxa"/>
          <w:left w:w="28" w:type="dxa"/>
          <w:bottom w:w="28" w:type="dxa"/>
          <w:right w:w="28" w:type="dxa"/>
        </w:tblCellMar>
      </w:tblPr>
      <w:tblGrid>
        <w:gridCol w:w="4846"/>
        <w:gridCol w:w="146"/>
        <w:gridCol w:w="215"/>
        <w:gridCol w:w="857"/>
        <w:gridCol w:w="169"/>
        <w:gridCol w:w="148"/>
        <w:gridCol w:w="215"/>
        <w:gridCol w:w="795"/>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178,880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marketable equity securities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during the three months ended March 31, 2026 and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jc w:val="left"/>
        <w:rPr/>
      </w:pPr>
      <w:r>
        <w:rPr/>
        <w:t> </w:t>
      </w:r>
    </w:p>
    <w:tbl>
      <w:tblPr>
        <w:tblW w:w="8001" w:type="dxa"/>
        <w:jc w:val="left"/>
        <w:tblInd w:w="0" w:type="dxa"/>
        <w:tblLayout w:type="fixed"/>
        <w:tblCellMar>
          <w:top w:w="28" w:type="dxa"/>
          <w:left w:w="28" w:type="dxa"/>
          <w:bottom w:w="28" w:type="dxa"/>
          <w:right w:w="28" w:type="dxa"/>
        </w:tblCellMar>
      </w:tblPr>
      <w:tblGrid>
        <w:gridCol w:w="5046"/>
        <w:gridCol w:w="146"/>
        <w:gridCol w:w="219"/>
        <w:gridCol w:w="873"/>
        <w:gridCol w:w="172"/>
        <w:gridCol w:w="151"/>
        <w:gridCol w:w="219"/>
        <w:gridCol w:w="764"/>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marketable equity securities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of during the three months ended March 31, 2026 and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5102</Words>
  <Characters>29161</Characters>
  <CharactersWithSpaces>34583</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