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38874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488315"/>
                    </a:xfrm>
                    <a:prstGeom prst="rect">
                      <a:avLst/>
                    </a:prstGeom>
                    <a:noFill/>
                  </pic:spPr>
                </pic:pic>
              </a:graphicData>
            </a:graphic>
          </wp:anchor>
        </w:drawing>
        <w:t>Christina T. Roupas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242" w:right="439" w:bottom="1440" w:gutter="0" w:footer="0" w:header="0"/>
        </w:sectPr>
      </w:pPr>
    </w:p>
    <w:p>
      <w:pPr>
        <w:spacing w:after="0" w:line="3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242" w:right="439" w:bottom="1440" w:gutter="0" w:footer="0" w:header="0"/>
          <w:type w:val="continuous"/>
        </w:sectPr>
      </w:pP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Robert Littlepage, Accounting Branch Chief</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Lisa Etheredge, Senior Staff Accountant</w:t>
      </w:r>
    </w:p>
    <w:p>
      <w:pPr>
        <w:spacing w:after="0" w:line="200" w:lineRule="exact"/>
        <w:rPr>
          <w:sz w:val="24"/>
          <w:szCs w:val="24"/>
          <w:color w:val="auto"/>
        </w:rPr>
      </w:pPr>
    </w:p>
    <w:p>
      <w:pPr>
        <w:sectPr>
          <w:pgSz w:w="11900" w:h="16838" w:orient="portrait"/>
          <w:cols w:equalWidth="0" w:num="2">
            <w:col w:w="724" w:space="280"/>
            <w:col w:w="10020"/>
          </w:cols>
          <w:pgMar w:left="436" w:top="1242" w:right="439" w:bottom="1440" w:gutter="0" w:footer="0" w:header="0"/>
          <w:type w:val="continuous"/>
        </w:sectPr>
      </w:pPr>
    </w:p>
    <w:p>
      <w:pPr>
        <w:spacing w:after="0" w:line="43"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Submitted April 27, 2022</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left="4" w:right="80"/>
        <w:spacing w:after="0" w:line="262"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May 11, 2022 with respect to the Company’s Amendment No. 3 to the Draft Registration Statement on Form S-1, as confidentially submitted to the Staff on April 27, 2022 (the “</w:t>
      </w:r>
      <w:r>
        <w:rPr>
          <w:rFonts w:ascii="Times New Roman" w:cs="Times New Roman" w:eastAsia="Times New Roman" w:hAnsi="Times New Roman"/>
          <w:sz w:val="18"/>
          <w:szCs w:val="18"/>
          <w:b w:val="1"/>
          <w:bCs w:val="1"/>
          <w:i w:val="1"/>
          <w:iCs w:val="1"/>
          <w:color w:val="auto"/>
        </w:rPr>
        <w:t>Draft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The numbering of the paragraphs below corresponds to the numbering of the Comments, which for your convenience we have incorporated into this response letter in italics. Capitalized terms used in this letter but not otherwise defined in this letter have the meanings assigned to them in the Draft Registration Statement.</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Dilution, page 102</w:t>
      </w:r>
    </w:p>
    <w:p>
      <w:pPr>
        <w:spacing w:after="0" w:line="129"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to more clearly disclose how you calculated historical net tangible book value per share as of December 31, 2021.</w:t>
      </w:r>
    </w:p>
    <w:p>
      <w:pPr>
        <w:spacing w:after="0" w:line="11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will revise the disclosure to include the following:</w:t>
      </w:r>
    </w:p>
    <w:p>
      <w:pPr>
        <w:spacing w:after="0" w:line="117" w:lineRule="exact"/>
        <w:rPr>
          <w:sz w:val="24"/>
          <w:szCs w:val="24"/>
          <w:color w:val="auto"/>
        </w:rPr>
      </w:pPr>
    </w:p>
    <w:p>
      <w:pPr>
        <w:ind w:left="984" w:right="280"/>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December 31, 2021 was $33.7 million, or $0.53 per share. Our historical net tangible book value per share represents the amount of our total tangible assets less our total liabilities and the carrying value of our redeemable convertible preferred stock, which is not included within stockholders’ equity, divided by the 62,980,411 shares of common stock outstanding as of December 31, 2021.”</w:t>
      </w:r>
    </w:p>
    <w:p>
      <w:pPr>
        <w:spacing w:after="0" w:line="1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1242"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Payor Coverage and Reimbursement, page 112</w:t>
      </w:r>
    </w:p>
    <w:p>
      <w:pPr>
        <w:spacing w:after="0" w:line="110" w:lineRule="exact"/>
        <w:rPr>
          <w:sz w:val="20"/>
          <w:szCs w:val="20"/>
          <w:color w:val="auto"/>
        </w:rPr>
      </w:pPr>
    </w:p>
    <w:p>
      <w:pPr>
        <w:ind w:left="424" w:right="100" w:hanging="424"/>
        <w:spacing w:after="0" w:line="284"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here and on pages 33-36. Your disclosure on page 112 references only payments received for clinical oncology NGS tests performed from January 1, 2020 through June 30, 2021. Please revise to address the following:</w:t>
      </w:r>
    </w:p>
    <w:p>
      <w:pPr>
        <w:spacing w:after="0" w:line="63" w:lineRule="exact"/>
        <w:rPr>
          <w:rFonts w:ascii="Times New Roman" w:cs="Times New Roman" w:eastAsia="Times New Roman" w:hAnsi="Times New Roman"/>
          <w:sz w:val="18"/>
          <w:szCs w:val="18"/>
          <w:i w:val="1"/>
          <w:iCs w:val="1"/>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if you continued performing the NGS oncology tests from July 1, 2021 to December 31, 2021.</w:t>
      </w:r>
    </w:p>
    <w:p>
      <w:pPr>
        <w:spacing w:after="0" w:line="130" w:lineRule="exact"/>
        <w:rPr>
          <w:rFonts w:ascii="Times New Roman" w:cs="Times New Roman" w:eastAsia="Times New Roman" w:hAnsi="Times New Roman"/>
          <w:sz w:val="18"/>
          <w:szCs w:val="18"/>
          <w:i w:val="1"/>
          <w:iCs w:val="1"/>
          <w:color w:val="auto"/>
        </w:rPr>
      </w:pPr>
    </w:p>
    <w:p>
      <w:pPr>
        <w:ind w:left="964" w:right="200" w:hanging="532"/>
        <w:spacing w:after="0" w:line="284" w:lineRule="auto"/>
        <w:tabs>
          <w:tab w:leader="none" w:pos="964"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you continued performing these tests, please revise to also disclose payments received for those tests or explain why no payments have been received.</w:t>
      </w:r>
    </w:p>
    <w:p>
      <w:pPr>
        <w:spacing w:after="0" w:line="63" w:lineRule="exact"/>
        <w:rPr>
          <w:rFonts w:ascii="Times New Roman" w:cs="Times New Roman" w:eastAsia="Times New Roman" w:hAnsi="Times New Roman"/>
          <w:sz w:val="18"/>
          <w:szCs w:val="18"/>
          <w:i w:val="1"/>
          <w:iCs w:val="1"/>
          <w:color w:val="auto"/>
        </w:rPr>
      </w:pPr>
    </w:p>
    <w:p>
      <w:pPr>
        <w:ind w:left="964" w:right="120" w:hanging="532"/>
        <w:spacing w:after="0" w:line="261" w:lineRule="auto"/>
        <w:tabs>
          <w:tab w:leader="none" w:pos="964"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your prior amendment, you disclosed that beginning in the second quarter of 2021, you estimated the reimbursement rate for tests performed as zero percent for these tests. You now disclose that you estimate a reimbursement rate that is “significantly reduced”. Please revise to disclose how you accounted for this change and quantify the financial statement impact of this change on the periods presented. Please also refer to Item 303(b)(3) of Regulation S-K and revise disclosures on page 121 accordingly.</w:t>
      </w:r>
    </w:p>
    <w:p>
      <w:pPr>
        <w:spacing w:after="0" w:line="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respectfully advises the Staff that the Company continued to perform NGS oncology tests from July 1, 2021 to December 31, 2021.</w:t>
      </w:r>
    </w:p>
    <w:p>
      <w:pPr>
        <w:spacing w:after="0" w:line="117"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With regard to the impact of the Local MAC’s determination on the reimbursement rate for oncology NGS tests, the Company had previously estimated that such determination would result in a reimbursement rate of zero for the specifically impacted orders during the second quarter of 2021. Subsequently, as the Company calculated its contractual allowance for the third and fourth quarters of 2021, the expected reimbursement rate was adjusted for tests performed in those respective periods to take into account the actual cash collections from prior periods, as well as new guidance from the Local MAC as it related to the original determination. In the third and fourth quarters of 2021, the Company had $365,690 and $1,081,734, respectively, of estimated reimbursement for its xT test with Medicare. In each case, the Company followed the policy as disclosed on page 121 of the Draft Registration Statement, “</w:t>
      </w:r>
      <w:r>
        <w:rPr>
          <w:rFonts w:ascii="Times New Roman" w:cs="Times New Roman" w:eastAsia="Times New Roman" w:hAnsi="Times New Roman"/>
          <w:sz w:val="18"/>
          <w:szCs w:val="18"/>
          <w:i w:val="1"/>
          <w:iCs w:val="1"/>
          <w:color w:val="auto"/>
        </w:rPr>
        <w:t>We estimate contractual allowances and implicit price concessions based on historical collections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relation to established rates, as well as known current or anticipated reimbursement trends not reflected in the historical data. We monitor the estimated amount to be collected at each reporting period based on actual cash collections in order to assess whether a revision to the estimate is required</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will revise the applicable disclosure as follows:</w:t>
      </w:r>
    </w:p>
    <w:p>
      <w:pPr>
        <w:spacing w:after="0" w:line="117" w:lineRule="exact"/>
        <w:rPr>
          <w:sz w:val="20"/>
          <w:szCs w:val="20"/>
          <w:color w:val="auto"/>
        </w:rPr>
      </w:pPr>
    </w:p>
    <w:p>
      <w:pPr>
        <w:ind w:left="984" w:right="540"/>
        <w:spacing w:after="0" w:line="266" w:lineRule="auto"/>
        <w:rPr>
          <w:sz w:val="20"/>
          <w:szCs w:val="20"/>
          <w:color w:val="auto"/>
        </w:rPr>
      </w:pPr>
      <w:r>
        <w:rPr>
          <w:rFonts w:ascii="Times New Roman" w:cs="Times New Roman" w:eastAsia="Times New Roman" w:hAnsi="Times New Roman"/>
          <w:sz w:val="18"/>
          <w:szCs w:val="18"/>
          <w:color w:val="auto"/>
        </w:rPr>
        <w:t xml:space="preserve">“We received payment on approximately 45% of our clinical oncology NGS tests </w:t>
      </w:r>
      <w:r>
        <w:rPr>
          <w:rFonts w:ascii="Times New Roman" w:cs="Times New Roman" w:eastAsia="Times New Roman" w:hAnsi="Times New Roman"/>
          <w:sz w:val="18"/>
          <w:szCs w:val="18"/>
          <w:u w:val="single" w:color="auto"/>
          <w:color w:val="auto"/>
        </w:rPr>
        <w:t>across all payors</w:t>
      </w:r>
      <w:r>
        <w:rPr>
          <w:rFonts w:ascii="Times New Roman" w:cs="Times New Roman" w:eastAsia="Times New Roman" w:hAnsi="Times New Roman"/>
          <w:sz w:val="18"/>
          <w:szCs w:val="18"/>
          <w:color w:val="auto"/>
        </w:rPr>
        <w:t xml:space="preserve"> performed from January 1, 2020 through June 30, 2021. </w:t>
      </w:r>
      <w:r>
        <w:rPr>
          <w:rFonts w:ascii="Times New Roman" w:cs="Times New Roman" w:eastAsia="Times New Roman" w:hAnsi="Times New Roman"/>
          <w:sz w:val="18"/>
          <w:szCs w:val="18"/>
          <w:u w:val="single" w:color="auto"/>
          <w:color w:val="auto"/>
        </w:rPr>
        <w:t>We calculated this metric on a trailing two-quarter basis based on payor adjudication timing. However,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continued to perform our NGS tests through December 31, 2021.</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line="256" w:lineRule="auto"/>
        <w:rPr>
          <w:sz w:val="20"/>
          <w:szCs w:val="20"/>
          <w:color w:val="auto"/>
        </w:rPr>
      </w:pPr>
      <w:r>
        <w:rPr>
          <w:rFonts w:ascii="Times New Roman" w:cs="Times New Roman" w:eastAsia="Times New Roman" w:hAnsi="Times New Roman"/>
          <w:sz w:val="18"/>
          <w:szCs w:val="18"/>
          <w:color w:val="auto"/>
        </w:rPr>
        <w:t xml:space="preserve">Beginning in the second quarter of 2021, we estimated the reimbursement rate for tests performed within our contractual allowances with a significantly reduced percent expected reimbursement for these tests, </w:t>
      </w:r>
      <w:r>
        <w:rPr>
          <w:rFonts w:ascii="Times New Roman" w:cs="Times New Roman" w:eastAsia="Times New Roman" w:hAnsi="Times New Roman"/>
          <w:sz w:val="18"/>
          <w:szCs w:val="18"/>
          <w:u w:val="single" w:color="auto"/>
          <w:color w:val="auto"/>
        </w:rPr>
        <w:t>equating to $0 for the second quarter of 2021, $0.4 million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third quarter of 2021, and $1.1 million for the fourth quarter of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These estimates were guided by the updated Local MAC 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appeal outcomes through December 31, 2021. During the fourth quarter of 2021, we began receiving favorable results on outstanding level 2 claims that were adjudicated and have received payment on a subset of these claims as a result of the appeal process.</w:t>
      </w:r>
      <w:r>
        <w:rPr>
          <w:rFonts w:ascii="Times New Roman" w:cs="Times New Roman" w:eastAsia="Times New Roman" w:hAnsi="Times New Roman"/>
          <w:sz w:val="18"/>
          <w:szCs w:val="18"/>
          <w:color w:val="auto"/>
        </w:rPr>
        <w:t xml:space="preserve"> As of March 31, 2022, Medicare claims represent 29% of our clinical testing volume.”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2020 and 2021 Revenue, page 115</w:t>
      </w:r>
    </w:p>
    <w:p>
      <w:pPr>
        <w:spacing w:after="0" w:line="110" w:lineRule="exact"/>
        <w:rPr>
          <w:sz w:val="20"/>
          <w:szCs w:val="20"/>
          <w:color w:val="auto"/>
        </w:rPr>
      </w:pPr>
    </w:p>
    <w:p>
      <w:pPr>
        <w:ind w:left="424" w:hanging="424"/>
        <w:spacing w:after="0" w:line="258" w:lineRule="auto"/>
        <w:tabs>
          <w:tab w:leader="none" w:pos="4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discussion of revenue and cost of revenue for both genomics and data and other so that the historical GAAP amounts are presented first, followed by any discussion of the results adjusted for the impact of COVID-19 PCR testing. To the extent that your revenue or cost of revenue trends were different on a GAAP basis as compared to adjusted for the impact of COVID-19 PCR testing, please ensure that your MD&amp;A addresses those differences in trends and describes the extent to which they are expected to continue. For example, it appears that in 2020, genomics revenues from COVID testing exceeded cost of revenue while that does not seem to be the case for other genomics revenues.</w:t>
      </w:r>
    </w:p>
    <w:p>
      <w:pPr>
        <w:spacing w:after="0" w:line="77"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applicable disclosure to present the comparative historical GAAP amounts for the total genomics revenue and cost of revenues line items as follows:</w:t>
      </w:r>
    </w:p>
    <w:p>
      <w:pPr>
        <w:spacing w:after="0" w:line="5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Genomics revenue increased $43.1 million, or 28.4%, from $151.9 million for the year ended December 31, 2020, compared to</w:t>
      </w:r>
    </w:p>
    <w:p>
      <w:pPr>
        <w:spacing w:after="0" w:line="27" w:lineRule="exact"/>
        <w:rPr>
          <w:sz w:val="20"/>
          <w:szCs w:val="20"/>
          <w:color w:val="auto"/>
        </w:rPr>
      </w:pPr>
    </w:p>
    <w:p>
      <w:pPr>
        <w:ind w:left="984"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$195.0 million for the year ended December 31, 2021. This increase was primarily due to an additional $5.2 million of revenue from COVID-19 PCR testing</w:t>
      </w:r>
      <w:r>
        <w:rPr>
          <w:rFonts w:ascii="Times New Roman" w:cs="Times New Roman" w:eastAsia="Times New Roman" w:hAnsi="Times New Roman"/>
          <w:sz w:val="18"/>
          <w:szCs w:val="18"/>
          <w:color w:val="auto"/>
        </w:rPr>
        <w:t>, and an increase in the number of next generation sequencing tests delivered in oncology, which increased from 44,667 tests for the year ended December 31, 2020 to 69,223 tests in the year ended December 31, 2021.</w:t>
      </w:r>
    </w:p>
    <w:p>
      <w:pPr>
        <w:spacing w:after="0" w:line="2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left="984" w:right="180"/>
        <w:spacing w:after="0" w:line="261" w:lineRule="auto"/>
        <w:rPr>
          <w:sz w:val="20"/>
          <w:szCs w:val="20"/>
          <w:color w:val="auto"/>
        </w:rPr>
      </w:pPr>
      <w:r>
        <w:rPr>
          <w:rFonts w:ascii="Times New Roman" w:cs="Times New Roman" w:eastAsia="Times New Roman" w:hAnsi="Times New Roman"/>
          <w:sz w:val="18"/>
          <w:szCs w:val="18"/>
          <w:color w:val="auto"/>
        </w:rPr>
        <w:t xml:space="preserve">Cost of revenues, genomics was </w:t>
      </w:r>
      <w:r>
        <w:rPr>
          <w:rFonts w:ascii="Times New Roman" w:cs="Times New Roman" w:eastAsia="Times New Roman" w:hAnsi="Times New Roman"/>
          <w:sz w:val="18"/>
          <w:szCs w:val="18"/>
          <w:u w:val="single" w:color="auto"/>
          <w:color w:val="auto"/>
        </w:rPr>
        <w:t>$152.2 million for the year ended December 31, 2020, compared to $162.3 million for 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December 31, 2021, an increase of $10.1 million, or 6.6%</w:t>
      </w:r>
      <w:r>
        <w:rPr>
          <w:rFonts w:ascii="Times New Roman" w:cs="Times New Roman" w:eastAsia="Times New Roman" w:hAnsi="Times New Roman"/>
          <w:sz w:val="18"/>
          <w:szCs w:val="18"/>
          <w:color w:val="auto"/>
        </w:rPr>
        <w:t xml:space="preserve">. The increase was primarily due to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$15.6 million of material and service costs </w:t>
      </w:r>
      <w:r>
        <w:rPr>
          <w:rFonts w:ascii="Times New Roman" w:cs="Times New Roman" w:eastAsia="Times New Roman" w:hAnsi="Times New Roman"/>
          <w:sz w:val="18"/>
          <w:szCs w:val="18"/>
          <w:u w:val="single" w:color="auto"/>
          <w:color w:val="auto"/>
        </w:rPr>
        <w:t>and $1.8 million in inventory write-downs, offset in part by a $10.8 million decrease in Cost of revenues, genomics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with COVID-19 PCR testing</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In addition, the Company respectfully advises the Staff that Data and Other revenue and cost of revenues are not impacted by the Company’s COVID-19 PCR testing business and that the amounts disclosed represent historical GAAP amounts.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Data and Other, page 116</w:t>
      </w:r>
    </w:p>
    <w:p>
      <w:pPr>
        <w:spacing w:after="0" w:line="110" w:lineRule="exact"/>
        <w:rPr>
          <w:sz w:val="20"/>
          <w:szCs w:val="20"/>
          <w:color w:val="auto"/>
        </w:rPr>
      </w:pPr>
    </w:p>
    <w:p>
      <w:pPr>
        <w:ind w:left="424" w:right="240" w:hanging="424"/>
        <w:spacing w:after="0" w:line="267" w:lineRule="auto"/>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discussion of changes in data and other revenue to describe in greater detail the specific reasons for the $36 million (74%) increase from 2020 to 2021. For example, please provide greater context by quantifying the extent to which your business was impacted by new customers and quantifying the extent to which existing customers increased their adoption of products and services.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Four</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will revise the applicable disclosure as follows:</w:t>
      </w:r>
    </w:p>
    <w:p>
      <w:pPr>
        <w:spacing w:after="0" w:line="117" w:lineRule="exact"/>
        <w:rPr>
          <w:sz w:val="20"/>
          <w:szCs w:val="20"/>
          <w:color w:val="auto"/>
        </w:rPr>
      </w:pPr>
    </w:p>
    <w:p>
      <w:pPr>
        <w:ind w:left="984" w:right="20"/>
        <w:spacing w:after="0" w:line="261" w:lineRule="auto"/>
        <w:rPr>
          <w:sz w:val="20"/>
          <w:szCs w:val="20"/>
          <w:color w:val="auto"/>
        </w:rPr>
      </w:pPr>
      <w:r>
        <w:rPr>
          <w:rFonts w:ascii="Times New Roman" w:cs="Times New Roman" w:eastAsia="Times New Roman" w:hAnsi="Times New Roman"/>
          <w:sz w:val="18"/>
          <w:szCs w:val="18"/>
          <w:color w:val="auto"/>
        </w:rPr>
        <w:t xml:space="preserve">“Data and Other revenue increased $26.7 million, or 74.1%, from $36.1 million for the year ended December 31, 2020, compared to $62.8 million for the year ended December 31, 2021. </w:t>
      </w:r>
      <w:r>
        <w:rPr>
          <w:rFonts w:ascii="Times New Roman" w:cs="Times New Roman" w:eastAsia="Times New Roman" w:hAnsi="Times New Roman"/>
          <w:sz w:val="18"/>
          <w:szCs w:val="18"/>
          <w:u w:val="single" w:color="auto"/>
          <w:color w:val="auto"/>
        </w:rPr>
        <w:t>This increase was primarily due to increased demand for our Insights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Across all Data and Other products, the increase was driven equally by</w:t>
      </w:r>
      <w:r>
        <w:rPr>
          <w:rFonts w:ascii="Times New Roman" w:cs="Times New Roman" w:eastAsia="Times New Roman" w:hAnsi="Times New Roman"/>
          <w:sz w:val="18"/>
          <w:szCs w:val="18"/>
          <w:color w:val="auto"/>
        </w:rPr>
        <w:t xml:space="preserve"> adoption of our products and services within our existing customer base and adoption by new customers.”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Quarterly Results of Operations, page 117</w:t>
      </w:r>
    </w:p>
    <w:p>
      <w:pPr>
        <w:spacing w:after="0" w:line="110" w:lineRule="exact"/>
        <w:rPr>
          <w:sz w:val="20"/>
          <w:szCs w:val="20"/>
          <w:color w:val="auto"/>
        </w:rPr>
      </w:pPr>
    </w:p>
    <w:p>
      <w:pPr>
        <w:ind w:left="424" w:right="200" w:hanging="424"/>
        <w:spacing w:after="0" w:line="267" w:lineRule="auto"/>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Your disclosures on page 118 indicate that revenue and costs associated with COVID-19 testing begin to impact results in the second quarter of 2020. However, the table on page 117 only quantifies the impacts of COVID-19 testing beginning with the third quarter of 2020. Please revise accordingly.</w:t>
      </w:r>
    </w:p>
    <w:p>
      <w:pPr>
        <w:spacing w:after="0" w:line="67" w:lineRule="exact"/>
        <w:rPr>
          <w:rFonts w:ascii="Times New Roman" w:cs="Times New Roman" w:eastAsia="Times New Roman" w:hAnsi="Times New Roman"/>
          <w:sz w:val="18"/>
          <w:szCs w:val="18"/>
          <w:i w:val="1"/>
          <w:iCs w:val="1"/>
          <w:color w:val="auto"/>
        </w:rPr>
      </w:pPr>
    </w:p>
    <w:p>
      <w:pPr>
        <w:ind w:left="444"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will revise the applicable disclosure to reflect that revenue and costs associated with COVID-19 testing began to impact results in the third quarter of 2020, consistent with the presentation in the table, as follows:</w:t>
      </w:r>
    </w:p>
    <w:p>
      <w:pPr>
        <w:spacing w:after="0" w:line="26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Revenue Trends</w:t>
      </w:r>
    </w:p>
    <w:p>
      <w:pPr>
        <w:spacing w:after="0" w:line="121" w:lineRule="exact"/>
        <w:rPr>
          <w:sz w:val="20"/>
          <w:szCs w:val="20"/>
          <w:color w:val="auto"/>
        </w:rPr>
      </w:pPr>
    </w:p>
    <w:p>
      <w:pPr>
        <w:ind w:left="984" w:right="340"/>
        <w:spacing w:after="0" w:line="282" w:lineRule="auto"/>
        <w:rPr>
          <w:sz w:val="20"/>
          <w:szCs w:val="20"/>
          <w:color w:val="auto"/>
        </w:rPr>
      </w:pPr>
      <w:r>
        <w:rPr>
          <w:rFonts w:ascii="Times New Roman" w:cs="Times New Roman" w:eastAsia="Times New Roman" w:hAnsi="Times New Roman"/>
          <w:sz w:val="18"/>
          <w:szCs w:val="18"/>
          <w:color w:val="auto"/>
        </w:rPr>
        <w:t xml:space="preserve">Beginning in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quarter of 2020, revenue from COVID-19 testing impacted the Genomics revenue line as illustrated in the table above.</w:t>
      </w:r>
    </w:p>
    <w:p>
      <w:pPr>
        <w:spacing w:after="0" w:line="1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21" w:lineRule="exact"/>
        <w:rPr>
          <w:sz w:val="20"/>
          <w:szCs w:val="20"/>
          <w:color w:val="auto"/>
        </w:rPr>
      </w:pPr>
    </w:p>
    <w:p>
      <w:pPr>
        <w:ind w:left="984"/>
        <w:spacing w:after="0" w:line="282" w:lineRule="auto"/>
        <w:rPr>
          <w:sz w:val="20"/>
          <w:szCs w:val="20"/>
          <w:color w:val="auto"/>
        </w:rPr>
      </w:pPr>
      <w:r>
        <w:rPr>
          <w:rFonts w:ascii="Times New Roman" w:cs="Times New Roman" w:eastAsia="Times New Roman" w:hAnsi="Times New Roman"/>
          <w:sz w:val="18"/>
          <w:szCs w:val="18"/>
          <w:color w:val="auto"/>
        </w:rPr>
        <w:t xml:space="preserve">Beginning in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quarter of 2020, costs associated with COVID-19 testing impacted the Cost of revenues, genomics line as illustrated in the table above.”</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Quarterly Results of Operations, page 117</w:t>
      </w:r>
    </w:p>
    <w:p>
      <w:pPr>
        <w:spacing w:after="0" w:line="110" w:lineRule="exact"/>
        <w:rPr>
          <w:sz w:val="20"/>
          <w:szCs w:val="20"/>
          <w:color w:val="auto"/>
        </w:rPr>
      </w:pPr>
    </w:p>
    <w:p>
      <w:pPr>
        <w:ind w:left="424" w:right="40" w:hanging="424"/>
        <w:spacing w:after="0" w:line="267" w:lineRule="auto"/>
        <w:tabs>
          <w:tab w:leader="none" w:pos="42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discussion of quarterly costs and operating expense trends on page 118 to explain what caused the significant decline in genomics cost of revenue associated with COVID-19 testing relative to genomics revenue from COVID-19 testing during the last three quarters of fiscal 2021 compared to the previous three quarters.</w:t>
      </w:r>
    </w:p>
    <w:p>
      <w:pPr>
        <w:spacing w:after="0" w:line="67" w:lineRule="exact"/>
        <w:rPr>
          <w:rFonts w:ascii="Times New Roman" w:cs="Times New Roman" w:eastAsia="Times New Roman" w:hAnsi="Times New Roman"/>
          <w:sz w:val="18"/>
          <w:szCs w:val="18"/>
          <w:i w:val="1"/>
          <w:iCs w:val="1"/>
          <w:color w:val="auto"/>
        </w:rPr>
      </w:pPr>
    </w:p>
    <w:p>
      <w:pPr>
        <w:ind w:left="44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will revise the applicable disclosure as follows:</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Costs and Operating Expense Trends</w:t>
      </w:r>
    </w:p>
    <w:p>
      <w:pPr>
        <w:spacing w:after="0" w:line="121" w:lineRule="exact"/>
        <w:rPr>
          <w:sz w:val="20"/>
          <w:szCs w:val="20"/>
          <w:color w:val="auto"/>
        </w:rPr>
      </w:pPr>
    </w:p>
    <w:p>
      <w:pPr>
        <w:ind w:left="984"/>
        <w:spacing w:after="0" w:line="282" w:lineRule="auto"/>
        <w:rPr>
          <w:sz w:val="20"/>
          <w:szCs w:val="20"/>
          <w:color w:val="auto"/>
        </w:rPr>
      </w:pPr>
      <w:r>
        <w:rPr>
          <w:rFonts w:ascii="Times New Roman" w:cs="Times New Roman" w:eastAsia="Times New Roman" w:hAnsi="Times New Roman"/>
          <w:sz w:val="18"/>
          <w:szCs w:val="18"/>
          <w:color w:val="auto"/>
        </w:rPr>
        <w:t>Beginning in the third quarter of 2020, costs associated with COVID-19 testing impacted the Cost of revenues, genomics line as illustrated in the table above.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84"/>
          </w:cols>
          <w:pgMar w:left="436" w:top="270"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Five</w:t>
      </w:r>
    </w:p>
    <w:p>
      <w:pPr>
        <w:spacing w:after="0" w:line="139" w:lineRule="exact"/>
        <w:rPr>
          <w:sz w:val="20"/>
          <w:szCs w:val="20"/>
          <w:color w:val="auto"/>
        </w:rPr>
      </w:pPr>
    </w:p>
    <w:p>
      <w:pPr>
        <w:ind w:left="984" w:right="80"/>
        <w:spacing w:after="0" w:line="261" w:lineRule="auto"/>
        <w:rPr>
          <w:sz w:val="20"/>
          <w:szCs w:val="20"/>
          <w:color w:val="auto"/>
        </w:rPr>
      </w:pPr>
      <w:r>
        <w:rPr>
          <w:rFonts w:ascii="Times New Roman" w:cs="Times New Roman" w:eastAsia="Times New Roman" w:hAnsi="Times New Roman"/>
          <w:sz w:val="18"/>
          <w:szCs w:val="18"/>
          <w:color w:val="auto"/>
        </w:rPr>
        <w:t xml:space="preserve">Our costs and operating expenses primarily increased during the periods presented due to the addition of personnel in connection with the growth of our business. </w:t>
      </w:r>
      <w:r>
        <w:rPr>
          <w:rFonts w:ascii="Times New Roman" w:cs="Times New Roman" w:eastAsia="Times New Roman" w:hAnsi="Times New Roman"/>
          <w:sz w:val="18"/>
          <w:szCs w:val="18"/>
          <w:u w:val="single" w:color="auto"/>
          <w:color w:val="auto"/>
        </w:rPr>
        <w:t>Cost of revenue, genomics associated with COVID-19 testing relative to net revenue recorded from COVID-19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testing has decreased over time as a result of efficiencies gained from streamlining our testing process since its inception in the third quarter of 2020.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5040"/>
        <w:spacing w:after="0" w:line="282" w:lineRule="auto"/>
        <w:rPr>
          <w:sz w:val="20"/>
          <w:szCs w:val="20"/>
          <w:color w:val="auto"/>
        </w:rPr>
      </w:pPr>
      <w:r>
        <w:rPr>
          <w:rFonts w:ascii="Times New Roman" w:cs="Times New Roman" w:eastAsia="Times New Roman" w:hAnsi="Times New Roman"/>
          <w:sz w:val="18"/>
          <w:szCs w:val="18"/>
          <w:u w:val="single" w:color="auto"/>
          <w:color w:val="auto"/>
        </w:rPr>
        <w:t>Consolidated Financial Statements 2. Summary of Significant Accounting Policies Revenue Recognition, page F-13</w:t>
      </w:r>
    </w:p>
    <w:p>
      <w:pPr>
        <w:spacing w:after="0" w:line="65" w:lineRule="exact"/>
        <w:rPr>
          <w:sz w:val="20"/>
          <w:szCs w:val="20"/>
          <w:color w:val="auto"/>
        </w:rPr>
      </w:pPr>
    </w:p>
    <w:p>
      <w:pPr>
        <w:jc w:val="both"/>
        <w:ind w:left="424" w:hanging="424"/>
        <w:spacing w:after="0" w:line="267" w:lineRule="auto"/>
        <w:tabs>
          <w:tab w:leader="none" w:pos="42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discussion of the November 2021 Master Services Agreement with AstraZeneca on pages 110 and F-15. Please tell us if AstraZeneca will be required to pay any penalties to you if they do not meet the $200 minimum purchase commitment. Please also tell us how you considered if this agreement provides the customer with a material right. Please refer to ASC 606-10-55-41 through 55-45.</w:t>
      </w:r>
    </w:p>
    <w:p>
      <w:pPr>
        <w:spacing w:after="0" w:line="175" w:lineRule="exact"/>
        <w:rPr>
          <w:rFonts w:ascii="Times New Roman" w:cs="Times New Roman" w:eastAsia="Times New Roman" w:hAnsi="Times New Roman"/>
          <w:sz w:val="18"/>
          <w:szCs w:val="18"/>
          <w:i w:val="1"/>
          <w:iCs w:val="1"/>
          <w:color w:val="auto"/>
        </w:rPr>
      </w:pPr>
    </w:p>
    <w:p>
      <w:pPr>
        <w:ind w:left="444" w:right="4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advises the Staff that per the terms of the November 2021 Master Services Agreement, in the scenario in which AstraZeneca terminates for convenience and has not fulfilled its financial commitment of $200 million, AstraZeneca will be liable to pay the Company the balance of its unfulfilled financial commitment.</w:t>
      </w:r>
    </w:p>
    <w:p>
      <w:pPr>
        <w:spacing w:after="0" w:line="67" w:lineRule="exact"/>
        <w:rPr>
          <w:rFonts w:ascii="Times New Roman" w:cs="Times New Roman" w:eastAsia="Times New Roman" w:hAnsi="Times New Roman"/>
          <w:sz w:val="18"/>
          <w:szCs w:val="18"/>
          <w:i w:val="1"/>
          <w:iCs w:val="1"/>
          <w:color w:val="auto"/>
        </w:rPr>
      </w:pPr>
    </w:p>
    <w:p>
      <w:pPr>
        <w:ind w:left="444"/>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evaluating whether the agreement provides the customer a material right, the Company noted that the AstraZeneca agreement is a long-term master services agreement, with an unspecified scope of services, and includes a fixed discount for the duration of the agreement. The right to the discounted price is independent from other contracts or purchases by AstraZeneca. Thus, the Company concluded that the contract does not contain a material right, as the customer is not receiving a future discount as a result of making a current purchase and is not paying in advance for future goods or services, as discussed in ASC 606-10-55-42. Further, when evaluating the pricing in the contract based on a similar class of customer (defined as global pharmaceutical companies engaged in data licensing and related services type arrangements), the Company concluded the pricing is within the range of discounts typically given for services for a similar class of customer.</w:t>
      </w:r>
    </w:p>
    <w:p>
      <w:pPr>
        <w:spacing w:after="0" w:line="78" w:lineRule="exact"/>
        <w:rPr>
          <w:rFonts w:ascii="Times New Roman" w:cs="Times New Roman" w:eastAsia="Times New Roman" w:hAnsi="Times New Roman"/>
          <w:sz w:val="18"/>
          <w:szCs w:val="18"/>
          <w:i w:val="1"/>
          <w:iCs w:val="1"/>
          <w:color w:val="auto"/>
        </w:rPr>
      </w:pPr>
    </w:p>
    <w:p>
      <w:pPr>
        <w:ind w:left="444" w:right="1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Company notes that a similar example was evaluated in TRG Paper 54, </w:t>
      </w:r>
      <w:r>
        <w:rPr>
          <w:rFonts w:ascii="Times New Roman" w:cs="Times New Roman" w:eastAsia="Times New Roman" w:hAnsi="Times New Roman"/>
          <w:sz w:val="18"/>
          <w:szCs w:val="18"/>
          <w:i w:val="1"/>
          <w:iCs w:val="1"/>
          <w:color w:val="auto"/>
        </w:rPr>
        <w:t>Considering Class of Customer When Evaluating Whether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 Option Gives Rise to a Material Right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Example 1 - Preferred customer pricing</w:t>
      </w:r>
      <w:r>
        <w:rPr>
          <w:rFonts w:ascii="Times New Roman" w:cs="Times New Roman" w:eastAsia="Times New Roman" w:hAnsi="Times New Roman"/>
          <w:sz w:val="18"/>
          <w:szCs w:val="18"/>
          <w:color w:val="auto"/>
        </w:rPr>
        <w:t>. The FASB staff concluded in this example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does not contain a material right, as the pricing offered to the customer was not dependent on any existing or prior contracts with that customer.</w:t>
      </w:r>
    </w:p>
    <w:p>
      <w:pPr>
        <w:spacing w:after="0" w:line="182" w:lineRule="exact"/>
        <w:rPr>
          <w:sz w:val="20"/>
          <w:szCs w:val="20"/>
          <w:color w:val="auto"/>
        </w:rPr>
      </w:pPr>
    </w:p>
    <w:p>
      <w:pPr>
        <w:jc w:val="center"/>
        <w:ind w:right="-23"/>
        <w:spacing w:after="0"/>
        <w:tabs>
          <w:tab w:leader="none" w:pos="160" w:val="left"/>
          <w:tab w:leader="none" w:pos="2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(312) 881-6670 with any questions or further comments regarding our responses to the Staff’s Comments.</w:t>
      </w:r>
    </w:p>
    <w:p>
      <w:pPr>
        <w:spacing w:after="0" w:line="158" w:lineRule="exact"/>
        <w:rPr>
          <w:sz w:val="20"/>
          <w:szCs w:val="20"/>
          <w:color w:val="auto"/>
        </w:rPr>
      </w:pPr>
    </w:p>
    <w:p>
      <w:pPr>
        <w:ind w:left="2964"/>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84"/>
          </w:cols>
          <w:pgMar w:left="436" w:top="27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22,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Six</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50" w:lineRule="exact"/>
        <w:rPr>
          <w:sz w:val="20"/>
          <w:szCs w:val="20"/>
          <w:color w:val="auto"/>
        </w:rPr>
      </w:pPr>
    </w:p>
    <w:p>
      <w:pPr>
        <w:ind w:left="444" w:right="7019" w:hanging="444"/>
        <w:spacing w:after="0" w:line="257" w:lineRule="auto"/>
        <w:tabs>
          <w:tab w:leader="none" w:pos="4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Richard Segal</w:t>
      </w:r>
      <w:r>
        <w:rPr>
          <w:rFonts w:ascii="Times New Roman" w:cs="Times New Roman" w:eastAsia="Times New Roman" w:hAnsi="Times New Roman"/>
          <w:sz w:val="18"/>
          <w:szCs w:val="18"/>
          <w:i w:val="1"/>
          <w:iCs w:val="1"/>
          <w:color w:val="auto"/>
        </w:rPr>
        <w:t>, Cooley LLP</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color w:val="auto"/>
        </w:rPr>
        <w:t>Cooley LLP 110 N. Wacker Drive Suite 4200 Chicago, IL 60606-1511</w:t>
      </w:r>
    </w:p>
    <w:p>
      <w:pPr>
        <w:spacing w:after="0" w:line="39"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color w:val="auto"/>
        </w:rPr>
        <w:t>t: (312) 881-6500- f: (312) 881-6598 cooley.com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2024-07-22T23:27:14Z</dcterms:created>
  <dcterms:modified xsi:type="dcterms:W3CDTF">2024-07-22T23:27:14Z</dcterms:modified>
</cp:coreProperties>
</file>