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em-20260630.htm"/>
      <w:bookmarkStart w:id="1" w:name="kstem20260630"/>
      <w:bookmarkEnd w:id="0"/>
      <w:bookmarkEnd w:id="1"/>
      <w:r>
        <w:rPr/>
        <w:t> </w:t>
      </w:r>
    </w:p>
    <w:p>
      <w:pPr>
        <w:pStyle w:val="TextBody"/>
        <w:pBdr>
          <w:top w:val="double" w:sz="6" w:space="1" w:color="000000"/>
        </w:pBdr>
        <w:bidi w:val="0"/>
        <w:spacing w:before="40" w:after="283"/>
        <w:jc w:val="center"/>
        <w:rPr/>
      </w:pPr>
      <w:r>
        <w:rPr/>
        <w:t> </w:t>
      </w:r>
    </w:p>
    <w:p>
      <w:pPr>
        <w:pStyle w:val="TextBody"/>
        <w:bidi w:val="0"/>
        <w:spacing w:before="40" w:after="283"/>
        <w:jc w:val="center"/>
        <w:rPr>
          <w:rFonts w:ascii="Times New Roman" w:hAnsi="Times New Roman"/>
          <w:b/>
          <w:color w:val="000000"/>
          <w:sz w:val="33"/>
        </w:rPr>
      </w:pPr>
      <w:r>
        <w:rPr>
          <w:rFonts w:ascii="Times New Roman" w:hAnsi="Times New Roman"/>
          <w:b/>
          <w:color w:val="000000"/>
          <w:sz w:val="33"/>
        </w:rPr>
        <w:t>UNITED STATES</w:t>
      </w:r>
    </w:p>
    <w:p>
      <w:pPr>
        <w:pStyle w:val="TextBody"/>
        <w:bidi w:val="0"/>
        <w:jc w:val="center"/>
        <w:rPr>
          <w:rFonts w:ascii="Times New Roman" w:hAnsi="Times New Roman"/>
          <w:b/>
          <w:color w:val="000000"/>
          <w:sz w:val="33"/>
        </w:rPr>
      </w:pPr>
      <w:r>
        <w:rPr>
          <w:rFonts w:ascii="Times New Roman" w:hAnsi="Times New Roman"/>
          <w:b/>
          <w:color w:val="000000"/>
          <w:sz w:val="33"/>
        </w:rPr>
        <w:t>SECURITIES AND EXCHANGE COMMISSION</w:t>
      </w:r>
    </w:p>
    <w:p>
      <w:pPr>
        <w:pStyle w:val="TextBody"/>
        <w:bidi w:val="0"/>
        <w:jc w:val="center"/>
        <w:rPr>
          <w:rFonts w:ascii="Times New Roman" w:hAnsi="Times New Roman"/>
          <w:b/>
          <w:color w:val="000000"/>
          <w:sz w:val="21"/>
        </w:rPr>
      </w:pPr>
      <w:r>
        <w:rPr>
          <w:rFonts w:ascii="Times New Roman" w:hAnsi="Times New Roman"/>
          <w:b/>
          <w:color w:val="000000"/>
          <w:sz w:val="21"/>
        </w:rPr>
        <w:t>Washington, D.C. 20549</w:t>
      </w:r>
    </w:p>
    <w:p>
      <w:pPr>
        <w:pStyle w:val="TextBody"/>
        <w:bidi w:val="0"/>
        <w:spacing w:before="120" w:after="283"/>
        <w:jc w:val="center"/>
        <w:rPr>
          <w:rFonts w:ascii="Times New Roman" w:hAnsi="Times New Roman"/>
          <w:b/>
          <w:color w:val="000000"/>
          <w:sz w:val="33"/>
        </w:rPr>
      </w:pPr>
      <w:r>
        <w:rPr>
          <w:rFonts w:ascii="Times New Roman" w:hAnsi="Times New Roman"/>
          <w:b/>
          <w:color w:val="000000"/>
          <w:sz w:val="33"/>
        </w:rPr>
        <w:t>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(Mark One)</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7"/>
        </w:rPr>
        <w:t>For the quarterly period ended June 30, 2026</w:t>
      </w:r>
      <w:r>
        <w:rPr>
          <w:rFonts w:ascii="Times New Roman" w:hAnsi="Times New Roman"/>
          <w:color w:val="000000"/>
          <w:sz w:val="17"/>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40" w:after="283"/>
        <w:jc w:val="left"/>
        <w:rPr/>
      </w:pPr>
      <w:r>
        <w:rPr/>
        <w:t> </w:t>
      </w:r>
    </w:p>
    <w:p>
      <w:pPr>
        <w:pStyle w:val="TextBody"/>
        <w:bidi w:val="0"/>
        <w:jc w:val="center"/>
        <w:rPr>
          <w:rFonts w:ascii="Times New Roman" w:hAnsi="Times New Roman"/>
          <w:sz w:val="20"/>
        </w:rPr>
      </w:pPr>
      <w:r>
        <w:rPr>
          <w:rFonts w:ascii="Times New Roman" w:hAnsi="Times New Roman"/>
          <w:b/>
          <w:color w:val="000000"/>
          <w:sz w:val="17"/>
        </w:rPr>
        <w:t>For the transition period from _________ to _________</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7"/>
        </w:rPr>
        <w:t>Commission File No. 001-42130</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5"/>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(Exact name of registrant as specified in its charter)</w:t>
      </w:r>
      <w:r>
        <w:rPr>
          <w:rFonts w:ascii="Times New Roman" w:hAnsi="Times New Roman"/>
          <w:color w:val="000000"/>
          <w:sz w:val="20"/>
        </w:rPr>
        <w:t xml:space="preserve"> </w:t>
      </w:r>
    </w:p>
    <w:p>
      <w:pPr>
        <w:pStyle w:val="TextBody"/>
        <w:bidi w:val="0"/>
        <w:jc w:val="center"/>
        <w:rPr/>
      </w:pPr>
      <w:r>
        <w:rPr/>
        <w:t> </w:t>
      </w:r>
    </w:p>
    <w:p>
      <w:pPr>
        <w:pStyle w:val="TextBody"/>
        <w:pBdr>
          <w:top w:val="single" w:sz="6" w:space="1" w:color="000000"/>
        </w:pBdr>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Nevada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47-4903308</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40" w:after="283"/>
        <w:jc w:val="center"/>
        <w:rPr>
          <w:rFonts w:ascii="Times New Roman" w:hAnsi="Times New Roman"/>
          <w:sz w:val="20"/>
        </w:rPr>
      </w:pPr>
      <w:r>
        <w:rPr>
          <w:rFonts w:ascii="Times New Roman" w:hAnsi="Times New Roman"/>
          <w:b/>
          <w:color w:val="000000"/>
          <w:sz w:val="17"/>
        </w:rPr>
        <w:t>600 West Chicago Avenue, Suite 510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Chicago, IL</w:t>
      </w:r>
      <w:r>
        <w:rPr>
          <w:rFonts w:ascii="Times New Roman" w:hAnsi="Times New Roman"/>
          <w:color w:val="000000"/>
          <w:sz w:val="20"/>
        </w:rPr>
        <w:t xml:space="preserve"> </w:t>
      </w:r>
      <w:r>
        <w:rPr>
          <w:rFonts w:ascii="Times New Roman" w:hAnsi="Times New Roman"/>
          <w:b/>
          <w:color w:val="000000"/>
          <w:sz w:val="17"/>
        </w:rPr>
        <w:t>60654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Zip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7"/>
        </w:rPr>
        <w:t>(800) 976-5448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7"/>
        </w:rPr>
        <w:t>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former address and former fiscal year, if changed since last report)</w:t>
      </w:r>
      <w:r>
        <w:rPr>
          <w:rFonts w:ascii="Times New Roman" w:hAnsi="Times New Roman"/>
          <w:color w:val="000000"/>
          <w:sz w:val="20"/>
        </w:rPr>
        <w:t xml:space="preserve"> </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165" w:type="dxa"/>
        <w:jc w:val="left"/>
        <w:tblInd w:w="0" w:type="dxa"/>
        <w:tblLayout w:type="fixed"/>
        <w:tblCellMar>
          <w:top w:w="28" w:type="dxa"/>
          <w:left w:w="28" w:type="dxa"/>
          <w:bottom w:w="28" w:type="dxa"/>
          <w:right w:w="28" w:type="dxa"/>
        </w:tblCellMar>
      </w:tblPr>
      <w:tblGrid>
        <w:gridCol w:w="3736"/>
        <w:gridCol w:w="146"/>
        <w:gridCol w:w="826"/>
        <w:gridCol w:w="146"/>
        <w:gridCol w:w="2311"/>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1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sz w:val="16"/>
              </w:rPr>
            </w:pPr>
            <w:r>
              <w:rPr>
                <w:rFonts w:ascii="Times New Roman" w:hAnsi="Times New Roman"/>
                <w:b/>
                <w:color w:val="000000"/>
                <w:sz w:val="16"/>
              </w:rPr>
              <w:t>on which registered</w:t>
            </w:r>
            <w:r>
              <w:rPr>
                <w:rFonts w:ascii="Times New Roman" w:hAnsi="Times New Roman"/>
                <w:color w:val="000000"/>
                <w:sz w:val="16"/>
              </w:rPr>
              <w:t xml:space="preserve"> </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TEM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pBdr>
          <w:bottom w:val="single" w:sz="6" w:space="1" w:color="000000"/>
        </w:pBdr>
        <w:bidi w:val="0"/>
        <w:spacing w:before="40" w:after="283"/>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Indicate by check mark whether the registrant is a shell company (as defined in Rule 12b-2 of the Exchange Act): Yes☐ No</w:t>
      </w:r>
      <w:r>
        <w:rPr>
          <w:rFonts w:ascii="Times New Roman" w:hAnsi="Times New Roman"/>
          <w:color w:val="000000"/>
          <w:sz w:val="20"/>
        </w:rPr>
        <w:t xml:space="preserve">☒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7"/>
        </w:rPr>
        <w:t>As of July 24, 2026, there were 175,390,967</w:t>
      </w:r>
      <w:r>
        <w:rPr>
          <w:rFonts w:ascii="Times New Roman" w:hAnsi="Times New Roman"/>
          <w:color w:val="000000"/>
          <w:sz w:val="20"/>
        </w:rPr>
        <w:t xml:space="preserve"> </w:t>
      </w:r>
      <w:r>
        <w:rPr>
          <w:rFonts w:ascii="Times New Roman" w:hAnsi="Times New Roman"/>
          <w:color w:val="000000"/>
          <w:sz w:val="17"/>
        </w:rPr>
        <w:t>shares of Class A common stock and 5,043,789</w:t>
      </w:r>
      <w:r>
        <w:rPr>
          <w:rFonts w:ascii="Times New Roman" w:hAnsi="Times New Roman"/>
          <w:color w:val="000000"/>
          <w:sz w:val="20"/>
        </w:rPr>
        <w:t xml:space="preserve"> </w:t>
      </w:r>
      <w:r>
        <w:rPr>
          <w:rFonts w:ascii="Times New Roman" w:hAnsi="Times New Roman"/>
          <w:color w:val="000000"/>
          <w:sz w:val="17"/>
        </w:rPr>
        <w:t>shares of Class B common stock, each with a par value of $0.0001 per share, outstanding.</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983" w:type="dxa"/>
        <w:jc w:val="left"/>
        <w:tblInd w:w="0" w:type="dxa"/>
        <w:tblLayout w:type="fixed"/>
        <w:tblCellMar>
          <w:top w:w="28" w:type="dxa"/>
          <w:left w:w="28" w:type="dxa"/>
          <w:bottom w:w="28" w:type="dxa"/>
          <w:right w:w="28" w:type="dxa"/>
        </w:tblCellMar>
      </w:tblPr>
      <w:tblGrid>
        <w:gridCol w:w="811"/>
        <w:gridCol w:w="7601"/>
        <w:gridCol w:w="571"/>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760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4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12" w:type="dxa"/>
            <w:gridSpan w:val="2"/>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 – Condensed Consolidated Financial Statements (Unaudited)</w:t>
              </w:r>
            </w:hyperlink>
            <w:hyperlink w:anchor="part_i">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601" w:type="dxa"/>
            <w:tcBorders/>
            <w:tcMar>
              <w:top w:w="0" w:type="dxa"/>
              <w:left w:w="0" w:type="dxa"/>
              <w:bottom w:w="0" w:type="dxa"/>
              <w:right w:w="0" w:type="dxa"/>
            </w:tcMar>
            <w:vAlign w:val="center"/>
          </w:tcPr>
          <w:p>
            <w:pPr>
              <w:pStyle w:val="TableContents"/>
              <w:bidi w:val="0"/>
              <w:spacing w:before="0" w:after="283"/>
              <w:jc w:val="left"/>
              <w:rPr/>
            </w:pPr>
            <w:hyperlink w:anchor="condensed_consolid_quarterly_unaudited">
              <w:r>
                <w:rPr>
                  <w:rStyle w:val="InternetLink"/>
                  <w:rFonts w:ascii="Times New Roman" w:hAnsi="Times New Roman"/>
                  <w:color w:val="0000FF"/>
                  <w:sz w:val="20"/>
                  <w:u w:val="single"/>
                </w:rPr>
                <w:t>Condensed Consolidated Quarterly Financial Statements (Unaudited)</w:t>
              </w:r>
            </w:hyperlink>
            <w:hyperlink w:anchor="condensed_consolid_quarterly_unaudited">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balance_sheet">
              <w:r>
                <w:rPr>
                  <w:rStyle w:val="InternetLink"/>
                  <w:rFonts w:ascii="Times New Roman" w:hAnsi="Times New Roman"/>
                  <w:color w:val="0000FF"/>
                  <w:sz w:val="20"/>
                  <w:u w:val="single"/>
                </w:rPr>
                <w:t>Condensed Consolidated Balance Sheets</w:t>
              </w:r>
            </w:hyperlink>
            <w:hyperlink w:anchor="balance_sheet">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operations_and_comprehensive_loss">
              <w:r>
                <w:rPr>
                  <w:rStyle w:val="InternetLink"/>
                  <w:rFonts w:ascii="Times New Roman" w:hAnsi="Times New Roman"/>
                  <w:color w:val="0000FF"/>
                  <w:sz w:val="20"/>
                  <w:u w:val="single"/>
                </w:rPr>
                <w:t>Condensed Consolidated Statements of Operations and Comprehensive Income (Loss)</w:t>
              </w:r>
            </w:hyperlink>
            <w:hyperlink w:anchor="operations_and_comprehensive_loss">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statements_of_cash_flow">
              <w:r>
                <w:rPr>
                  <w:rStyle w:val="InternetLink"/>
                  <w:rFonts w:ascii="Times New Roman" w:hAnsi="Times New Roman"/>
                  <w:color w:val="0000FF"/>
                  <w:sz w:val="20"/>
                  <w:u w:val="single"/>
                </w:rPr>
                <w:t>Condensed Consolidated Statements of Cash Flows</w:t>
              </w:r>
            </w:hyperlink>
            <w:hyperlink w:anchor="statements_of_cash_flow">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statement_of_equity">
              <w:r>
                <w:rPr>
                  <w:rStyle w:val="InternetLink"/>
                  <w:rFonts w:ascii="Times New Roman" w:hAnsi="Times New Roman"/>
                  <w:color w:val="0000FF"/>
                  <w:sz w:val="20"/>
                  <w:u w:val="single"/>
                </w:rPr>
                <w:t>Condensed Consolidated Statements of Common Stock and Stockholders’ Equity</w:t>
              </w:r>
            </w:hyperlink>
            <w:hyperlink w:anchor="statement_of_equity">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notes_condensed_consolidated_financial">
              <w:r>
                <w:rPr>
                  <w:rStyle w:val="InternetLink"/>
                  <w:rFonts w:ascii="Times New Roman" w:hAnsi="Times New Roman"/>
                  <w:color w:val="0000FF"/>
                  <w:sz w:val="20"/>
                  <w:u w:val="single"/>
                </w:rPr>
                <w:t>Notes to Condensed Consolidated Financial Statements</w:t>
              </w:r>
            </w:hyperlink>
            <w:hyperlink w:anchor="notes_condensed_consolidated_financial">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601"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601" w:type="dxa"/>
            <w:tcBorders/>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601"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4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2"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 – Other Information</w:t>
              </w:r>
            </w:hyperlink>
            <w:hyperlink w:anchor="part_ii">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60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60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60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60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60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601"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60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hyperlink w:anchor="item_6_exhibits">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84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hyperlink w:anchor="signatures">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3" w:name="condensed_consolid_quarterly_unaudited"/>
      <w:bookmarkEnd w:id="3"/>
      <w:r>
        <w:rPr>
          <w:rFonts w:ascii="Times New Roman" w:hAnsi="Times New Roman"/>
          <w:color w:val="000000"/>
          <w:sz w:val="20"/>
        </w:rPr>
        <w:t xml:space="preserve">Condensed Consolidated Quarterly Financial Statements (Unaudited) </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_sheet"/>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78"/>
        <w:gridCol w:w="146"/>
        <w:gridCol w:w="211"/>
        <w:gridCol w:w="931"/>
        <w:gridCol w:w="146"/>
        <w:gridCol w:w="146"/>
        <w:gridCol w:w="250"/>
        <w:gridCol w:w="1105"/>
        <w:gridCol w:w="792"/>
      </w:tblGrid>
      <w:tr>
        <w:trPr/>
        <w:tc>
          <w:tcPr>
            <w:tcW w:w="6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604,787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r>
              <w:rPr>
                <w:rFonts w:ascii="Times New Roman" w:hAnsi="Times New Roman"/>
                <w:color w:val="000000"/>
                <w:sz w:val="20"/>
              </w:rPr>
              <w:t>, net of allowances of $2,794 and $2,755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51,724</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40,498</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1,167,175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470,211</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349,202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21,111</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2,274,838</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redeemable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81,994</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155,370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92,673</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372,388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728,078</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1,783,512</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Includes related party accounts receivable of $10,924 and $6,428 as of June 30, 2026 and December 31, 2025, respectively.</w:t>
      </w:r>
    </w:p>
    <w:p>
      <w:pPr>
        <w:pStyle w:val="TextBody"/>
        <w:bidi w:val="0"/>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Includes related party deferred revenue of $403 and $3,938 as of June 30, 2026 and December 31, 2025,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2"/>
        <w:gridCol w:w="146"/>
        <w:gridCol w:w="211"/>
        <w:gridCol w:w="991"/>
        <w:gridCol w:w="166"/>
        <w:gridCol w:w="146"/>
        <w:gridCol w:w="211"/>
        <w:gridCol w:w="991"/>
        <w:gridCol w:w="4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redeemable preferred stock, $0.0001 par value, 20,000,000 shares authorized at June 30, 2026 and December 31, 2025, respectively, no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$0.0001 par value, 1,000,000,000 shares authorized at June 30, 2026 and December 31, 2025, respectively; 175,200,077 and 173,235,428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$0.0001 par value, 5,500,000 shares authorized at June 30, 2026 and December 31, 2025, respectively; 5,043,789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183,229 shares at June 30, 2026 and December 31, 2025, respectively,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2,892,910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(2,395,862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Convertible redeemable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operations_and_comprehensive_loss"/>
      <w:bookmarkEnd w:id="5"/>
      <w:r>
        <w:rPr>
          <w:rFonts w:ascii="Times New Roman" w:hAnsi="Times New Roman"/>
          <w:b/>
          <w:color w:val="000000"/>
          <w:sz w:val="20"/>
        </w:rPr>
        <w:t>CONDENSED CONSOLIDATED STATEMENTS OF OPERATIONS AND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24"/>
        <w:gridCol w:w="146"/>
        <w:gridCol w:w="211"/>
        <w:gridCol w:w="781"/>
        <w:gridCol w:w="166"/>
        <w:gridCol w:w="146"/>
        <w:gridCol w:w="211"/>
        <w:gridCol w:w="781"/>
        <w:gridCol w:w="166"/>
        <w:gridCol w:w="146"/>
        <w:gridCol w:w="211"/>
        <w:gridCol w:w="841"/>
        <w:gridCol w:w="166"/>
        <w:gridCol w:w="146"/>
        <w:gridCol w:w="211"/>
        <w:gridCol w:w="841"/>
        <w:gridCol w:w="611"/>
      </w:tblGrid>
      <w:tr>
        <w:trPr/>
        <w:tc>
          <w:tcPr>
            <w:tcW w:w="4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Diagnostics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Data and applications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570,372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 to compute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171,960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171,960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related party revenue of $40 and $0 for the three months ended June 30, 2026 and 2025, respectively. Includes related party revenue of $190 and $1 for the six months ended June 30, 2026 and 2025,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Includes related party revenue of $21,984 and $15,908 for the three months ended June 30, 2026 and 2025, respectively. Includes related party revenue of $43,657 and $16,538 for the six months ended June 30, 2026 and 2025, respectively.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statements_of_cash_flow"/>
      <w:bookmarkEnd w:id="6"/>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9144" w:type="dxa"/>
        <w:jc w:val="left"/>
        <w:tblInd w:w="0" w:type="dxa"/>
        <w:tblLayout w:type="fixed"/>
        <w:tblCellMar>
          <w:top w:w="28" w:type="dxa"/>
          <w:left w:w="28" w:type="dxa"/>
          <w:bottom w:w="28" w:type="dxa"/>
          <w:right w:w="28" w:type="dxa"/>
        </w:tblCellMar>
      </w:tblPr>
      <w:tblGrid>
        <w:gridCol w:w="5971"/>
        <w:gridCol w:w="146"/>
        <w:gridCol w:w="211"/>
        <w:gridCol w:w="841"/>
        <w:gridCol w:w="166"/>
        <w:gridCol w:w="146"/>
        <w:gridCol w:w="211"/>
        <w:gridCol w:w="841"/>
        <w:gridCol w:w="61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Minimum accretion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PIK interest added to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Related party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increase in related party accounts receivable of $4,496 for the six months ended June 30, 2026. Includes decrease in related party accounts receivable of $2,089 for the six months ended June 30,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Includes decrease in related party deferred revenue of $3,535 for the six months ended June 30, 2026. Includes increase in related party deferred revenue of $36,685 for the six months ended June 30,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9234" w:type="dxa"/>
        <w:jc w:val="left"/>
        <w:tblInd w:w="0" w:type="dxa"/>
        <w:tblLayout w:type="fixed"/>
        <w:tblCellMar>
          <w:top w:w="28" w:type="dxa"/>
          <w:left w:w="28" w:type="dxa"/>
          <w:bottom w:w="28" w:type="dxa"/>
          <w:right w:w="28" w:type="dxa"/>
        </w:tblCellMar>
      </w:tblPr>
      <w:tblGrid>
        <w:gridCol w:w="6261"/>
        <w:gridCol w:w="146"/>
        <w:gridCol w:w="211"/>
        <w:gridCol w:w="841"/>
        <w:gridCol w:w="166"/>
        <w:gridCol w:w="146"/>
        <w:gridCol w:w="211"/>
        <w:gridCol w:w="841"/>
        <w:gridCol w:w="411"/>
      </w:tblGrid>
      <w:tr>
        <w:trPr/>
        <w:tc>
          <w:tcPr>
            <w:tcW w:w="6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combinations, net of cash acquired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convertible senior notes, net of initial purchasers'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on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 premium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capped call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revolving credit facility, net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 net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are Comprised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year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Preferred stock received on accounts receivable</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accrued but not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financing fees, accrued but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accrued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costs, accrued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issued in connection with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310,320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 principal reset due to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Includes related party preferred stock of $8,750 for the six months ended June 30,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statement_of_equity"/>
      <w:bookmarkEnd w:id="7"/>
      <w:r>
        <w:rPr>
          <w:rFonts w:ascii="Times New Roman" w:hAnsi="Times New Roman"/>
          <w:b/>
          <w:color w:val="000000"/>
          <w:sz w:val="20"/>
        </w:rPr>
        <w:t>CONDENSED CONSOLIDATED STATEMENTS OF COMMON STOCK AND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6"/>
        <w:gridCol w:w="146"/>
        <w:gridCol w:w="146"/>
        <w:gridCol w:w="706"/>
        <w:gridCol w:w="146"/>
        <w:gridCol w:w="170"/>
        <w:gridCol w:w="356"/>
        <w:gridCol w:w="146"/>
        <w:gridCol w:w="146"/>
        <w:gridCol w:w="586"/>
        <w:gridCol w:w="146"/>
        <w:gridCol w:w="170"/>
        <w:gridCol w:w="356"/>
        <w:gridCol w:w="146"/>
        <w:gridCol w:w="146"/>
        <w:gridCol w:w="541"/>
        <w:gridCol w:w="151"/>
        <w:gridCol w:w="166"/>
        <w:gridCol w:w="421"/>
        <w:gridCol w:w="151"/>
        <w:gridCol w:w="166"/>
        <w:gridCol w:w="586"/>
        <w:gridCol w:w="151"/>
        <w:gridCol w:w="166"/>
        <w:gridCol w:w="631"/>
        <w:gridCol w:w="151"/>
        <w:gridCol w:w="258"/>
        <w:gridCol w:w="658"/>
        <w:gridCol w:w="151"/>
        <w:gridCol w:w="180"/>
        <w:gridCol w:w="591"/>
        <w:gridCol w:w="198"/>
      </w:tblGrid>
      <w:tr>
        <w:trPr/>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173,235,428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2,892,910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(2,395,862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491,326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1,964,649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Purchase of capped call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(31,234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107,962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107,962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(120,277</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175,200,077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(183,229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2,969,637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(2,516,139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444,934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81"/>
        <w:gridCol w:w="146"/>
        <w:gridCol w:w="146"/>
        <w:gridCol w:w="706"/>
        <w:gridCol w:w="146"/>
        <w:gridCol w:w="170"/>
        <w:gridCol w:w="356"/>
        <w:gridCol w:w="146"/>
        <w:gridCol w:w="146"/>
        <w:gridCol w:w="586"/>
        <w:gridCol w:w="146"/>
        <w:gridCol w:w="170"/>
        <w:gridCol w:w="356"/>
        <w:gridCol w:w="146"/>
        <w:gridCol w:w="146"/>
        <w:gridCol w:w="541"/>
        <w:gridCol w:w="151"/>
        <w:gridCol w:w="166"/>
        <w:gridCol w:w="421"/>
        <w:gridCol w:w="151"/>
        <w:gridCol w:w="166"/>
        <w:gridCol w:w="586"/>
        <w:gridCol w:w="151"/>
        <w:gridCol w:w="166"/>
        <w:gridCol w:w="631"/>
        <w:gridCol w:w="151"/>
        <w:gridCol w:w="279"/>
        <w:gridCol w:w="637"/>
        <w:gridCol w:w="146"/>
        <w:gridCol w:w="180"/>
        <w:gridCol w:w="591"/>
        <w:gridCol w:w="198"/>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157,076,972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2,210,664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(2,150,834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56,339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6,391,439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5,112,416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310,320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310,320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45,429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(110,880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(110,880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168,580,827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2,566,412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(2,261,714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309,562</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COMMON STOCK AND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6"/>
        <w:gridCol w:w="146"/>
        <w:gridCol w:w="146"/>
        <w:gridCol w:w="706"/>
        <w:gridCol w:w="146"/>
        <w:gridCol w:w="170"/>
        <w:gridCol w:w="356"/>
        <w:gridCol w:w="146"/>
        <w:gridCol w:w="146"/>
        <w:gridCol w:w="586"/>
        <w:gridCol w:w="146"/>
        <w:gridCol w:w="170"/>
        <w:gridCol w:w="356"/>
        <w:gridCol w:w="146"/>
        <w:gridCol w:w="146"/>
        <w:gridCol w:w="541"/>
        <w:gridCol w:w="151"/>
        <w:gridCol w:w="166"/>
        <w:gridCol w:w="421"/>
        <w:gridCol w:w="151"/>
        <w:gridCol w:w="166"/>
        <w:gridCol w:w="586"/>
        <w:gridCol w:w="151"/>
        <w:gridCol w:w="166"/>
        <w:gridCol w:w="631"/>
        <w:gridCol w:w="151"/>
        <w:gridCol w:w="258"/>
        <w:gridCol w:w="658"/>
        <w:gridCol w:w="151"/>
        <w:gridCol w:w="193"/>
        <w:gridCol w:w="578"/>
        <w:gridCol w:w="198"/>
      </w:tblGrid>
      <w:tr>
        <w:trPr/>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174,360,831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2,945,718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(2,521,781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416,405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839,246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Purchase of capped call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(31,234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55,154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5,642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175,200,077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(183,229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2,969,637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(2,516,139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444,934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1"/>
        <w:gridCol w:w="146"/>
        <w:gridCol w:w="146"/>
        <w:gridCol w:w="706"/>
        <w:gridCol w:w="146"/>
        <w:gridCol w:w="170"/>
        <w:gridCol w:w="356"/>
        <w:gridCol w:w="146"/>
        <w:gridCol w:w="146"/>
        <w:gridCol w:w="586"/>
        <w:gridCol w:w="146"/>
        <w:gridCol w:w="170"/>
        <w:gridCol w:w="356"/>
        <w:gridCol w:w="146"/>
        <w:gridCol w:w="146"/>
        <w:gridCol w:w="541"/>
        <w:gridCol w:w="151"/>
        <w:gridCol w:w="166"/>
        <w:gridCol w:w="421"/>
        <w:gridCol w:w="151"/>
        <w:gridCol w:w="166"/>
        <w:gridCol w:w="586"/>
        <w:gridCol w:w="151"/>
        <w:gridCol w:w="166"/>
        <w:gridCol w:w="631"/>
        <w:gridCol w:w="151"/>
        <w:gridCol w:w="279"/>
        <w:gridCol w:w="637"/>
        <w:gridCol w:w="146"/>
        <w:gridCol w:w="193"/>
        <w:gridCol w:w="578"/>
        <w:gridCol w:w="198"/>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167,989,074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2,543,957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(2,218,871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326,194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22,455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(42,843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168,580,827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2,566,412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(2,261,714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309,562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8" w:name="notes_condensed_consolidated_financial"/>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w:t>
      </w:r>
    </w:p>
    <w:p>
      <w:pPr>
        <w:pStyle w:val="TextBody"/>
        <w:bidi w:val="0"/>
        <w:spacing w:before="120" w:after="283"/>
        <w:jc w:val="left"/>
        <w:rPr>
          <w:rFonts w:ascii="Times New Roman" w:hAnsi="Times New Roman"/>
          <w:sz w:val="20"/>
        </w:rPr>
      </w:pPr>
      <w:r>
        <w:rPr>
          <w:rFonts w:ascii="Times New Roman" w:hAnsi="Times New Roman"/>
          <w:b/>
          <w:color w:val="000000"/>
          <w:sz w:val="20"/>
        </w:rPr>
        <w:t>Company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payers, and pharmaceutical companies. The Company primarily derives revenue from selling comprehensive genetic testing to physicians and large academic research institutions, licensing data to third parties, matching patients to clinical trials, and related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 Effective August 7, 2025, the Company reincorporated, by conversion, from a Delaware corporation to a Nevada corporation.</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one operating and reportable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consolidated net income (loss) that is reported on the consolidated statements of operations and comprehensive loss. The CODM uses consolidated net income (loss) to evaluate income generated from segment assets. Net income (loss) is used to monitor budget versus actual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of the expenses reported on the consolidated statements of operations and comprehensive loss, the CODM regularly reviews personnel costs and cloud costs within selling, general, and administrative expenses, which the Company has identified as significant segment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summarizes the significant segment expenses reconciled to total selling, general and administrative expenses shown on the condensed consolidated statements of operations and comprehensive loss. Other selling, general, and administrative expenses include facilities, professional fees, marketing, travel and entertainment, depreciation and amortization, and stock-based compensation (see Note 11). </w:t>
      </w:r>
    </w:p>
    <w:p>
      <w:pPr>
        <w:pStyle w:val="TextBody"/>
        <w:bidi w:val="0"/>
        <w:jc w:val="left"/>
        <w:rPr/>
      </w:pPr>
      <w:r>
        <w:rPr/>
        <w:t> </w:t>
      </w:r>
    </w:p>
    <w:tbl>
      <w:tblPr>
        <w:tblW w:w="9221" w:type="dxa"/>
        <w:jc w:val="left"/>
        <w:tblInd w:w="0" w:type="dxa"/>
        <w:tblLayout w:type="fixed"/>
        <w:tblCellMar>
          <w:top w:w="28" w:type="dxa"/>
          <w:left w:w="28" w:type="dxa"/>
          <w:bottom w:w="28" w:type="dxa"/>
          <w:right w:w="28" w:type="dxa"/>
        </w:tblCellMar>
      </w:tblPr>
      <w:tblGrid>
        <w:gridCol w:w="3886"/>
        <w:gridCol w:w="211"/>
        <w:gridCol w:w="781"/>
        <w:gridCol w:w="146"/>
        <w:gridCol w:w="146"/>
        <w:gridCol w:w="211"/>
        <w:gridCol w:w="781"/>
        <w:gridCol w:w="146"/>
        <w:gridCol w:w="146"/>
        <w:gridCol w:w="211"/>
        <w:gridCol w:w="781"/>
        <w:gridCol w:w="146"/>
        <w:gridCol w:w="146"/>
        <w:gridCol w:w="211"/>
        <w:gridCol w:w="781"/>
        <w:gridCol w:w="491"/>
      </w:tblGrid>
      <w:tr>
        <w:trPr/>
        <w:tc>
          <w:tcPr>
            <w:tcW w:w="3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 payroll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131,015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Cloud and software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selling, 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146,561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color w:val="000000"/>
          <w:sz w:val="20"/>
        </w:rPr>
        <w:t>Principles of Consolidation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Tempus AI, Inc. and its wholly owned subsidiaries. All intercompany accounts and transactions have been eliminated in consolidation. The condensed consolidated financial statements and accompanying notes were prepared in accordance with accounting principles generally accepted in the United States of America (“GAAP”) and applicable rules and regulations of the U.S. Securities and Exchange Commission (the “SEC”) regarding interim financial information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 Certain information and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normally included in the annual consolidated financial statements prepared in accordance with GAAP have been omitted. Accordingly, the unaudited interim condensed consolidated financial statements should be read in conjunction with the audited consolidated financial statements and notes included in the Company’s Form 10-K for the year ended December 31, 2025. The unaudited interim condensed consolidated financial statements have been prepared on the same basis as the audited consolidated financial statements and reflect, in management’s opinion,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believes that its existing cash and cash equivalents and marketable equity securities at June 30, 2026 will be sufficient to allow the Company to fund its current operating plan through at least a period of one year from the date of issuance of this Quarterly Report on Form 10-Q.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than described below, there have been no changes to the Company’s significant accounting policies described in the “Notes to the Consolidated Financial Statements” included in the Company’s Annual Report on Form 10-K for the year ended December 31, 2025 that have had a material impact on the Company’s consolidated financial statements and accompanying notes. </w:t>
      </w:r>
    </w:p>
    <w:p>
      <w:pPr>
        <w:pStyle w:val="TextBody"/>
        <w:bidi w:val="0"/>
        <w:spacing w:before="36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unaudited condensed consolidated financial statements in conformity with GAAP requires management to make estimates and assumptions that affect the reported amounts and classifications of assets and liabilities, revenue and expenses, and the related disclosures of contingent assets and liabilities in the condensed consolidated financial statements and accompanying notes. The most significant estimates are related to revenue, accounts receivable, stock-based compensation, operating lease liabilities, the useful lives of property, equipment, capitalized software and intangible assets, and the cash flows used in determining the fair value of acquired intangible assets. Actual results could differ from those estimates.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Capitalized Software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accordance with ASC 350-40, Internal-Use Software, the Company capitalizes eligible software development costs for the Company's internally developed projects that are not intended for sale or externally marketed. Internal-use software costs are recorded at cost less accumulated amortization in Capitalized software on the condensed consolidated balance sheets. The Company adopted ASU 2025-06 on January 1, 2026 using a prospective transition basis. Under ASU 2025-06, development costs for applicable projects will begin capitalization when management commits to funding a software project and it is probable that the project will be completed and the software will be used to perform the function intended. The Company capitalizes costs directly attributable to the development, design and implementation of the internal use software. Any costs incurred during subsequent efforts to upgrade and enhance the functionality of the software are also capitalized. Capitalized software costs are amortized on a straight-line basis when the capitalized software is ready for its intended use over the estimated useful life of the software, which is typically three to five years.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120" w:after="283"/>
        <w:jc w:val="left"/>
        <w:rPr>
          <w:rFonts w:ascii="Times New Roman" w:hAnsi="Times New Roman"/>
          <w:color w:val="222222"/>
          <w:sz w:val="20"/>
        </w:rPr>
      </w:pPr>
      <w:r>
        <w:rPr>
          <w:rFonts w:ascii="Times New Roman" w:hAnsi="Times New Roman"/>
          <w:color w:val="222222"/>
          <w:sz w:val="20"/>
        </w:rPr>
        <w:t xml:space="preserve">In November 2024, the FASB issued ASU 2024-04, “Debt with Conversion and Other Options (Subtopic 470-20): Induced Conversions of Convertible Debt Instruments”, which clarifies the requirements for determining whether certain settlements of convertible debt instruments should be accounted for as induced conversions. The Company adopted the standard on January 1, 2026 on a prospective basis. The adoption of this standard did not have a material impact on the Company's financial statements. </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In July 2025, the FASB issued ASU No. 2025-05, "Financial Instruments-Credit Losses (Topic 326): Measurement of Credit Losses for Accounts Receivable and Contract Assets". ASU 2025-05 provides a practical expedient that in developing reasonable and supportable forecasts as part of estimating expected credit losses, all entities may assume that current conditions as of the balance sheet date do not change for the remaining life of the asset. The Company adopted the standard on January 1, 2026 on a prospective basis. The Company elected the practical expedient provided by the standard which allows the Company to assume that current macroeconomic conditions as of the balance sheet date persist for the remaining contractual life of current accounts receivable. The adoption of this standard did not have a material impact on the Company's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In September 2025, the FASB issued ASU 2025-06, “Intangibles-Goodwill and Other-Internal-Use Software (Subtopic 350-40): Targeted Improvements to the Accounting for Internal-Use Software.” ASU-2025-06 revises the recognition guidance for internal-use software by eliminating the previous model based on software development stages and introducing a principles-based approach. Under the new guidance, capitalization begins when management has authorized and committed to funding the project, and it is probable that the software will be completed and used for its intended purpose. The Company early adopted the standard on January 1, 2026 using a prospective transition approach. The adoption of this standard did not have a material impact on the Company's financial statements. Refer to Note 6 for additional information over the Company's capitalized software.</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22222"/>
          <w:sz w:val="20"/>
        </w:rPr>
      </w:pPr>
      <w:r>
        <w:rPr>
          <w:rFonts w:ascii="Times New Roman" w:hAnsi="Times New Roman"/>
          <w:color w:val="222222"/>
          <w:sz w:val="20"/>
        </w:rPr>
        <w:t xml:space="preserve">In November 2024, the FASB issued ASU 2024-03, “Income Statement—Reporting Comprehensive Income (Topic 220): Disaggregation of Income Statement Expenses.” ASU 2024-03 requires additional disclosures aimed at enhancing the transparency and decision usefulness of income statement expenses. This ASU is effective for fiscal years beginning after December 15, 2026 as well as interim periods beginning after December 15, 2027 and may be applied either prospectively to financial statements issued for reporting periods after the effective date of this ASU or retrospectively to all prior periods presented in the financial statements. The Company is currently evaluating the impact of the guidance on the related disclosures. </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In September 2025, the FASB issued ASU No. 2025-07, Derivatives and Hedging (Topic 815) and Revenue from Contracts with Customers (Topic 606), which amends the existing guidance to (a) reduce the cost and complexity of evaluating whether contracts with features based on the operations or activities of one of the parties to the contract are derivatives, (b) better portray the economics of those contracts in the financial statements, and (c) reduce diversity in practice resulting from the broad application of the current guidance and changing business environment. The amendments also are expected to reduce diversity in practice by clarifying the applicability of Topic 606, Revenue from Contracts with Customers, to share-based noncash consideration from a customer for the transfer of goods or services. This ASU is effective for fiscal years beginning after December 15, 2026. The Company is currently evaluating the impact of the guidance on the related disclosures.</w:t>
      </w:r>
    </w:p>
    <w:p>
      <w:pPr>
        <w:pStyle w:val="TextBody"/>
        <w:bidi w:val="0"/>
        <w:spacing w:before="240" w:after="283"/>
        <w:jc w:val="left"/>
        <w:rPr>
          <w:rFonts w:ascii="Times New Roman" w:hAnsi="Times New Roman"/>
          <w:sz w:val="20"/>
        </w:rPr>
      </w:pPr>
      <w:r>
        <w:rPr>
          <w:rFonts w:ascii="Times New Roman" w:hAnsi="Times New Roman"/>
          <w:color w:val="222222"/>
          <w:sz w:val="20"/>
        </w:rPr>
        <w:t xml:space="preserve">In December 2025, the FASB issued ASU 2025-11, “Interim Reporting (Topic 270): Narrow-Scope Improvements.” ASU 2025-11 clarifies interim disclosure requirements and the applicability of Topic 270. The update provides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and </w:t>
      </w:r>
      <w:r>
        <w:rPr>
          <w:rFonts w:ascii="Times New Roman" w:hAnsi="Times New Roman"/>
          <w:color w:val="000000"/>
          <w:sz w:val="20"/>
        </w:rPr>
        <w:t>can be adopted using either a prospective or retrospective method</w:t>
      </w:r>
      <w:r>
        <w:rPr>
          <w:rFonts w:ascii="Times New Roman" w:hAnsi="Times New Roman"/>
          <w:color w:val="222222"/>
          <w:sz w:val="20"/>
        </w:rPr>
        <w:t>. Early adoption is permitted. The Company is currently evaluating the impact of the guidance on the related disclosures.</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In December 2025, the FASB issued ASU 2025-12, Codification Improvements. This ASU represents changes to the ASC that clarify, correct errors in or make other improvements to a variety of topics that are intended to make it easier to understand and apply, including amendments to clarify the calculation of earnings per share when a loss from continuing operations exists. This ASU is effective for fiscal years beginning after December 15, 2026 and interim periods within those fiscal years, with early adoption permitted. Entities are required to apply the amendments to ASC 260 retrospectively. All other amendments may be applied prospectively or retrospectively. The Company is currently evaluating the impact of the guidance on the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REVENUE RECOGNITION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revenue from selling lab services (“Diagnostics”) to physicians, genetic counselors, academic research institutions, and other parties. The Company also derives revenue from the commercialization of data generated in the lab (“Data and applications”) through the licensing of de-identified datasets to third parties and by providing clinical trial support, such as matching patients to clinical trials enrolled in its clinical trial network, and related services. The majority of the Company’s revenue is generated in North America.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accounts for revenue in accordance with Financial Accounting Standards Board (“FASB”)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commences revenue recognition when control of these products is transferred to customers in an amount that reflects the consideration the Company expects to be entitled to in exchange for such products. This principle is achieved by applying the five-step approach: (i) the Company accounts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provides disaggregation of revenue based on Diagnostics and Data and applications on the condensed consolidated statements of operations and comprehensive loss, as it believes these best depict how the nature, amount, timing and uncertainty of revenue and cash flows are affected by economic factors.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Diagnostics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generally recognizes revenue for its Diagnostics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variable consideration using the expected value method which is based on historical collections in relation to established rates, as well as known current or anticipated reimbursement trends not reflected in the historical data. The Company uses significant judgment when assessing whether estimates of variable consideration are constrained and these estimates are calculated based upon both insurance payor-specific and aggregated factors that include historical billing and adjustment data. Estimates are inclusive of the consideration to which the Company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Payment is typically due after the claim has been processed by the payer, generally 30-120 days from date of service. While management believes that the estimates are accurate, actual results could differ and the potential impact on the financial statements could be significant. The Company recognized revenue for clinical orders of $264.4 million and $221.7 million for the three months ended June 30, 2026 and 2025, respectively. The Company recognized revenue for clinical orders of $503.7 million and $403.2 million for the six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Diagnostics revenue for direct bill orders of $24.9 million and $20.1 million for the three months ended June 30, 2026 and 2025, respectively. The Company recognized Diagnostics revenue for direct bill orders of $46.7 million and $32.4 million for the six months ended June 30, 2026 and 2025,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Data and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and applications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applications product offering when it has met its performance obligation under the terms of the agreement with the customer. The Company’s product offerings are as follows: </w:t>
      </w:r>
    </w:p>
    <w:p>
      <w:pPr>
        <w:pStyle w:val="TextBody"/>
        <w:bidi w:val="0"/>
        <w:spacing w:before="360" w:after="283"/>
        <w:jc w:val="left"/>
        <w:rPr>
          <w:rFonts w:ascii="Times New Roman" w:hAnsi="Times New Roman"/>
          <w:sz w:val="20"/>
        </w:rPr>
      </w:pPr>
      <w:r>
        <w:rPr>
          <w:rFonts w:ascii="Times New Roman" w:hAnsi="Times New Roman"/>
          <w:i/>
          <w:color w:val="000000"/>
          <w:sz w:val="20"/>
        </w:rPr>
        <w:t>Insights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the Company’s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determined that the delivery of de-identified records and, when applicable, analytical services, and access to its enhanced Lens application are separate and distinct performance obligations. The primary Insights contract types are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Data licensing on a one-time or limited duration basis</w:t>
      </w:r>
      <w:r>
        <w:rPr>
          <w:color w:val="000000"/>
        </w:rPr>
        <w:t xml:space="preserve"> – </w:t>
      </w:r>
      <w:r>
        <w:rPr>
          <w:rFonts w:ascii="Times New Roman" w:hAnsi="Times New Roman"/>
          <w:color w:val="000000"/>
          <w:sz w:val="20"/>
        </w:rPr>
        <w:t xml:space="preserve">Customer licenses a specific dataset of records, and the Company accounts for individual 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Multi-year data subscriptions</w:t>
      </w:r>
      <w:r>
        <w:rPr>
          <w:color w:val="000000"/>
        </w:rPr>
        <w:t xml:space="preserve"> – </w:t>
      </w:r>
      <w:r>
        <w:rPr>
          <w:rFonts w:ascii="Times New Roman" w:hAnsi="Times New Roman"/>
          <w:color w:val="000000"/>
          <w:sz w:val="20"/>
        </w:rPr>
        <w:t xml:space="preserve">Customer licenses de-identified records, and the Company accounts for the service as a right to access license and one performance obligation. Revenue is recognized as access to the dataset is provided, ratably over-time, with the measure of progress time-based.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Analytical services and other services</w:t>
      </w:r>
      <w:r>
        <w:rPr>
          <w:color w:val="000000"/>
        </w:rPr>
        <w:t xml:space="preserve"> – </w:t>
      </w:r>
      <w:r>
        <w:rPr>
          <w:rFonts w:ascii="Times New Roman" w:hAnsi="Times New Roman"/>
          <w:color w:val="000000"/>
          <w:sz w:val="20"/>
        </w:rPr>
        <w:t xml:space="preserve">Services typically involve data analysis and research performed on behalf of the customer by the Company. The resulting delivery of data, or a report addressing a series of questions and analytical results, is considered a single performance obligation. Revenue is generally recognized upon the delivery of these services, as defined by the contract.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Enhanced Lens application subscription services</w:t>
      </w:r>
      <w:r>
        <w:rPr>
          <w:color w:val="000000"/>
        </w:rPr>
        <w:t xml:space="preserve"> – </w:t>
      </w:r>
      <w:r>
        <w:rPr>
          <w:rFonts w:ascii="Times New Roman" w:hAnsi="Times New Roman"/>
          <w:color w:val="000000"/>
          <w:sz w:val="20"/>
        </w:rPr>
        <w:t xml:space="preserve">Customer licenses access to the Company’s enhanced Lens application under a 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Cloud hosting services </w:t>
      </w:r>
      <w:r>
        <w:rPr>
          <w:color w:val="000000"/>
        </w:rPr>
        <w:t xml:space="preserve">– </w:t>
      </w:r>
      <w:r>
        <w:rPr>
          <w:rFonts w:ascii="Times New Roman" w:hAnsi="Times New Roman"/>
          <w:color w:val="000000"/>
          <w:sz w:val="20"/>
        </w:rPr>
        <w:t>The Company provides cloud hosting services to customers via a third party cloud infrastructure provider. Revenue is recognized as the related compute and storage costs are incurred by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revenue from Insights products of $77.7 million and $57.2 million for the three months ended June 30, 2026 and 2025, respectively and $149.0 million and $106.7 million for the six months ended June 30, 2026 and 2025, respectively.</w:t>
      </w:r>
    </w:p>
    <w:p>
      <w:pPr>
        <w:pStyle w:val="TextBody"/>
        <w:bidi w:val="0"/>
        <w:spacing w:before="360" w:after="283"/>
        <w:jc w:val="left"/>
        <w:rPr>
          <w:rFonts w:ascii="Times New Roman" w:hAnsi="Times New Roman"/>
          <w:sz w:val="20"/>
        </w:rPr>
      </w:pPr>
      <w:r>
        <w:rPr>
          <w:rFonts w:ascii="Times New Roman" w:hAnsi="Times New Roman"/>
          <w:i/>
          <w:color w:val="000000"/>
          <w:sz w:val="20"/>
        </w:rPr>
        <w:t>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Trials product includes TIME clinical trial matching services and other clinical trial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TIME, the Company provides other clinical trial services conducting or supporting studies. Tempus Compass LLC, a subsidiary of the Company, is a contract research organization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revenue from Trials products of $9.0 million and $9.8 million for the three months ended June 30, 2026 and 2025, respectively and $18.9 million and $19.5 million for the six months ended June 30, 2026 and 2025,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Next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Next product is an AI platform that leverages machine learning to apply an "intelligent layer" onto routinely generated data to proactively identify and minimize care gaps for oncology and cardiology patients. The Company evaluates each contract to determine which performance obligations are capable of being distinct and separately identifiable from other promises in the contract and, therefore, represent distinct performance obligations. Fixed-price subscriptions generally represent a single performance obligation and are recognized over-time. Revenue can also be recognized upon delivery of reports or certain milestones as defined by the contract.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revenue from Next of $6.3 million and $5.7 million for the three months ended June 30, 2026 and 2025, respectively and $12.0 million and $8.4 million for the six months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Insights, Trials and Next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applications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w:t>
      </w:r>
    </w:p>
    <w:p>
      <w:pPr>
        <w:pStyle w:val="TextBody"/>
        <w:bidi w:val="0"/>
        <w:spacing w:before="360" w:after="283"/>
        <w:jc w:val="left"/>
        <w:rPr>
          <w:rFonts w:ascii="Times New Roman" w:hAnsi="Times New Roman"/>
          <w:sz w:val="20"/>
        </w:rPr>
      </w:pPr>
      <w:r>
        <w:rPr>
          <w:rFonts w:ascii="Times New Roman" w:hAnsi="Times New Roman"/>
          <w:b/>
          <w:color w:val="000000"/>
          <w:sz w:val="20"/>
        </w:rPr>
        <w:t>Multi-year Contract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$395.3 million as of June 30, 2026, of which the Company expects to recognize approximately 51% as revenue over the next year, and the remaining 36%, 9%, and 4% of its remaining performance obligations as revenue in years two, three, four and thereafter,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of revenue recognition may differ from the timing of invoicing to customers. Certain performance obligations may require payment before delivery of the service to the customer. The Company recognizes contract assets when the Company has an unconditional right to payment, and when revenues earned on a contract exceeds the billings. Contract assets are presented under accounts receivable, net. Accounts receivable as of June 30, 2026 and December 31, 2025 included contract assets of $31.7 million and $8.1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the Company entered into a Commercialization and Reference Laboratory Agreement with Personalis, Inc. (“Personalis”), which was subsequently amended in August 2024 and July 2025. The Company agreed to pay up to $12.0 million to Personalis over three years as certain milestones are met, all of which has been paid as of July 2025. These payments are treated as contract assets and amortized into revenue over the life of the contract. Contract asset balances are offset by deferred revenue generated from receipt of warrants for Personalis common stock (see Note 15). As of June 30, 2026 and December 31, 2025, there was $2.8 million and $4.7 million, respectively, of net contract assets related to this agreement recorded in Prepaid expenses and other current assets,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the Company’s Data and applications product offerings and timing of delivery of the Company’s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$51.3 million and $50.4 million during the six months ended June 30, 2026 and 2025, respectively, that was included in the corresponding deferred revenue balance at the beginning of the periods.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BUSINESS COMBINATIONS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Paige.AI,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22, 2025, (the "Paige Closing Date"), the Company completed its acquisition (the "Paige Acquisition") of Paige.AI, Inc. ("Paige"), a Delaware corporation, pursuant to an Agreement and Plan of Merger. Paige is an AI company specializing in digital pathology. The Paige Acquisition is expected to allow the Company to grow its dataset and establish a strong footprint in digital pathology with an industry leading technology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acquired all of the issued and outstanding shares of Paige. The acquisition resulted in goodwill of $141.1 million. No goodwill is expected to be deductible for tax purposes. The aggregate acquisition date fair value of consideration for the Paige Acquisition totaled $101.5 million. Consideration consisted of $3.0 million of cash and the issuance of an aggregate of 1,256,977 shares of the Company's Class A common stock (the "Paige Stock Consideration"), which was valued at $80.52 per share, the closing price of the Company's Class A common stock on the Paige Closing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portion of the Paige Stock Consideration was paid to employees as consideration for transaction bonuses. Paige will pay approximately $3.2 million to fulfill employee tax obligations related to the issuance, of which $3.0 million has been paid as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December 2025. The equivalent was withheld from those employees in the Company's Class A common stock and included in treasury stock. In accordance with the terms of the agreement, $6.9 million in equity consideration was held back and is payable within five business days of August 22, 2026. The net working capital adjustment resulted in a decrease to the acquisition price of $1.2 million which was recorded to goodwill. The $6.9 million holdback liability is recognized within Other long-term liabilities. The holdback liability is remeasured at fair value in each period following the closing with changes in fair value recorded within Selling, general and administrative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allocation of the aggregate purchase price of the Paige Acquisition (in thousands):</w:t>
      </w:r>
    </w:p>
    <w:p>
      <w:pPr>
        <w:pStyle w:val="TextBody"/>
        <w:bidi w:val="0"/>
        <w:jc w:val="left"/>
        <w:rPr/>
      </w:pPr>
      <w:r>
        <w:rPr/>
        <w:t> </w:t>
      </w:r>
    </w:p>
    <w:tbl>
      <w:tblPr>
        <w:tblW w:w="5485" w:type="dxa"/>
        <w:jc w:val="left"/>
        <w:tblInd w:w="0" w:type="dxa"/>
        <w:tblLayout w:type="fixed"/>
        <w:tblCellMar>
          <w:top w:w="28" w:type="dxa"/>
          <w:left w:w="28" w:type="dxa"/>
          <w:bottom w:w="28" w:type="dxa"/>
          <w:right w:w="28" w:type="dxa"/>
        </w:tblCellMar>
      </w:tblPr>
      <w:tblGrid>
        <w:gridCol w:w="3956"/>
        <w:gridCol w:w="146"/>
        <w:gridCol w:w="211"/>
        <w:gridCol w:w="781"/>
        <w:gridCol w:w="391"/>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 and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acquisition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excess of purchase consideration over the fair value of the net assets acquired was recorded as goodwill, which is primarily attributed to the assembled workforce of the acquired company and expected growth in the Company's dataset. The Company also assumed $39.5 million of remaining purchase commitments under Paige's Microsoft Azure cloud services agreement in excess of forecasted usage, which is recorded in Other long-term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ASC 805, Business Combinations, the Company accounted for the Paige Acquisition as a business combination under the acquisition method of accounting.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Deep 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11, 2025, the Company acquired all of the issued and outstanding interests of Deep 6 AI, Inc. ("Deep 6"), a Delaware corporation (the "Deep 6 Acquisition"), that enables healthcare organizations to de-risk clinical trials, accelerate recruitment, and generate real-world evidence with speed and precision. Deep 6's AI-powered software matches patients to clinical trials by mining real-time structured and unstructured electronic medical record data across a broad ecosystem.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acquisition resulted in goodwill of $21.0 million. The aggregate acquisition date fair value of consideration for the Deep 6 Acquisition totaled $17.4 million. Consideration consisted of $4.3 million of cash and $13.1 million of the Company's Class A common stock. In accordance with the terms of the agreement, $0.8 million in equity consideration was held back. The net working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 adjustment resulted in a decrease to the acquisition price of $0.2 million which was recorded to goodwill. The $0.6 million holdback liability is recognized within Other long-term liabilities. The holdback liability is remeasured at fair value in each period following the closing within Selling, general and administrative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Ambry Genetics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3, 2025 (the "Closing Date"), the Company completed its acquisition (the "Ambry Acquisition") of Ambry Genetics Corporation, a Delaware corporation ("Ambry"), pursuant to a Securities Purchase Agreement (the "Purchase Agreement") entered into on November 4, 2024 with Realm, IDX, Inc., a Delaware corporation (the "Seller") and the Seller's ultimate parent, Konica Minolta, Inc., a Japanese corporation, as guarantor.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acquired all of the issued and outstanding shares of capital stock of Ambry. Consideration for the acquisition consisted of $375.0 million in cash, subject to adjustment for cash, unpaid indebtedness, unpaid transaction expenses and net working capital of Ambry, plus the issuance of an aggregate of 4,843,136 shares of the Company's Class A common stock (the "Stock Consideration"). Stock Consideration was valued at $61.54 per share, which was the closing price of the Company's Class A common stock on the Closing Date. Pursuant to the terms of the Purchase Agreement, 2,152,505 shares issued as Stock Consideration are subject to a lock-up for a period of one year following the Closing Date. The Company was an Ambry customer prior to the acquisition and, pursuant to that preexisting relationship, owed $3.8 million to Ambry as of the Closing Date. This balance was effectively settled upon the Ambry Acquisition and was treated as a reduction to consideration transferred. The net working capital adjustment was finalized in September 2025, resulting in a decrease to the acquisition price of $3.0 million which was recorded to 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Ambry is a leader in hereditary cancer screening. The Ambry Acquisition provides the Company with expanded testing capabilities for inherited cancer risk. In addition, the Ambry Acquisition complements the Company's strategy of using data to advance clinical and scientific innovation. Ambry's extensive product offerings will allow the Company to expand into new disease categories, including pediatrics, rare disease, immunology, women's reproductive health, and cardiology.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incurred $7.4 million of transaction costs related to the Ambry Acquisition, of which $0 and $1.5 million were recorded during the three months ended June 30, 2026 and 2025, respectively, and $0, and $4.5 million were recorded during the six months ended June 30, 2026 and 2025, respectively, within Selling, general and administrative expense in the condensed consolidated statement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allocation of the aggregate purchase price of the Ambry Acquisition (in thousands):</w:t>
      </w:r>
    </w:p>
    <w:p>
      <w:pPr>
        <w:pStyle w:val="TextBody"/>
        <w:bidi w:val="0"/>
        <w:jc w:val="left"/>
        <w:rPr/>
      </w:pPr>
      <w:r>
        <w:rPr/>
        <w:t> </w:t>
      </w:r>
    </w:p>
    <w:tbl>
      <w:tblPr>
        <w:tblW w:w="5485" w:type="dxa"/>
        <w:jc w:val="left"/>
        <w:tblInd w:w="0" w:type="dxa"/>
        <w:tblLayout w:type="fixed"/>
        <w:tblCellMar>
          <w:top w:w="28" w:type="dxa"/>
          <w:left w:w="28" w:type="dxa"/>
          <w:bottom w:w="28" w:type="dxa"/>
          <w:right w:w="28" w:type="dxa"/>
        </w:tblCellMar>
      </w:tblPr>
      <w:tblGrid>
        <w:gridCol w:w="3956"/>
        <w:gridCol w:w="146"/>
        <w:gridCol w:w="211"/>
        <w:gridCol w:w="781"/>
        <w:gridCol w:w="391"/>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 and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acquisition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excess of purchase consideration over the fair value of the net assets acquired was recorded as goodwill, which is primarily attributed to the assembled workforce of the acquired company and expected growth from the horizontal integration of Ambry's genomics testing. $0.6 million of goodwill is expected to be deductible for tax purposes. The identifiable intangible assets acquired consisted of customer relationships, developed technology - biotech, developed technology - software, and trade names.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customer relationships was estimated using the multi period excess earnings method, which isolates the net earnings attributable to the asset being measured. Significant assumptions used in the valuation of customer relationships included forecasted revenue and expenses, customer attrition, contributory asset charges and discount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developed technology - biotech, developed technology - software, and trade names were estimated using the relief from royalty method, which considers the market-based royalty a company would pay to enjoy the benefits of the trade name or technology in lieu of actual ownership of the trade name or technology. Significant assumptions used in the valuation of these assets included forecasted revenue, royalty rate, and discount rate. In addition, the valuation of developed technology assets included assumed obsolescence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the valuation of identifiable intangible assets acquired required various estimates and assumptions. The Company's management believes the fair values recognized for the assets acquired and liabilities assumed are based on reasonable estimates and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Estimated useful lives of the identifiable intangible assets acquired are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4018" w:type="dxa"/>
        <w:jc w:val="left"/>
        <w:tblInd w:w="0" w:type="dxa"/>
        <w:tblLayout w:type="fixed"/>
        <w:tblCellMar>
          <w:top w:w="28" w:type="dxa"/>
          <w:left w:w="28" w:type="dxa"/>
          <w:bottom w:w="28" w:type="dxa"/>
          <w:right w:w="28" w:type="dxa"/>
        </w:tblCellMar>
      </w:tblPr>
      <w:tblGrid>
        <w:gridCol w:w="2806"/>
        <w:gridCol w:w="146"/>
        <w:gridCol w:w="106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pro forma information shows the results of the Company's operations as though the acquisition had occurred as of the beginning of the comparable period, January 1, 2024 (in thousands):</w:t>
      </w:r>
    </w:p>
    <w:p>
      <w:pPr>
        <w:pStyle w:val="TextBody"/>
        <w:bidi w:val="0"/>
        <w:spacing w:before="40" w:after="283"/>
        <w:jc w:val="left"/>
        <w:rPr/>
      </w:pPr>
      <w:r>
        <w:rPr/>
        <w:t> </w:t>
      </w:r>
    </w:p>
    <w:tbl>
      <w:tblPr>
        <w:tblW w:w="5920" w:type="dxa"/>
        <w:jc w:val="left"/>
        <w:tblInd w:w="0" w:type="dxa"/>
        <w:tblLayout w:type="fixed"/>
        <w:tblCellMar>
          <w:top w:w="28" w:type="dxa"/>
          <w:left w:w="28" w:type="dxa"/>
          <w:bottom w:w="28" w:type="dxa"/>
          <w:right w:w="28" w:type="dxa"/>
        </w:tblCellMar>
      </w:tblPr>
      <w:tblGrid>
        <w:gridCol w:w="916"/>
        <w:gridCol w:w="146"/>
        <w:gridCol w:w="481"/>
        <w:gridCol w:w="1784"/>
        <w:gridCol w:w="166"/>
        <w:gridCol w:w="146"/>
        <w:gridCol w:w="415"/>
        <w:gridCol w:w="1655"/>
        <w:gridCol w:w="21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 forma amounts have been calculated after applying the Company's accounting policies and adjusting the results of Ambry to reflect the additional depreciation and amortization that would have been charged assuming the fair value adjustments to property and equipment, net and intangible assets had been applied from January 1, 2024. The pro forma financial information for the three and six months ended June 30, 2025 combines the Company's financial results and the historical results of Ambry for the three and six months ended June 30, 2025. Included in the adjustment is a $46.2 million tax benefit from the release of a portion of the valuation allowance attributable to estimated deferred tax liabilities as of the opening balance sheet. The pro forma results have been prepared for comparative purposes only and are not necessarily indicative of the actual results of operations had the acquisition taken place as of the beginning of the period presented, or the results that may occur in the future.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June 30, 2025, Ambry contributed $97.3 million in net revenue within Diagnostics revenue and $2.2 million of net income to the consolidated Tempus results. For the six months ended June 30, 2025, Ambry contributed $160.8 million in net revenue within Diagnostics revenue and $7.7 million of net income to the consolidated Tempus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ASC 805, Business Combinations, the Company accounted for the Ambry Acquisition as a business combination under the acquisition method of accounting.</w:t>
      </w:r>
    </w:p>
    <w:p>
      <w:pPr>
        <w:pStyle w:val="TextBody"/>
        <w:bidi w:val="0"/>
        <w:spacing w:before="40"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sz w:val="20"/>
        </w:rPr>
      </w:pPr>
      <w:r>
        <w:rPr>
          <w:rFonts w:ascii="Times New Roman" w:hAnsi="Times New Roman"/>
          <w:b/>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summarizes property and equipment, net as of June 30, 2026 and December 31, 2025 (in thousands): </w:t>
      </w:r>
    </w:p>
    <w:p>
      <w:pPr>
        <w:pStyle w:val="TextBody"/>
        <w:bidi w:val="0"/>
        <w:jc w:val="left"/>
        <w:rPr/>
      </w:pPr>
      <w:r>
        <w:rPr/>
        <w:t> </w:t>
      </w:r>
    </w:p>
    <w:tbl>
      <w:tblPr>
        <w:tblW w:w="6609" w:type="dxa"/>
        <w:jc w:val="left"/>
        <w:tblInd w:w="0" w:type="dxa"/>
        <w:tblLayout w:type="fixed"/>
        <w:tblCellMar>
          <w:top w:w="28" w:type="dxa"/>
          <w:left w:w="28" w:type="dxa"/>
          <w:bottom w:w="28" w:type="dxa"/>
          <w:right w:w="28" w:type="dxa"/>
        </w:tblCellMar>
      </w:tblPr>
      <w:tblGrid>
        <w:gridCol w:w="3261"/>
        <w:gridCol w:w="225"/>
        <w:gridCol w:w="900"/>
        <w:gridCol w:w="166"/>
        <w:gridCol w:w="146"/>
        <w:gridCol w:w="301"/>
        <w:gridCol w:w="1199"/>
        <w:gridCol w:w="411"/>
      </w:tblGrid>
      <w:tr>
        <w:trPr/>
        <w:tc>
          <w:tcPr>
            <w:tcW w:w="32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expense on property and equipment is classified as follows in the accompanying condensed consolidated statements of operations for the three and six months ended June 30, 2026 and 2025 (in thousands): </w:t>
      </w:r>
    </w:p>
    <w:p>
      <w:pPr>
        <w:pStyle w:val="TextBody"/>
        <w:bidi w:val="0"/>
        <w:jc w:val="left"/>
        <w:rPr/>
      </w:pPr>
      <w:r>
        <w:rPr/>
        <w:t> </w:t>
      </w:r>
    </w:p>
    <w:tbl>
      <w:tblPr>
        <w:tblW w:w="8421" w:type="dxa"/>
        <w:jc w:val="left"/>
        <w:tblInd w:w="0" w:type="dxa"/>
        <w:tblLayout w:type="fixed"/>
        <w:tblCellMar>
          <w:top w:w="28" w:type="dxa"/>
          <w:left w:w="28" w:type="dxa"/>
          <w:bottom w:w="28" w:type="dxa"/>
          <w:right w:w="28" w:type="dxa"/>
        </w:tblCellMar>
      </w:tblPr>
      <w:tblGrid>
        <w:gridCol w:w="3406"/>
        <w:gridCol w:w="257"/>
        <w:gridCol w:w="697"/>
        <w:gridCol w:w="178"/>
        <w:gridCol w:w="178"/>
        <w:gridCol w:w="257"/>
        <w:gridCol w:w="697"/>
        <w:gridCol w:w="146"/>
        <w:gridCol w:w="146"/>
        <w:gridCol w:w="211"/>
        <w:gridCol w:w="677"/>
        <w:gridCol w:w="146"/>
        <w:gridCol w:w="146"/>
        <w:gridCol w:w="211"/>
        <w:gridCol w:w="677"/>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diagnostics</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data and applications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costs</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depreciation</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as of June 30, 2026 and December 31, 2025, consist of the following (in thousands): </w:t>
      </w:r>
    </w:p>
    <w:p>
      <w:pPr>
        <w:pStyle w:val="TextBody"/>
        <w:bidi w:val="0"/>
        <w:jc w:val="left"/>
        <w:rPr/>
      </w:pPr>
      <w:r>
        <w:rPr/>
        <w:t> </w:t>
      </w:r>
    </w:p>
    <w:tbl>
      <w:tblPr>
        <w:tblW w:w="7164" w:type="dxa"/>
        <w:jc w:val="left"/>
        <w:tblInd w:w="0" w:type="dxa"/>
        <w:tblLayout w:type="fixed"/>
        <w:tblCellMar>
          <w:top w:w="28" w:type="dxa"/>
          <w:left w:w="28" w:type="dxa"/>
          <w:bottom w:w="28" w:type="dxa"/>
          <w:right w:w="28" w:type="dxa"/>
        </w:tblCellMar>
      </w:tblPr>
      <w:tblGrid>
        <w:gridCol w:w="3856"/>
        <w:gridCol w:w="239"/>
        <w:gridCol w:w="886"/>
        <w:gridCol w:w="146"/>
        <w:gridCol w:w="146"/>
        <w:gridCol w:w="319"/>
        <w:gridCol w:w="1181"/>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employee benefits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cloud storage costs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GOODWILL, INTANGIBLES AND CAPITALIZED SOFTWARE</w:t>
      </w:r>
    </w:p>
    <w:p>
      <w:pPr>
        <w:pStyle w:val="TextBody"/>
        <w:bidi w:val="0"/>
        <w:spacing w:before="120" w:after="283"/>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represents the excess of the purchase price in a business combination over the fair value of net tangible and intangible assets acquired. There were no goodwill additions during the three and six months ended June 30, 2026. During the six months ended June 30, 2025, goodwill of $252.3 million was recorded in connection with the Ambry Acquisition and Deep 6 Acquisition. Measurement period adjustments of $3.3 million were recorded related to these acquisitions. There were no goodwill additions during the three months ended June 30, 2025. Refer to Note 4. The Company recorded no impairment loss during the three and six months ended June 30, 2026 and 2025.</w:t>
      </w:r>
    </w:p>
    <w:p>
      <w:pPr>
        <w:pStyle w:val="TextBody"/>
        <w:bidi w:val="0"/>
        <w:spacing w:before="360" w:after="283"/>
        <w:jc w:val="left"/>
        <w:rPr>
          <w:rFonts w:ascii="Times New Roman" w:hAnsi="Times New Roman"/>
          <w:sz w:val="20"/>
        </w:rPr>
      </w:pPr>
      <w:r>
        <w:rPr>
          <w:rFonts w:ascii="Times New Roman" w:hAnsi="Times New Roman"/>
          <w:i/>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are initially recorded at their acquisition cost, or fair value if acquired as part of a business combination and amortized over their estimated useful lives. Intangible assets consist of a website domain, customer relationships, trade names, developed technology acquired as part of a business combination, and licensed data acquired by entering into research collaboration agreements. In each license arrangement, the other party provides the Company with specified data, which is used for research and development purposes and may also be licensed to third parties. The asset represents the Company’s right to use these datasets. The Company also recognizes a liability for the associated minimum payments that are presented within Accrued data licensing fees on the condensed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impairment charges recognized related to intangible assets during the three and six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intangible assets as of June 30, 2026 and December 31,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71"/>
        <w:gridCol w:w="146"/>
        <w:gridCol w:w="211"/>
        <w:gridCol w:w="781"/>
        <w:gridCol w:w="146"/>
        <w:gridCol w:w="146"/>
        <w:gridCol w:w="293"/>
        <w:gridCol w:w="1090"/>
        <w:gridCol w:w="146"/>
        <w:gridCol w:w="146"/>
        <w:gridCol w:w="211"/>
        <w:gridCol w:w="781"/>
        <w:gridCol w:w="146"/>
        <w:gridCol w:w="146"/>
        <w:gridCol w:w="211"/>
        <w:gridCol w:w="781"/>
        <w:gridCol w:w="146"/>
        <w:gridCol w:w="146"/>
        <w:gridCol w:w="293"/>
        <w:gridCol w:w="1090"/>
        <w:gridCol w:w="146"/>
        <w:gridCol w:w="146"/>
        <w:gridCol w:w="211"/>
        <w:gridCol w:w="781"/>
        <w:gridCol w:w="194"/>
      </w:tblGrid>
      <w:tr>
        <w:trPr/>
        <w:tc>
          <w:tcPr>
            <w:tcW w:w="1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205,828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Licensed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Website domain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349,202</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Amortization of intangible assets is recognized using the straight-line method over their estimated useful lives, which range from three to seven years. Amortization expense was $18.7 million and $19.7 million for the three months ended June 30, 2026 and 2025, respectively, and $37.3 million and $32.2 million for the six months ended June 30, 2026 and 2025, respectively, and is recorded in Cost of revenues, Research and development, or Selling, general and administrative expense, depending on use of the asset. The weighted average life of the Company’s intangibles is approximately six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estimated future amortization expense related to intangible assets is as follows (in thousands):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3164" w:type="dxa"/>
        <w:jc w:val="left"/>
        <w:tblInd w:w="0" w:type="dxa"/>
        <w:tblLayout w:type="fixed"/>
        <w:tblCellMar>
          <w:top w:w="28" w:type="dxa"/>
          <w:left w:w="28" w:type="dxa"/>
          <w:bottom w:w="28" w:type="dxa"/>
          <w:right w:w="28" w:type="dxa"/>
        </w:tblCellMar>
      </w:tblPr>
      <w:tblGrid>
        <w:gridCol w:w="1981"/>
        <w:gridCol w:w="211"/>
        <w:gridCol w:w="78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7/1/2026 - 12/31/2026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Capitalized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Capitalized software consists of internal-use software costs and software that will be sold, leased or otherwise marketed, which are initially recorded at cost. The Company adopted ASU 2025-06 on January 1, 2026 on a prospective basis. Refer to Note 1 for further detail. Amortization of internal-use capitalized software is recognized using the straight-line method when placed into service over the estimated useful life of the software, which is typically three to five years. Amortization expense of internal-use capitalized software was immaterial for the three and six months ended June 30, 2026 and 2025, and is recorded in Selling, general and administrative expense. No amortization expense of external-use software has been recorded for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summarizes capitalized software, net as of June 30, 2026 and December 31, 2025 (in thousands): </w:t>
      </w:r>
    </w:p>
    <w:p>
      <w:pPr>
        <w:pStyle w:val="TextBody"/>
        <w:bidi w:val="0"/>
        <w:jc w:val="left"/>
        <w:rPr/>
      </w:pPr>
      <w:r>
        <w:rPr/>
        <w:t> </w:t>
      </w:r>
    </w:p>
    <w:tbl>
      <w:tblPr>
        <w:tblW w:w="6195" w:type="dxa"/>
        <w:jc w:val="left"/>
        <w:tblInd w:w="0" w:type="dxa"/>
        <w:tblLayout w:type="fixed"/>
        <w:tblCellMar>
          <w:top w:w="28" w:type="dxa"/>
          <w:left w:w="28" w:type="dxa"/>
          <w:bottom w:w="28" w:type="dxa"/>
          <w:right w:w="28" w:type="dxa"/>
        </w:tblCellMar>
      </w:tblPr>
      <w:tblGrid>
        <w:gridCol w:w="2701"/>
        <w:gridCol w:w="146"/>
        <w:gridCol w:w="267"/>
        <w:gridCol w:w="858"/>
        <w:gridCol w:w="166"/>
        <w:gridCol w:w="146"/>
        <w:gridCol w:w="403"/>
        <w:gridCol w:w="1097"/>
        <w:gridCol w:w="4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impairment charges recognized related to capitalized software during the three and six months ended June 30, 2026 and 2025, respectively.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JOINT VENTURE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SB Tempus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18, 2024, the Company entered into a Joint Venture Agreement (the "Joint Venture Agreement") with SoftBank Group Corporation ("SoftBank") to form SB Tempus Corp. (the "Joint Venture" or "SB Tempus"). The Joint Venture closed on July 18, 2024, at which time the Company and SoftBank each contributed ¥15 billion ($95.2 million). Each party received 50% of SB Tempus's outstanding capital stock and board seats. SB Tempus will engage in certain business activities in Japan similar to those conducted by the Company in the United States, including performing clinical sequencing, organizing patient data, and building a real world data business in Japan.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SB Tempus is considered a VIE as the Company does not have sufficient equity at risk and is entitled to receive residual returns of SB Tempus through its equity stake. Decisions that significantly impact the economic performance of SB Tempus require the consent of both the Company and SoftBank. Therefore, the Company concluded that neither party is deemed to have predominant control over SB Tempus, and the Company is not considered to be the primary beneficiary.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maximum exposure to loss from SB Tempus is equal to the carrying value of the Company's investment. As of June 30, 2026, the carrying value of the investment in SB Tempus was $77.8 million. The Company's share of losses from SB Tempus are recorded in Losses from equity method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entering into the Joint Venture Agreement, the Company entered into a Data License Agreement (the "Data License Agreement"), under which the Company granted SB Tempus a limited, non-exclusive, transferable license with a limited right to sublicense certain de-identified data for certain specified uses solely in Japan. Under the Data License Agreement, SB Tempus paid the Company ¥7.5 billion ($47.9 million) in exchange for the license to an initial records batch, which is recorded in deferred revenue and will be recognized into Data and applications revenue over the term of the license subscription which ended on March 31, 2026. For the three months ended June 30, 2026 and 2025, the Company recognized $0 and $6.2 million in Data and applications revenue related to the Data License Agreement, respectively. For the six months ended June 30, 2026 and 2025, the Company recognized $6.2 million and $12.5 million in Data and services revenue related to the Data License Agreement,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on July 18, 2024, the Company and SB Tempus entered into an Intellectual Property Agreement (the "IP License Agreement") under which SB Tempus paid the Company an additional ¥7.5 billion ($47.9 million) in exchange for a non-exclusive license to certain of the Company's technologies for certain specified uses solely in Japan. The payment is recorded in deferred other income and will be amortized into Other income, net over three years, based on the estimated time for SB Tempus' systems and technologies to diverge from the Company's. For each of the three months ended June 30, 2026 and 2025, the Company recognized $4.0 million related to the IP License Agreement. For each of the six months ended June 30, 2026 and 2025, the Company recognized $8.0 million related to the IP License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three months ended June 30, 2026 and 2025, the Company recognized data licensing and cloud computing expenses of $12.1 million and $9.1 million, respectively, related to non-cancelable arrangements. For the six months ended June 30, 2026 and 2025, the Company recognized data licensing and cloud computing expenses of $24.1 million and $23.3 million, respectively, related to non-cancelable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future payments under these contractual obligations were as follows (in thousands): </w:t>
      </w:r>
    </w:p>
    <w:p>
      <w:pPr>
        <w:pStyle w:val="TextBody"/>
        <w:bidi w:val="0"/>
        <w:jc w:val="left"/>
        <w:rPr/>
      </w:pPr>
      <w:r>
        <w:rPr/>
        <w:t> </w:t>
      </w:r>
    </w:p>
    <w:tbl>
      <w:tblPr>
        <w:tblW w:w="5279" w:type="dxa"/>
        <w:jc w:val="left"/>
        <w:tblInd w:w="0" w:type="dxa"/>
        <w:tblLayout w:type="fixed"/>
        <w:tblCellMar>
          <w:top w:w="28" w:type="dxa"/>
          <w:left w:w="28" w:type="dxa"/>
          <w:bottom w:w="28" w:type="dxa"/>
          <w:right w:w="28" w:type="dxa"/>
        </w:tblCellMar>
      </w:tblPr>
      <w:tblGrid>
        <w:gridCol w:w="4096"/>
        <w:gridCol w:w="211"/>
        <w:gridCol w:w="781"/>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7/1/2026 - 12/31/2026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obligations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 of purchase obligations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purchase obligations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There were no material matters as of and for the three and six months ended June 30, 2026 and 2025.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various non-cancelable operating lease agreements, primarily for the rent of office and lab space, with expirations at various dates through 2036. Lease cost is recognized on a straight-line basis over the lease term. Variable lease costs, which include items such as real estate taxes, common area maintenance, utilities and storage are not included in the calculation of the right-of-use assets and are recognized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total lease costs for the three and six months ended June 30, 2026 and 2025 are as follows (in thousands): </w:t>
      </w:r>
    </w:p>
    <w:p>
      <w:pPr>
        <w:pStyle w:val="TextBody"/>
        <w:bidi w:val="0"/>
        <w:jc w:val="left"/>
        <w:rPr/>
      </w:pPr>
      <w:r>
        <w:rPr/>
        <w:t> </w:t>
      </w:r>
    </w:p>
    <w:tbl>
      <w:tblPr>
        <w:tblW w:w="7314" w:type="dxa"/>
        <w:jc w:val="left"/>
        <w:tblInd w:w="0" w:type="dxa"/>
        <w:tblLayout w:type="fixed"/>
        <w:tblCellMar>
          <w:top w:w="28" w:type="dxa"/>
          <w:left w:w="28" w:type="dxa"/>
          <w:bottom w:w="28" w:type="dxa"/>
          <w:right w:w="28" w:type="dxa"/>
        </w:tblCellMar>
      </w:tblPr>
      <w:tblGrid>
        <w:gridCol w:w="1876"/>
        <w:gridCol w:w="320"/>
        <w:gridCol w:w="867"/>
        <w:gridCol w:w="252"/>
        <w:gridCol w:w="221"/>
        <w:gridCol w:w="320"/>
        <w:gridCol w:w="867"/>
        <w:gridCol w:w="166"/>
        <w:gridCol w:w="146"/>
        <w:gridCol w:w="232"/>
        <w:gridCol w:w="630"/>
        <w:gridCol w:w="183"/>
        <w:gridCol w:w="161"/>
        <w:gridCol w:w="232"/>
        <w:gridCol w:w="630"/>
        <w:gridCol w:w="211"/>
      </w:tblGrid>
      <w:tr>
        <w:trPr/>
        <w:tc>
          <w:tcPr>
            <w:tcW w:w="18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9,962</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Lease term and discount rate as of June 30, 2026 and December 31, 2025 are as follows: </w:t>
      </w:r>
    </w:p>
    <w:tbl>
      <w:tblPr>
        <w:tblW w:w="7484" w:type="dxa"/>
        <w:jc w:val="left"/>
        <w:tblInd w:w="0" w:type="dxa"/>
        <w:tblLayout w:type="fixed"/>
        <w:tblCellMar>
          <w:top w:w="28" w:type="dxa"/>
          <w:left w:w="28" w:type="dxa"/>
          <w:bottom w:w="28" w:type="dxa"/>
          <w:right w:w="28" w:type="dxa"/>
        </w:tblCellMar>
      </w:tblPr>
      <w:tblGrid>
        <w:gridCol w:w="4126"/>
        <w:gridCol w:w="324"/>
        <w:gridCol w:w="801"/>
        <w:gridCol w:w="271"/>
        <w:gridCol w:w="146"/>
        <w:gridCol w:w="430"/>
        <w:gridCol w:w="1070"/>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future payments under operating leases for each of the next five years and thereafter are as follows (in thousands): </w:t>
      </w:r>
    </w:p>
    <w:tbl>
      <w:tblPr>
        <w:tblW w:w="5467" w:type="dxa"/>
        <w:jc w:val="left"/>
        <w:tblInd w:w="0" w:type="dxa"/>
        <w:tblLayout w:type="fixed"/>
        <w:tblCellMar>
          <w:top w:w="28" w:type="dxa"/>
          <w:left w:w="28" w:type="dxa"/>
          <w:bottom w:w="28" w:type="dxa"/>
          <w:right w:w="28" w:type="dxa"/>
        </w:tblCellMar>
      </w:tblPr>
      <w:tblGrid>
        <w:gridCol w:w="3811"/>
        <w:gridCol w:w="290"/>
        <w:gridCol w:w="1075"/>
        <w:gridCol w:w="291"/>
      </w:tblGrid>
      <w:tr>
        <w:trPr/>
        <w:tc>
          <w:tcPr>
            <w:tcW w:w="38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7/1/2026 - 12/31/2026</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103,355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Amount representing interest</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net minimum lease payments</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lease liabilities</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lease liabilities</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initial public offering of the Company’s Class A common stock (“IPO”), the Company had authorized two classes of common stock, voting and non-voting. In March 2021, the Company amended its certificate of incorporation to bifurcate the voting common stock into two classes, Class A common stock and Class B common stock. In connection with the IPO, a further amendment to the Company's certificate of incorporation became effective, which authorized 1,000,000,000 shares of Class A common stock, 5,500,000 shares of Class B common stock, and 20,000,000 shares of preferred stock. In connection with the Company's reincorporation from Delaware to Nevada, the Company adopted amended and restated articles of incorporation under Nevada law (the "Articles of Incorporation"), pursuant to which the Company's authorized capital stock remained unchanged.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Class A common stock and Class B common stock are collectively referred to as “Common Stock” throughout the notes to these unaudited interim condensed consolidated financial statements unless otherwise noted.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rights of the holders of Class A common stock and Class B common stock are identical, except with respect to voting. Each share of Class A common stock is entitled to one vote per share and each share of Class B common stock is entitled to thirty votes per share. No shares of non-voting common stock are authorized or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share of Class B common stock is convertible at any time at the option of the holder into one share of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Articles of Incorporation, 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trading day that is no less than 90 days and no more than 150 days following June 17, 2024;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transferred and converted into Class A common stock, the Class B common stock may not be reissued.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issues stock-based awards to its employees in the form of stock options, restricted stock units, performance stock units and restricted stock, all of which have the potential to increase the outstanding shares of common stock in the future (see Note 11, Stock-Based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any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4, Paige will pay approximately $3.2 million to fulfill employee tax obligations related to the issuance, of which $3.0 million was paid in December 2025. The equivalent was withheld from those employees in the Company's Class A common stock. These shares were accounted for as treasury stock. The Company records treasury stock at cost.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At the Market Sales Agreement</w:t>
      </w:r>
    </w:p>
    <w:p>
      <w:pPr>
        <w:pStyle w:val="TextBody"/>
        <w:bidi w:val="0"/>
        <w:spacing w:before="120" w:after="283"/>
        <w:jc w:val="left"/>
        <w:rPr>
          <w:rFonts w:ascii="Times New Roman" w:hAnsi="Times New Roman"/>
          <w:sz w:val="20"/>
        </w:rPr>
      </w:pPr>
      <w:r>
        <w:rPr>
          <w:rFonts w:ascii="Times New Roman" w:hAnsi="Times New Roman"/>
          <w:color w:val="000000"/>
          <w:sz w:val="20"/>
        </w:rPr>
        <w:t>On August 8, 2025, the Company entered into a Controlled Equity Offering</w:t>
      </w:r>
      <w:r>
        <w:rPr>
          <w:rFonts w:ascii="Times New Roman" w:hAnsi="Times New Roman"/>
          <w:color w:val="000000"/>
          <w:sz w:val="16"/>
        </w:rPr>
        <w:t>SM</w:t>
      </w:r>
      <w:r>
        <w:rPr>
          <w:rFonts w:ascii="Times New Roman" w:hAnsi="Times New Roman"/>
          <w:color w:val="000000"/>
          <w:sz w:val="20"/>
        </w:rPr>
        <w:t xml:space="preserve"> Sales Agreement (the “Sales Agreement”) with Morgan Stanley &amp; Co., LLC, Cantor Fitzgerald &amp; Co., TD Securities (USA), LLC and Allen &amp; Company LLC, as sales agents (collectively, the “Sales Agents”), pursuant to which the Company may offer and sell from time to time, at its option, shares of Class A common stock through the Sales Agents (the "ATM"). The issuance and sale, if any, of shares of Class A Common Stock under the Sales Agreement will be made pursuant to an automatically effective registration statement on Form S-3 and the related prospectus included therein (the “ATM Prospectus”), which was filed with the SEC on August 8, 2025. In accordance with the terms of the Sales Agreement, under the ATM Prospectus, the Company may offer and sell shares of Class A common stock having an aggregate offering price of up to $500.0 million from time to time through the Sales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the Company sold no shares under the ATM. In connection with the entry of the Sales Agreement and filing of the ATM Prospectus, the Company incurred $1.1 million of deferred offering costs to date, of which $0.8 million was reclassified as a reduction of paid-in-capital upon completion of the sales that occurred in 2025. The remaining deferred offering costs, which were incurred in anticipation of future ATM sales, are recorded in Prepaid and other assets on the consolidated balance sheet. As of June 30, 2026, approximately $300.0 million remained available for sale pursuant to the Sales Agreement and ATM Prospectus.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sz w:val="20"/>
        </w:rPr>
      </w:pPr>
      <w:r>
        <w:rPr>
          <w:rFonts w:ascii="Times New Roman" w:hAnsi="Times New Roman"/>
          <w:b/>
          <w:color w:val="000000"/>
          <w:sz w:val="20"/>
        </w:rPr>
        <w:t>2015 Stock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2015, the Company adopted the Tempus AI, Inc. 2015 Stock Plan (the “2015 Plan”), which has been amended and restated numerous times to increase the aggregate shares authorized to be issued to employees, consultants, and directors of the Company. As of December 31, 2023, there were 28,115,750 shares authorized under the 2015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IPO, no further grants will be made under the 2015 Plan.</w:t>
      </w:r>
    </w:p>
    <w:p>
      <w:pPr>
        <w:pStyle w:val="TextBody"/>
        <w:bidi w:val="0"/>
        <w:spacing w:before="360" w:after="283"/>
        <w:jc w:val="left"/>
        <w:rPr>
          <w:rFonts w:ascii="Times New Roman" w:hAnsi="Times New Roman"/>
          <w:sz w:val="20"/>
        </w:rPr>
      </w:pPr>
      <w:r>
        <w:rPr>
          <w:rFonts w:ascii="Times New Roman" w:hAnsi="Times New Roman"/>
          <w:b/>
          <w:color w:val="000000"/>
          <w:sz w:val="20"/>
        </w:rPr>
        <w:t>2024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Company’s board of directors adopted, and in April 2024, the Company’s stockholders approved, the 2024 Equity Incentive Plan (the “2024 Plan”), which became effective in connection with the IPO in June 2024. The 2024 Plan provides for the grant of incentive stock options, (“ISOs”) nonstatutory stock options, stock appreciation rights, RSUs, restricted stock unit awards (“RSAs”), performance-based restricted stock awards (“PSUs”) and other awards. The original maximum number of shares of Class A common stock that may be issued under the 2024 Plan was 7,430,000 shares of the Company’s Class A common stock and automatically increases on January 1 of each year, beginning on January 1, 2025 and continuing through and including January 1, 2034 in an amount equal to either (i) a number of shares of the Company’s Class A common stock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 (ii) a lesser number of shares determined by the Company’s board of directors prior to the applicable January 1. The maximum number of shares that may be issued upon the exercise of ISOs under the 2024 Plan is 22,290,000 shares. As of June 30, 2026, there were 6,508,360 shares of the Company's Class A common stock that may be issued under the 2024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granted 2,126,266 and 2,617,067 RSUs during the three and six months ended June 30, 2026. The Company granted 0 and 175,000 PSUs to a non-employee during the three and six months ended June 30, 2026. Refer to Note 16 for further detail regarding the PSU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is classified as follows in the accompanying condensed consolidated statements of operations for the three and six months ended June 30, 2026 and 2025 (in thousands): </w:t>
      </w:r>
    </w:p>
    <w:p>
      <w:pPr>
        <w:pStyle w:val="TextBody"/>
        <w:bidi w:val="0"/>
        <w:spacing w:before="40" w:after="283"/>
        <w:jc w:val="left"/>
        <w:rPr/>
      </w:pPr>
      <w:r>
        <w:rPr/>
        <w:t> </w:t>
      </w:r>
    </w:p>
    <w:tbl>
      <w:tblPr>
        <w:tblW w:w="8365" w:type="dxa"/>
        <w:jc w:val="left"/>
        <w:tblInd w:w="0" w:type="dxa"/>
        <w:tblLayout w:type="fixed"/>
        <w:tblCellMar>
          <w:top w:w="28" w:type="dxa"/>
          <w:left w:w="28" w:type="dxa"/>
          <w:bottom w:w="28" w:type="dxa"/>
          <w:right w:w="28" w:type="dxa"/>
        </w:tblCellMar>
      </w:tblPr>
      <w:tblGrid>
        <w:gridCol w:w="3301"/>
        <w:gridCol w:w="146"/>
        <w:gridCol w:w="231"/>
        <w:gridCol w:w="741"/>
        <w:gridCol w:w="160"/>
        <w:gridCol w:w="160"/>
        <w:gridCol w:w="231"/>
        <w:gridCol w:w="741"/>
        <w:gridCol w:w="146"/>
        <w:gridCol w:w="146"/>
        <w:gridCol w:w="211"/>
        <w:gridCol w:w="781"/>
        <w:gridCol w:w="146"/>
        <w:gridCol w:w="146"/>
        <w:gridCol w:w="211"/>
        <w:gridCol w:w="676"/>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35,589</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54,121</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DEBT </w:t>
      </w:r>
    </w:p>
    <w:p>
      <w:pPr>
        <w:pStyle w:val="TextBody"/>
        <w:bidi w:val="0"/>
        <w:spacing w:before="120" w:after="283"/>
        <w:jc w:val="left"/>
        <w:rPr>
          <w:rFonts w:ascii="Times New Roman" w:hAnsi="Times New Roman"/>
          <w:sz w:val="20"/>
        </w:rPr>
      </w:pPr>
      <w:r>
        <w:rPr>
          <w:rFonts w:ascii="Times New Roman" w:hAnsi="Times New Roman"/>
          <w:i/>
          <w:color w:val="000000"/>
          <w:sz w:val="20"/>
        </w:rPr>
        <w:t>Convertible Senior Notes due 2032</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12, 2026, the Company completed a private offering (the “2026 Offering”) of $460.0 million aggregate principal amount of 0.00% Convertible Senior Notes due 2032 (the “2032 Notes”). The Company's net proceeds from the 2026 Offering were $441.9 million, after deducting the initial purchasers' discount and commissions and offering expenses payable by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2032 Notes are general unsecured obligations of the Company and will mature on May 15, 2032. The 2032 Notes will not bear regular interest, and the principal amount of the 2032 Notes will not accrete. The 2032 Notes are convertible at the option of the holders prior to February 15, 2032, only upon satisfaction of one or more of the following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During any calendar quarter commencing after the calendar quarter ending on September 30, 2026, if the last reported sale price of the Company’s Class A common stock, for at least 20</w:t>
      </w:r>
      <w:r>
        <w:rPr>
          <w:color w:val="000000"/>
        </w:rPr>
        <w:t xml:space="preserve"> </w:t>
      </w:r>
      <w:r>
        <w:rPr>
          <w:rFonts w:ascii="Times New Roman" w:hAnsi="Times New Roman"/>
          <w:color w:val="000000"/>
          <w:sz w:val="20"/>
        </w:rPr>
        <w:t>trading days (whether or not consecutive) during a period of 30</w:t>
      </w:r>
      <w:r>
        <w:rPr>
          <w:color w:val="000000"/>
        </w:rPr>
        <w:t xml:space="preserve"> </w:t>
      </w:r>
      <w:r>
        <w:rPr>
          <w:rFonts w:ascii="Times New Roman" w:hAnsi="Times New Roman"/>
          <w:color w:val="000000"/>
          <w:sz w:val="20"/>
        </w:rPr>
        <w:t xml:space="preserve">consecutive trading days ending on the last trading day of the immediately preceding calendar quarter is greater than or equal to 130% of the conversion price for the 2032 Notes on each applicable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(the “measurement period”) in which the trading price per $1,000</w:t>
      </w:r>
      <w:r>
        <w:rPr>
          <w:color w:val="000000"/>
        </w:rPr>
        <w:t xml:space="preserve"> </w:t>
      </w:r>
      <w:r>
        <w:rPr>
          <w:rFonts w:ascii="Times New Roman" w:hAnsi="Times New Roman"/>
          <w:color w:val="000000"/>
          <w:sz w:val="20"/>
        </w:rPr>
        <w:t xml:space="preserve">principal amount of the 2032 Notes for each trading day of the measurement period was less than 98% of the product of the last reported sale price of the Company's Class A common stock and the conversion rate for the 2032 Notes on each such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Company calls such 2032 Notes for redemption, at any time prior to the close of business on the second scheduled trading day immediately preceding the redemption date;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of specified corporate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February 15, 2032, until the close of business on the second scheduled trading day immediately preceding the maturity date, holders may convert all or any portion of their 2032 Notes at their option at any time, regardless of the foregoing conditions. Upon conversion, the Company will pay or deliver cash, shares of the Company's Class A common stock or a combination of cash and shares of the Company's Class A common stock, at the Company’s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conversion rate for the 2032 Notes will initially be 14.4388 shares of the Company's Class A common stock per $1,000 principal amount of 2032 Notes, which is equivalent to an initial conversion price of approximately $69.26 per share of the Company's Class A common stock. The conversion rate is subject to adjustment under certain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or after May 21, 2029, the Company may redeem for cash all or any portion of the 2032 Notes if the last reported sale price of the Company's Class A common stock has been at least 130% of the conversion price for the 2032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2032 Notes to be redeemed, plus accrued and unpaid special interest, if any, to, but excluding, the redemption date. If the Company redeems less than all the outstanding 2032 Notes,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least $75.0 million aggregate principal amount of 2032 Notes must be outstanding and not subject to redemption. No sinking fund is provided for the 2032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undergoes a fundamental change (as defined in the indenture governing the 2032 Notes), then, subject to certain conditions and exceptions, noteholders may require the Company to repurchase for cash all or any portion of their 2032 Notes at a fundamental change repurchase price equal to 100% of the principal amount of the 2032 Notes to be repurchased, plus accrued and unpaid special interest, if any, to, but excluding, the fundamental change repurchase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indenture governing the 2032 Notes contains customary terms and covenants, including that upon certain events of default either the 2032 Trustee or the holders of at least 25% in principal amount of the outstanding 2032 Notes may declare 100% of the principal of, and accrued and unpaid special interest, if any, on, all the 2032 Notes to be due and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there is an event of default relating to failures by the Company to comply with certain reporting requirements, the Company may elect, at its option, that the sole remedy to consist exclusively of the right of the noteholders to receive special interest on the 2032 Notes for up to 365 days at a specified rate per annum of 0.25% of the principal amount for the first 180 days on which the special interest accrues, and thereafter at a rate of 0.50%.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purchasers' discount and deferred financing fees on the 2032 Notes are amortized over the term of the underlying debt and unamortized amounts have been offset against the 2032 Notes, net in the condensed consolidated balance sheets. As of June 30, 2026, the net carrying amount of the 2032 Notes are as follows: </w:t>
      </w:r>
    </w:p>
    <w:p>
      <w:pPr>
        <w:pStyle w:val="TextBody"/>
        <w:bidi w:val="0"/>
        <w:jc w:val="left"/>
        <w:rPr/>
      </w:pPr>
      <w:r>
        <w:rPr/>
        <w:t> </w:t>
      </w:r>
    </w:p>
    <w:tbl>
      <w:tblPr>
        <w:tblW w:w="5073" w:type="dxa"/>
        <w:jc w:val="left"/>
        <w:tblInd w:w="0" w:type="dxa"/>
        <w:tblLayout w:type="fixed"/>
        <w:tblCellMar>
          <w:top w:w="28" w:type="dxa"/>
          <w:left w:w="28" w:type="dxa"/>
          <w:bottom w:w="28" w:type="dxa"/>
          <w:right w:w="28" w:type="dxa"/>
        </w:tblCellMar>
      </w:tblPr>
      <w:tblGrid>
        <w:gridCol w:w="3491"/>
        <w:gridCol w:w="146"/>
        <w:gridCol w:w="177"/>
        <w:gridCol w:w="948"/>
        <w:gridCol w:w="311"/>
      </w:tblGrid>
      <w:tr>
        <w:trPr/>
        <w:tc>
          <w:tcPr>
            <w:tcW w:w="3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initial purchasers'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442,293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Amortization of the initial purchasers' discount and deferred financing fees are reflected in Interest expense on the condensed consolidated statements of operations. The Company recognized interest expense during the three and six months ended June 30, 2026 as follows: </w:t>
      </w:r>
    </w:p>
    <w:p>
      <w:pPr>
        <w:pStyle w:val="TextBody"/>
        <w:bidi w:val="0"/>
        <w:jc w:val="left"/>
        <w:rPr/>
      </w:pPr>
      <w:r>
        <w:rPr/>
        <w:t> </w:t>
      </w:r>
    </w:p>
    <w:tbl>
      <w:tblPr>
        <w:tblW w:w="8945" w:type="dxa"/>
        <w:jc w:val="left"/>
        <w:tblInd w:w="0" w:type="dxa"/>
        <w:tblLayout w:type="fixed"/>
        <w:tblCellMar>
          <w:top w:w="28" w:type="dxa"/>
          <w:left w:w="28" w:type="dxa"/>
          <w:bottom w:w="28" w:type="dxa"/>
          <w:right w:w="28" w:type="dxa"/>
        </w:tblCellMar>
      </w:tblPr>
      <w:tblGrid>
        <w:gridCol w:w="3731"/>
        <w:gridCol w:w="146"/>
        <w:gridCol w:w="582"/>
        <w:gridCol w:w="1683"/>
        <w:gridCol w:w="271"/>
        <w:gridCol w:w="146"/>
        <w:gridCol w:w="532"/>
        <w:gridCol w:w="1538"/>
        <w:gridCol w:w="316"/>
      </w:tblGrid>
      <w:tr>
        <w:trPr/>
        <w:tc>
          <w:tcPr>
            <w:tcW w:w="3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2032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initial purchasers'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Convertible Senior Notes due 2030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2025, the Company completed a private offering (the "2025 Offering") of $750.0 million aggregate principal amount of 0.75% Convertible Senior Notes due 2030 (the "2030 Notes" and, together with the 2032 Notes, the "Notes"). The Company's net proceeds from the 2025 Offering were $725.7 million, after deducting the initial purchasers' discount and commissions and offering expenses payable by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2030 Notes are general unsecured obligations of the Company and will mature on July 15, 2030. Interest on the 2030 Notes will accrue at a rate of 0.75% per year from July 3, 2025 and will be payable semiannually in arrears on January 15 and July 15 of each year, beginning on January 15, 2026. The 2030 Notes are convertible at the option of the noteholders prior to April 15, 2030, only upon satisfaction of one or more of the following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During any calendar quarter, commencing after the fiscal quarter ending on September 30, 2025, if the last reported sale price of the Company’s Class A common stock, for at least 20</w:t>
      </w:r>
      <w:r>
        <w:rPr>
          <w:color w:val="000000"/>
        </w:rPr>
        <w:t xml:space="preserve"> </w:t>
      </w:r>
      <w:r>
        <w:rPr>
          <w:rFonts w:ascii="Times New Roman" w:hAnsi="Times New Roman"/>
          <w:color w:val="000000"/>
          <w:sz w:val="20"/>
        </w:rPr>
        <w:t>trading days (whether or not consecutive) during a period of 30</w:t>
      </w:r>
      <w:r>
        <w:rPr>
          <w:color w:val="000000"/>
        </w:rPr>
        <w:t xml:space="preserve"> </w:t>
      </w:r>
      <w:r>
        <w:rPr>
          <w:rFonts w:ascii="Times New Roman" w:hAnsi="Times New Roman"/>
          <w:color w:val="000000"/>
          <w:sz w:val="20"/>
        </w:rPr>
        <w:t xml:space="preserve">consecutive trading days ending on the last trading day of the immediately preceding calendar quarter is greater than or equal to 130% of the conversion price for the 2030 Notes on each applicable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(the “measurement period”) in which the trading price per $1,000</w:t>
      </w:r>
      <w:r>
        <w:rPr>
          <w:color w:val="000000"/>
        </w:rPr>
        <w:t xml:space="preserve"> </w:t>
      </w:r>
      <w:r>
        <w:rPr>
          <w:rFonts w:ascii="Times New Roman" w:hAnsi="Times New Roman"/>
          <w:color w:val="000000"/>
          <w:sz w:val="20"/>
        </w:rPr>
        <w:t xml:space="preserve">principal amount of the 2030 Notes for each trading day of the measurement period was less than 98% of the product of the last reported sale price of the Company's Class A common stock and the conversion rate for the 2030 Notes on each such trading day;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Company calls the 2030 Notes for redemption, at any time prior to the close of business on the second scheduled trading day immediately preceding the redemption date;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occurrence of specified corporate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April 15, 2030, until the close of business on the second scheduled trading day immediately preceding the maturity date, holders may convert all or any portion of their 2030 Notes at their option at any time, regardless of the foregoing conditions. Upon conversion, the Company will pay or deliver cash, shares of the Company's Class A common stock or a combination of cash and shares of the Company's Class A common stock, at the Company’s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rate for the 2030 Notes is 11.8778 shares of the Company's Class A common stock per $1,000 principal amount of Notes, which is equivalent to an initial conversion price of approximately $84.19 per share of the Company's Class A common stock. The conversion rate is subject to adjustment under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July 20, 2028, the Company may redeem for cash all or any portion of the 2030 Notes if the last reported sale price of the Company's Class A common stock has been at least 130% of the conversion price for the 2030 Notes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2030 Notes to be redeemed, plus accrued and unpaid interest, to, but excluding, the redemption date. If the Company redeems less than all the outstanding 2030 Notes, at least $100.0 million aggregate principal amount of 2030 Notes must be outstanding and not subject to redemption. No sinking fund is provided for the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undergoes a fundamental change (as defined in the indenture governing the 2030 Notes), then, subject to certain conditions and exceptions, noteholders may require the Company to repurchase for cash all or any portion of their 2030 Notes at a fundamental change repurchase price equal to 100% of the principal amount of the 2030 Notes to be repurchased, plus accrued and unpaid interest, to, but excluding, the fundamental change repurchase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purchasers' discount and deferred financing fees on the 2030 Notes are amortized over the term of the underlying debt and unamortized amounts have been offset against the 2030 Notes, net in the condensed consolidated balance sheets. As of June 30, 2026 and December 31, 2025, the net carrying amount of the 2030 Notes are as follows: </w:t>
      </w:r>
    </w:p>
    <w:p>
      <w:pPr>
        <w:pStyle w:val="TextBody"/>
        <w:bidi w:val="0"/>
        <w:spacing w:before="240" w:after="283"/>
        <w:jc w:val="left"/>
        <w:rPr/>
      </w:pPr>
      <w:r>
        <w:rPr/>
        <w:t> </w:t>
      </w:r>
    </w:p>
    <w:tbl>
      <w:tblPr>
        <w:tblW w:w="6885" w:type="dxa"/>
        <w:jc w:val="left"/>
        <w:tblInd w:w="0" w:type="dxa"/>
        <w:tblLayout w:type="fixed"/>
        <w:tblCellMar>
          <w:top w:w="28" w:type="dxa"/>
          <w:left w:w="28" w:type="dxa"/>
          <w:bottom w:w="28" w:type="dxa"/>
          <w:right w:w="28" w:type="dxa"/>
        </w:tblCellMar>
      </w:tblPr>
      <w:tblGrid>
        <w:gridCol w:w="3491"/>
        <w:gridCol w:w="146"/>
        <w:gridCol w:w="177"/>
        <w:gridCol w:w="948"/>
        <w:gridCol w:w="166"/>
        <w:gridCol w:w="146"/>
        <w:gridCol w:w="236"/>
        <w:gridCol w:w="1264"/>
        <w:gridCol w:w="311"/>
      </w:tblGrid>
      <w:tr>
        <w:trPr/>
        <w:tc>
          <w:tcPr>
            <w:tcW w:w="3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initial purchasers'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728,078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Company made $3.0 million in interest payments on the 2030 Notes. Accrued interest on the 2030 Notes is recorded within Accrued expenses on the condensed consolidated balance sheet. Amortization of the initial purchasers' discount and deferred financing fees are reflected in Interest expense on the condensed consolidated statements of operations. The Company recognized interest expense during the three and six months ended June 30, 2026 as follows:</w:t>
      </w:r>
    </w:p>
    <w:p>
      <w:pPr>
        <w:pStyle w:val="TextBody"/>
        <w:bidi w:val="0"/>
        <w:spacing w:before="240" w:after="283"/>
        <w:jc w:val="left"/>
        <w:rPr/>
      </w:pPr>
      <w:r>
        <w:rPr/>
        <w:t> </w:t>
      </w:r>
    </w:p>
    <w:tbl>
      <w:tblPr>
        <w:tblW w:w="8945" w:type="dxa"/>
        <w:jc w:val="left"/>
        <w:tblInd w:w="0" w:type="dxa"/>
        <w:tblLayout w:type="fixed"/>
        <w:tblCellMar>
          <w:top w:w="28" w:type="dxa"/>
          <w:left w:w="28" w:type="dxa"/>
          <w:bottom w:w="28" w:type="dxa"/>
          <w:right w:w="28" w:type="dxa"/>
        </w:tblCellMar>
      </w:tblPr>
      <w:tblGrid>
        <w:gridCol w:w="3731"/>
        <w:gridCol w:w="146"/>
        <w:gridCol w:w="461"/>
        <w:gridCol w:w="1804"/>
        <w:gridCol w:w="271"/>
        <w:gridCol w:w="146"/>
        <w:gridCol w:w="421"/>
        <w:gridCol w:w="1649"/>
        <w:gridCol w:w="316"/>
      </w:tblGrid>
      <w:tr>
        <w:trPr/>
        <w:tc>
          <w:tcPr>
            <w:tcW w:w="3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initial purchasers'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pricing of the 2032 Notes on May 7, 2026, and the exercise in full by the initial purchasers of their option to purchase additional 2032 Notes on May 8, 2026, the Company entered into capped call transactions (the "2032 Capped Call")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initial purchasers or its affiliate and other financial institutions. The 2032 Capped Call is expected generally to reduce the potential dilution to the Company's Class A common stock upon any conversion of the 2032 Notes and/or offset any cash payments the Company is required to make in excess of the principal amount of converted 2032 Notes, with such reduction and/or offset subject to a cap based on a cap price initially equal to $98.9400 per share, which is subject to certain adjustments under the terms of the 2032 Capped Call. The 2032 Capped Call have an initial strike price of approximately $69.26 per share, subject to certain adjustments, which corresponds to the initial conversion price of the 2032 Notes. The 2032 Capped Call cover, subject to anti-dilution adjustments, approximately 6,641,848 shares of the Company's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pricing of the 2030 Notes on June 30, 2025, and the exercise in full by the initial purchasers of their option to purchase additional 2030 Notes on July 1, 2025, the Company entered into capped call transactions (the "2030 Capped Call"), effective as of July 3, 2025, with one of the initial purchasers and certain other financial institutions. The 2030 Capped Call is expected generally to reduce the potential dilution to the Company's Class A common stock upon any conversion of the 2030 Notes and/or offset any cash payments the Company is required to make in excess of the principal amount of converted 2030 Notes, with such reduction and/or offset subject to a cap based on a cap price initially equal to $111.1950 per share, which is subject to certain adjustments under the terms of the 2030 Capped Call. The 2030 Capped Call have an initial strike price of approximately $84.19 per share, subject to certain adjustments, which corresponds to the initial conversion price of the 2030 Notes. The 2030 Capped Call cover, subject to anti-dilution adjustments, approximately 8,908,350 shares of the Company's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2030 and 2032 Capped Call (together, the "Capped Call Transactions") qualifies for a scope exception from derivative accounting for instruments that are both indexed to the issuer's own stock and classified in stockholders' equity. The $73.0 million incurred to purchase the Capped Call Transactions was recorded as a reduction to additional paid-in capital in the condensed consolidated balance sheets, and will not be remeasured as long as they continue to meet the conditions for equity classification.</w:t>
      </w:r>
    </w:p>
    <w:p>
      <w:pPr>
        <w:pStyle w:val="TextBody"/>
        <w:bidi w:val="0"/>
        <w:spacing w:before="360" w:after="283"/>
        <w:jc w:val="left"/>
        <w:rPr>
          <w:rFonts w:ascii="Times New Roman" w:hAnsi="Times New Roman"/>
          <w:sz w:val="20"/>
        </w:rPr>
      </w:pPr>
      <w:r>
        <w:rPr>
          <w:rFonts w:ascii="Times New Roman" w:hAnsi="Times New Roman"/>
          <w:i/>
          <w:color w:val="000000"/>
          <w:sz w:val="20"/>
        </w:rPr>
        <w:t>Credit 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22, 2022, the Company entered into a Credit Agreement (the “Original Credit Agreement”) with Ares Capital Corporation (“Ares”) for a senior secured loan (the “Term Loan Facility”) that matures in September 2027, in an original principal amount of $175.0 million, less original issue discount of $4.4 million and deferred financing fees of $2.6 million. The Original Credit Agreement was amended on April 25, 2023 and October 11, 2023, to, among other things, increase the original principal amount of the Term Loan Facility by $85.0 million in the aggregate, less original issue discount of $2.2 million in the aggregate.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3, 2025, the Company entered into a Third Amendment Agreement (the "Third Amendment Agreement") which, among other things, provided for an additional $200.0 million tranche of senior secured term loans (the “Additional Term Loan Facility”, and together with the Term Loan Facility, the “Term Loans”) and $100.0 million in priority revolving loan commitments (the “Revolving Credit Facility”, and loans thereunder, the “Revolving Loans”). The Company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Third Amendment Agreement was accounted for as a debt modification. The Additional Term Loan Facility and the Revolving Credit Facility mature on February 3, 2030.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30, 2025, in conjunction with the 2025 Offering, the Company entered into a Fourth Amendment to the Credit Agreement (the “Fourth Amendment Agreement”). The Fourth Amendment Agreement amended the terms of the Credit Agreement to (i) permit the Offering and the related derivative transactions and (ii) provide that the Offering satisfies the junior capital raise requirement set forth in the Credit Agreement. Except as noted above, the material terms of the Credit Agreement were not amended. The Fourth Amendment Agreement was accounted for as a debt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Loans and Revolving Credit Facility (together with the Term Loan Facility, the “Credit Facilities”) are subject to quarterly interest payments for Base Rate loans and at the end of the applicable interest rate period for Term Secured Overnight Financing Rate (“SOFR”) loans.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Term Loans are subject to quarterly interest payments, which bears interest based on Term SOFR. Additionally, the Company may make either a paid-in-kind ("PIK") election or a Cash election. Pursuant to the Original Credit Agreement, as amended by the Fourth Amendment Agreement, or the Credit Agreement, interest </w:t>
      </w:r>
      <w:r>
        <w:rPr>
          <w:rFonts w:ascii="Times New Roman" w:hAnsi="Times New Roman"/>
          <w:color w:val="231F20"/>
          <w:sz w:val="20"/>
        </w:rPr>
        <w:t xml:space="preserve">on the Term Loans accrues at a per annum rate as follows: (i) for any interest period for which the Company elects to pay interest in cash, the cash interest rate for Term SOFR borrowings will be Term SOFR </w:t>
      </w:r>
      <w:r>
        <w:rPr>
          <w:rFonts w:ascii="Times New Roman" w:hAnsi="Times New Roman"/>
          <w:i/>
          <w:color w:val="231F20"/>
          <w:sz w:val="20"/>
        </w:rPr>
        <w:t>plus</w:t>
      </w:r>
      <w:r>
        <w:rPr>
          <w:rFonts w:ascii="Times New Roman" w:hAnsi="Times New Roman"/>
          <w:color w:val="231F20"/>
          <w:sz w:val="20"/>
        </w:rPr>
        <w:t xml:space="preserve"> a margin ranging from 6.75% to 7.75%, respectively, and (ii) for any interest period for which the Company elects to pay interest in kind, the cash interest rate for Term SOFR borrowings will be Term SOFR </w:t>
      </w:r>
      <w:r>
        <w:rPr>
          <w:rFonts w:ascii="Times New Roman" w:hAnsi="Times New Roman"/>
          <w:i/>
          <w:color w:val="231F20"/>
          <w:sz w:val="20"/>
        </w:rPr>
        <w:t>plus</w:t>
      </w:r>
      <w:r>
        <w:rPr>
          <w:rFonts w:ascii="Times New Roman" w:hAnsi="Times New Roman"/>
          <w:color w:val="231F20"/>
          <w:sz w:val="20"/>
        </w:rPr>
        <w:t xml:space="preserve"> a margin of 5%, respectively, and the PIK interest rate will be 3.25%.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on the Revolving Loans accrues interest at a per annum rate equal to Term SOFR </w:t>
      </w:r>
      <w:r>
        <w:rPr>
          <w:rFonts w:ascii="Times New Roman" w:hAnsi="Times New Roman"/>
          <w:i/>
          <w:color w:val="000000"/>
          <w:sz w:val="20"/>
        </w:rPr>
        <w:t>plus</w:t>
      </w:r>
      <w:r>
        <w:rPr>
          <w:rFonts w:ascii="Times New Roman" w:hAnsi="Times New Roman"/>
          <w:color w:val="000000"/>
          <w:sz w:val="20"/>
        </w:rPr>
        <w:t xml:space="preserve"> 3.75%.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Company repaid in full the principal amount of the Term Loan Facility for $276.9 million. In May 2026, the Company repaid in full the principal amount for $307.7 million of the Additional Term Loan Facility and Revolving Credit Facility. In connection with this repayment, the Credit Agreement, as amended, and all guarantee and security documents executed in connection therewith, were terminated. No amounts under the Credit Facilities remain outstanding as of June 30, 2026. The Company recorded a loss on debt extinguishment of $11.6 million in the condensed consolidated statements of operations and comprehensive loss for the three and six months ended June 30, 2026, representing a prepayment premium of $6.4 million, unamortized original issue discount of $4.5 million, and unamortized deferred financing fees of $0.7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original issue discount of $10.5 million and deferred financing fees of $2.6 million on the Term Loans are amortized over the term of the underlying debt and unamortized amounts have been offset against long-term debt in the condensed consolidated balance sheets. As a result of the repayment of the principal amount of the Additional Term Loan Facility in May 2026, as of June 30, 2026, the original issue discount was $0. As of December 31, 2025, the unamortized original issue discount was $3.3 million. As a result of the repayment of the principal amount of the Term Loan Facility in July 2025, the deferred financing fees is $0 as of June 30, 2026 and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original issue discount of $2.0 million and deferred financing fees of $1.0 million on the Revolving Credit Facility are amortized over the term of the underlying debt and unamortized amounts are recorded in Investments and other assets in the condensed consolidated balance sheets. As of June 30, 2026, the unamortized original issue discount and deferred financing fees on the Revolving Credit Facility were both $0 as a result of the repayment of the principal amount of the Revolving Credit Facility in May 2026. As of December 31, 2025, the unamortized original issue discount and deferred financing fees on the Revolving Credit Facility was $1.6 million and $0.8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2026, the Company made $9.3 million in interest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and the effective interest rate for the three and six months ended June 30, 2026 and 2025 are as follows (in thousands): </w:t>
      </w:r>
    </w:p>
    <w:p>
      <w:pPr>
        <w:pStyle w:val="TextBody"/>
        <w:bidi w:val="0"/>
        <w:spacing w:before="40" w:after="283"/>
        <w:jc w:val="left"/>
        <w:rPr/>
      </w:pPr>
      <w:r>
        <w:rPr/>
        <w:t> </w:t>
      </w:r>
    </w:p>
    <w:tbl>
      <w:tblPr>
        <w:tblW w:w="7750" w:type="dxa"/>
        <w:jc w:val="left"/>
        <w:tblInd w:w="0" w:type="dxa"/>
        <w:tblLayout w:type="fixed"/>
        <w:tblCellMar>
          <w:top w:w="28" w:type="dxa"/>
          <w:left w:w="28" w:type="dxa"/>
          <w:bottom w:w="28" w:type="dxa"/>
          <w:right w:w="28" w:type="dxa"/>
        </w:tblCellMar>
      </w:tblPr>
      <w:tblGrid>
        <w:gridCol w:w="2321"/>
        <w:gridCol w:w="246"/>
        <w:gridCol w:w="169"/>
        <w:gridCol w:w="661"/>
        <w:gridCol w:w="313"/>
        <w:gridCol w:w="169"/>
        <w:gridCol w:w="169"/>
        <w:gridCol w:w="783"/>
        <w:gridCol w:w="271"/>
        <w:gridCol w:w="146"/>
        <w:gridCol w:w="211"/>
        <w:gridCol w:w="571"/>
        <w:gridCol w:w="271"/>
        <w:gridCol w:w="146"/>
        <w:gridCol w:w="211"/>
        <w:gridCol w:w="676"/>
        <w:gridCol w:w="416"/>
      </w:tblGrid>
      <w:tr>
        <w:trPr/>
        <w:tc>
          <w:tcPr>
            <w:tcW w:w="23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Revolving Credit Facility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Revolving Credit Facility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22, 2025, the Company amended its convertible promissory note (the "Second Amended Note") with Google LLC ("Google"), originally entered into on June 22, 2020 (the "Initial Note"), and subsequently amended on November 19, 2020 (the "Amended Note"). The amendment extended the maturity date of the Second Amended Note from March 22, 2026 to December 31, 2030. In addition, the amendment provides the Company the option upon maturity to repay up to 50% of the outstanding principal and accrued interest balance (the "Outstanding Amount") in shares of the Company's Class A common stock equal to the quotient obtained by dividing (1) the Outstanding Amount on the maturity date, by (2) the average of the last trading price on each trading day during the twenty day period ending immediately prior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amendment was accounted for as a modification. 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condensed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interest expense of $3.3 million and $3.6 million during the three months ended June 30, 2026 and 2025, respectively. The Company recognized interest expense of $6.8 million and $7.1 million during the six months ended June 30, 2026 and 2025, respectively. Accrued interest on the Second Amended Note is recorded as Interest Payable within noncurrent liabilities on the condensed consolidated balance sheet.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(loss) per share is calculated by dividing the net income (loss) by the weighted average number of outstanding shares of Common Stock each period. The Company’s Class A common stock and Class B common stock share equally in distributed and undistributed earnings; therefore, no allocation to participating securities or dilutive securities is performed. Diluted net income (loss) per share is calculated by giving effect to all potential dilutive Common Stock equivalents, which includes stock options, RSUs, RSAs, PSUs, and preferred stock. The Company used the if-converted method for its convertible debt instruments and the treasury stock method for options, warrants, and similar instruments in accordance with ASC 260 to calculate diluted EPS. The Company excluded any potentially dilutive common stock equivalents from the calculation of diluted net income (loss) per share if their effect is anti-dilutive. As the Company had net losses in the three months ended June 30, 2025 and the six months ended June 30, 2026 and 2025, all potentially dilutive common stock equivalents have been excluded from the calculation of diluted net loss per share attributable to common stockholders as their effect is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calculation for basic and diluted net income (loss) per share (in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90"/>
        <w:gridCol w:w="211"/>
        <w:gridCol w:w="781"/>
        <w:gridCol w:w="146"/>
        <w:gridCol w:w="146"/>
        <w:gridCol w:w="211"/>
        <w:gridCol w:w="781"/>
        <w:gridCol w:w="166"/>
        <w:gridCol w:w="146"/>
        <w:gridCol w:w="211"/>
        <w:gridCol w:w="841"/>
        <w:gridCol w:w="166"/>
        <w:gridCol w:w="146"/>
        <w:gridCol w:w="211"/>
        <w:gridCol w:w="841"/>
        <w:gridCol w:w="411"/>
      </w:tblGrid>
      <w:tr>
        <w:trPr/>
        <w:tc>
          <w:tcPr>
            <w:tcW w:w="4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Plus: Dilutive effect of RSUs, PSUs and RSAs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diluted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basic</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outstanding shares of common stock equivalents were excluded from the calculation of diluted net income (loss) per share for the three months ended June 30, 2025 and the six months ended June 30, 2026 and 2025, as the impact of including them would have been anti-dilutive.</w:t>
      </w:r>
    </w:p>
    <w:p>
      <w:pPr>
        <w:pStyle w:val="TextBody"/>
        <w:bidi w:val="0"/>
        <w:jc w:val="left"/>
        <w:rPr/>
      </w:pPr>
      <w:r>
        <w:rPr/>
        <w:t> </w:t>
      </w:r>
    </w:p>
    <w:tbl>
      <w:tblPr>
        <w:tblW w:w="6534" w:type="dxa"/>
        <w:jc w:val="left"/>
        <w:tblInd w:w="0" w:type="dxa"/>
        <w:tblLayout w:type="fixed"/>
        <w:tblCellMar>
          <w:top w:w="28" w:type="dxa"/>
          <w:left w:w="28" w:type="dxa"/>
          <w:bottom w:w="28" w:type="dxa"/>
          <w:right w:w="28" w:type="dxa"/>
        </w:tblCellMar>
      </w:tblPr>
      <w:tblGrid>
        <w:gridCol w:w="3646"/>
        <w:gridCol w:w="146"/>
        <w:gridCol w:w="146"/>
        <w:gridCol w:w="1036"/>
        <w:gridCol w:w="146"/>
        <w:gridCol w:w="146"/>
        <w:gridCol w:w="146"/>
        <w:gridCol w:w="931"/>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Deep 6 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Paige 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6,670,364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Shares issuable upon conversion of Notes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15,550,198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potentially dilutive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20,623,838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6,711,623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As disclosed in Note 12, the Company entered into the Capped Call Transactions in connection with the pricing of the Notes. The Capped Call Transactions are generally expected to reduce the potential dilution to the Company’s Class A common stock upon conversion of the Notes. As such, the impact of the Capped Call Transactions was excluded from the calculation as the effect of the Capped Call Transactions if issued upon conversion of the Notes, would have been anti-dilutive.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disclosed in Note 12, the Second Amended Note may be fully converted to shares upon maturity at the holder’s option, or up to 50% may be converted to shares upon maturity at the Company's option. The number of shares to be issued is based on the amount outstanding at the maturity date, which is subject to reduction based on services used by us prior to the maturity date. As such, these are treated as contingently issuable shares and are excluded from potential dilutive impact. </w:t>
      </w:r>
      <w:r>
        <w:rPr>
          <w:rFonts w:ascii="Times New Roman" w:hAnsi="Times New Roman"/>
          <w:color w:val="000000"/>
          <w:sz w:val="24"/>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the Company recorded an income tax expense of $0.3 million and $0.2 million, respectively. The effective tax rate for the three and six months ended June 30, 2026 differs from the statutory federal income tax rate primarily due to the Company's full valuation allowance position in the US which prevents the Company from benefiting current year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Company’s history of losses in the United States, a full valuation allowance on all other deferred tax assets, including net operating loss carryforwards and other book versus tax differences, was maintained.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continue to evaluate the realizability of its deferred tax assets on a quarterly basis and adjust the valuation allowance as necessary based on the weight of available evidence.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2025, the Company recorded an income tax expense of $0.2 million and income tax benefit of $46.0 million. This benefit was the result of a discrete tax benefit of $46.2 million recorded from the release of a portion of the valuation allowance attributable to net deferred tax liabilities recorded on Ambry's opening balance sheet which offset certain net deferred tax assets of the Company. The effective tax rate for the three and six months ended June 30, 2025 differs from the statutory federal income tax rate primarily due to the discrete tax benefit recognized from the reduction of the valuation allowance as a result of the Ambry Acquisition during the quarter.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 AND MARKETABLE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financial instruments, including cash and cash equivalents, accounts receivable, minimum royalties, accounts payable, and accrued expenses approximate fair value due to the short maturity of these instruments. The carrying amounts of the related party receivable and minimum royalties approximate fair value because the interest rates used fluctuate with market interest rates or the fixed rates are based on current rates offered to the Company for debt with similar terms and maturities.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valuation methodologies used for the Company’s assets and liabilities measured at fair value and their classification in the valuation hierarchy are summarized below: </w:t>
      </w:r>
    </w:p>
    <w:p>
      <w:pPr>
        <w:pStyle w:val="TextBody"/>
        <w:bidi w:val="0"/>
        <w:spacing w:before="240" w:after="283"/>
        <w:jc w:val="left"/>
        <w:rPr>
          <w:rFonts w:ascii="Times New Roman" w:hAnsi="Times New Roman"/>
          <w:sz w:val="20"/>
        </w:rPr>
      </w:pPr>
      <w:r>
        <w:rPr>
          <w:rFonts w:ascii="Times New Roman" w:hAnsi="Times New Roman"/>
          <w:i/>
          <w:color w:val="000000"/>
          <w:sz w:val="20"/>
        </w:rPr>
        <w:t>Marketable equity securities</w:t>
      </w:r>
      <w:r>
        <w:rPr>
          <w:rFonts w:ascii="Times New Roman" w:hAnsi="Times New Roman"/>
          <w:color w:val="000000"/>
          <w:sz w:val="20"/>
        </w:rPr>
        <w:t xml:space="preserve">—The Company holds marketable equity securities, all of which are publicly traded shares of common stock, which have quoted prices in active markets and are classified as short-term. The securities are measured at fair value each reporting period. The Company classifies the marketable equity securities as Level 1 as they are valued using quoted market prices at each reporting period. </w:t>
      </w:r>
    </w:p>
    <w:p>
      <w:pPr>
        <w:pStyle w:val="TextBody"/>
        <w:bidi w:val="0"/>
        <w:spacing w:before="240" w:after="283"/>
        <w:jc w:val="left"/>
        <w:rPr>
          <w:rFonts w:ascii="Times New Roman" w:hAnsi="Times New Roman"/>
          <w:sz w:val="20"/>
        </w:rPr>
      </w:pPr>
      <w:r>
        <w:rPr>
          <w:rFonts w:ascii="Times New Roman" w:hAnsi="Times New Roman"/>
          <w:i/>
          <w:color w:val="000000"/>
          <w:sz w:val="20"/>
        </w:rPr>
        <w:t>Holdback liability</w:t>
      </w:r>
      <w:r>
        <w:rPr>
          <w:rFonts w:ascii="Times New Roman" w:hAnsi="Times New Roman"/>
          <w:color w:val="000000"/>
          <w:sz w:val="20"/>
        </w:rPr>
        <w:t>—The Company held back 13,614 shares in connection with the Deep 6 acquisition and 70,792 shares in connection with the Paige acquisition. See Note 4, Business Combinations for further discussion of those acquisitions. For all holdback liabilities, the number of shares are fixed at the acquisition price as of the date of the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Holdback liabilities are measured at fair value each reporting period, with the acquisition date fair value included as part of the consideration transferred in the related business combination and subsequent changes in fair value recorded in earnings within operating expense on the condensed consolidated statements of operations and comprehensive loss. The Company classified the holdback liability as Level 1 as the shares are valued using a quoted market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Credit Facilities, the Second Amended Note, and the Notes were not recorded at fair value. The fair values of the Credit Facilities, the Second Amended Note, and the Notes approximated their carrying values as of June 30, 2026 and December 31, 2025. Estimates of the fair values of the Credit Facilities, the Second Amended Note, and the Notes are classified as Level 3 due to the lack of relevant observable market data over fair value inputs.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summarize assets and liabilities that are measured at fair value on a recurring basis as of June 30, 2026 and December 31, 2025 (in thousands): </w:t>
      </w:r>
    </w:p>
    <w:p>
      <w:pPr>
        <w:pStyle w:val="TextBody"/>
        <w:bidi w:val="0"/>
        <w:jc w:val="left"/>
        <w:rPr/>
      </w:pPr>
      <w:r>
        <w:rPr/>
        <w:t> </w:t>
      </w:r>
    </w:p>
    <w:tbl>
      <w:tblPr>
        <w:tblW w:w="8787" w:type="dxa"/>
        <w:jc w:val="left"/>
        <w:tblInd w:w="0" w:type="dxa"/>
        <w:tblLayout w:type="fixed"/>
        <w:tblCellMar>
          <w:top w:w="28" w:type="dxa"/>
          <w:left w:w="28" w:type="dxa"/>
          <w:bottom w:w="28" w:type="dxa"/>
          <w:right w:w="28" w:type="dxa"/>
        </w:tblCellMar>
      </w:tblPr>
      <w:tblGrid>
        <w:gridCol w:w="2631"/>
        <w:gridCol w:w="146"/>
        <w:gridCol w:w="239"/>
        <w:gridCol w:w="886"/>
        <w:gridCol w:w="146"/>
        <w:gridCol w:w="146"/>
        <w:gridCol w:w="291"/>
        <w:gridCol w:w="1080"/>
        <w:gridCol w:w="201"/>
        <w:gridCol w:w="201"/>
        <w:gridCol w:w="352"/>
        <w:gridCol w:w="579"/>
        <w:gridCol w:w="201"/>
        <w:gridCol w:w="201"/>
        <w:gridCol w:w="415"/>
        <w:gridCol w:w="681"/>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w:t>
              <w:br/>
              <w:t>in Active</w:t>
              <w:br/>
              <w:t>Market for</w:t>
              <w:br/>
              <w:t>Identical</w:t>
              <w:br/>
              <w:t>Assets</w:t>
              <w:br/>
              <w:t>(Level 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216,377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9162" w:type="dxa"/>
        <w:jc w:val="left"/>
        <w:tblInd w:w="0" w:type="dxa"/>
        <w:tblLayout w:type="fixed"/>
        <w:tblCellMar>
          <w:top w:w="28" w:type="dxa"/>
          <w:left w:w="28" w:type="dxa"/>
          <w:bottom w:w="28" w:type="dxa"/>
          <w:right w:w="28" w:type="dxa"/>
        </w:tblCellMar>
      </w:tblPr>
      <w:tblGrid>
        <w:gridCol w:w="2631"/>
        <w:gridCol w:w="146"/>
        <w:gridCol w:w="319"/>
        <w:gridCol w:w="1181"/>
        <w:gridCol w:w="146"/>
        <w:gridCol w:w="146"/>
        <w:gridCol w:w="291"/>
        <w:gridCol w:w="1080"/>
        <w:gridCol w:w="201"/>
        <w:gridCol w:w="201"/>
        <w:gridCol w:w="352"/>
        <w:gridCol w:w="579"/>
        <w:gridCol w:w="201"/>
        <w:gridCol w:w="201"/>
        <w:gridCol w:w="415"/>
        <w:gridCol w:w="681"/>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w:t>
              <w:br/>
              <w:t>in Active</w:t>
              <w:br/>
              <w:t>Market for</w:t>
              <w:br/>
              <w:t>Identical</w:t>
              <w:br/>
              <w:t>Assets</w:t>
              <w:br/>
              <w:t>(Level 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and six months ended June 30, 2026 and 2025, the Company did not recognize any gain or loss due to a change in fair value for assets and liabilities measured at fair value using significant unobservable inputs (Level 3).</w:t>
      </w:r>
    </w:p>
    <w:p>
      <w:pPr>
        <w:pStyle w:val="TextBody"/>
        <w:bidi w:val="0"/>
        <w:spacing w:before="360" w:after="283"/>
        <w:jc w:val="left"/>
        <w:rPr>
          <w:rFonts w:ascii="Times New Roman" w:hAnsi="Times New Roman"/>
          <w:sz w:val="20"/>
        </w:rPr>
      </w:pPr>
      <w:r>
        <w:rPr>
          <w:rFonts w:ascii="Times New Roman" w:hAnsi="Times New Roman"/>
          <w:b/>
          <w:color w:val="000000"/>
          <w:sz w:val="20"/>
        </w:rPr>
        <w:t>Marketable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holds marketable equity securities, which are all publicly traded shares of Recursion Pharmaceuticals, Inc. ("Recursion") Class A common stock and Personalis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Recursion shares of Class A common stock were received as payment of accounts receivable. During the three and six months ended June 30, 2026 and the three months ended June 30, 2025, the Company did not sell any shares of Recursion Class A common stock. During the six months ended June 30, 2025, the Company sold 737,466 shares of Recursion Class A common stock at a weighted average price of $11.28 per share for aggregate proceeds of $8.3 million. The Company owns less than 20% of Recursion's outstanding common stock and has no significant influence or control over Recursion.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consideration for the Company's obligations to Personalis under the Commercialization and Reference Laboratory Agreement entered into with Personalis in November 2023, Personalis issued warrants to the Company to purchase up to an aggregate of 9,218,800 shares of Personalis' common stock, up to 4,609,400 of which were exercisable for cash at any time prior to December 31, 2024 at an exercise price of $1.50 per share, and up to 4,609,400 of which were exercisable for cash at any time prior to December 31, 2025 at an exercise price of $2.50 per share. In August 2024, the Company exercised the warrants in full at their respective exercise prices for an aggregate of 9,218,800 shares of Personalis common stock at an aggregate purchase price of $18.4 million. Concurrently, the Company entered into an Investment Agreement with Personalis, pursuant to which the Company purchased an additional 3,500,000 shares of Personalis common stock for $17.7 million. The Company owns less than 20% of Personalis' outstanding common stock and has no significant influence or control over Personalis.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fair value of marketable equity securities are recorded in earnings within Other income, net on the condensed consolidated statement of operations and comprehensive loss. The following summarizes the portion of unrealized gains and losses recorded during the three and six months ended June 30, 2026 and 2025 that relate to marketable equity securities held as of June 30, 2026 and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05"/>
        <w:gridCol w:w="346"/>
        <w:gridCol w:w="213"/>
        <w:gridCol w:w="744"/>
        <w:gridCol w:w="167"/>
        <w:gridCol w:w="147"/>
        <w:gridCol w:w="213"/>
        <w:gridCol w:w="744"/>
        <w:gridCol w:w="366"/>
        <w:gridCol w:w="346"/>
        <w:gridCol w:w="211"/>
        <w:gridCol w:w="736"/>
        <w:gridCol w:w="166"/>
        <w:gridCol w:w="146"/>
        <w:gridCol w:w="211"/>
        <w:gridCol w:w="631"/>
        <w:gridCol w:w="413"/>
      </w:tblGrid>
      <w:tr>
        <w:trPr/>
        <w:tc>
          <w:tcPr>
            <w:tcW w:w="44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during the period on marketable equity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(98,474</w:t>
            </w:r>
          </w:p>
        </w:tc>
        <w:tc>
          <w:tcPr>
            <w:tcW w:w="1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gain recognized during the period on marketable equity securities sold during the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recognized during the period on marketable equity securities still held at the reporting date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(98,474</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RELATED PARTIES </w:t>
      </w:r>
    </w:p>
    <w:p>
      <w:pPr>
        <w:pStyle w:val="TextBody"/>
        <w:bidi w:val="0"/>
        <w:spacing w:before="120" w:after="283"/>
        <w:jc w:val="left"/>
        <w:rPr>
          <w:rFonts w:ascii="Times New Roman" w:hAnsi="Times New Roman"/>
          <w:sz w:val="20"/>
        </w:rPr>
      </w:pPr>
      <w:r>
        <w:rPr>
          <w:rFonts w:ascii="Times New Roman" w:hAnsi="Times New Roman"/>
          <w:i/>
          <w:color w:val="000000"/>
          <w:sz w:val="20"/>
        </w:rPr>
        <w:t>Strategic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Founder and Chief Executive Officer is a co-founder and serves as Executive Chairman of the board of Pathos AI, Inc. ("Pathos"). On August 19, 2021, the Company entered into a Master Agreement with Pathos, which was subsequently amended on February 12, 2024 (as amended, the "Amended and Restated Master Agreement"), for the purpose of furthering the commercialization efforts of drug development. In connection therewith, the Company received a warrant to purchase 23,456,790 shares, or approximately 15% of the current outstanding equity in Pathos, for $0.0125 per share. The warrant will automatically exercise upon a change of control (as defined therein) or upon an IPO of Pathos’ securities. The Company also has an optional exercise election window during the last 10 days of the 20 year term of the warrant agreement. The Amended and Restated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17, 2025, the Company entered into an Order Form (the "Order Form") regarding both the development of a foundation large multimodal model in the field of oncology (the “Foundation Model”) and the licensing of certain de-identified multi-modal data to assist in the development of the Foundation Model, with Pathos under the Amended and Restated Master Agreement (the Amended and Restated Master Agreement and the Order Form collectively referred to herein as the “Pathos Master Agreement”). Pursuant to the Pathos Master Agreement, (i) Pathos will be responsible for Foundation Model development activities under the Statement of Work with AstraZeneca under the Master Services Agreement, dated November 17, 2021 between the Company and AstraZeneca, as amended from time to time (the Master Services Agreement and the Statement of Work are collectively referred to herein as the “MSA”), (ii) the Company will license Pathos a comprehensive de-identified multi-modal dataset for the sole purpose of assisting in the development and training of the Foundation Model under the MSA, (iii) Pathos will pay the Company data license fees of $200 million over a three-year period, including an upfront payment of $50 million paid as of April 2025, (iv) the Company will provide a secure cloud environment to host the Foundation Model, for which Pathos will pay the Company the first $60 million of cloud compute costs, (v) the Company will receive a license to use the Foundation Model upon its completion (with certain field restrictions and the right of sublicense to AstraZeneca), and (vi) in consideration of Pathos’ commitments under the Pathos Master Agreement, the Company will pay Pathos $35 million, of which $25 million has been paid to date. Pathos, in its sole discretion, may pay up to 50% of the data license fees owed to the Company in shares of Pathos’ Series D Preferred Stock. In June 2026, Pathos paid $8.8 million of the data license fees in Pathos' Series D Preferred Stock, which is presented in Investment in related party on the condensed consolidated balance sheets and recorded under the measurement alternative for equity investments. As part of the transaction, the Company became a party to Pathos’ standard investment documents. The Pathos' Series D Preferred Stock is entitled to cumulative dividends at an annual rate of 5.0%. As of June 30, 2026, no dividends have been declared by the Pathos board of directors.</w:t>
      </w:r>
    </w:p>
    <w:p>
      <w:pPr>
        <w:pStyle w:val="TextBody"/>
        <w:bidi w:val="0"/>
        <w:spacing w:before="360" w:after="283"/>
        <w:jc w:val="left"/>
        <w:rPr>
          <w:rFonts w:ascii="Times New Roman" w:hAnsi="Times New Roman"/>
          <w:sz w:val="20"/>
        </w:rPr>
      </w:pPr>
      <w:r>
        <w:rPr>
          <w:rFonts w:ascii="Times New Roman" w:hAnsi="Times New Roman"/>
          <w:i/>
          <w:color w:val="000000"/>
          <w:sz w:val="20"/>
        </w:rPr>
        <w:t>Consulting Arrangement and Equity Grant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16, 2026, the Company entered into an Independent Contractor Agreement (the “Huerga Contractor Agreement”) with Iker Huerga, Chief Executive Officer of Pathos, pursuant to which Mr. Huerga agreed to assist the Company in negotiating, managing, and expanding a new commercial agreement (the "Commercial Agreement"). Compensation under the Huerga Contractor Agreement consists solely of RSUs and PSUs. Mr. Huerga will earn 25,000 RSUs for services rendered in 2025 and expected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rendered in 2026. Mr. Huerga has the potential to earn an additional 175,000 PSUs based on milestones that include certain minimum purchase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various agreements with our related parties, which primarily encompasses the development of the Foundation Model, access to the Company's Lens product, sequencing, clinical research organization and other data services. The Company has recognized $22.0 million and $15.9 million of revenue from related parties for the three months ended June 30, 2026 and 2025, respectively. The Company has recognized $43.8 million, and $16.5 million of revenue from related parties for the six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there was no amount due to related parties. As of June 30, 2026 and December 31, 2025, the amount due from related parties was $10.9 million and $6.4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related party asset and related party asset, less current portion were $17.5 million and $14.6 million, respectively. As of December 31, 2025, the related party asset and related party asset, less current portion were $8.8 million and $16.2 million, respectively. The related party asset represents future services to be provided by Pathos under the Pathos Master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related party payable was $10.0 million and $0 million, respectively. The related party payable represents the amount due to Pathos in consideration of Pathos' commitments under the Pathos Master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deferred revenue includes $0.4 million of related party deferred revenue. As of December 31, 2025, deferred revenue includes $3.9 million of related party deferred revenue.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20, 2026, the Company announced that an Agreement and Plan of Merger (the “Merger Agreement”) was entered into with Personalis. Under the terms of the Merger Agreement, the Company will acquire all outstanding shares of Personalis not already owned by the Company (refer to Note 15) at a price of $16.25 per common share, representing a total enterprise value of $1.5 billion. The consideration is planned to consist entirely of the Company's common stock; however, the Company may elect to pay up to 50% of the aggregate consideration in cash. The closing is expected in late 2026 or early 2027, and is subject to Personalis’ shareholder approval, as well as receipt of applicable regulatory approvals and other customary closing conditions. The Merger Agreement was approved by both companies’ board of directors.</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contained in this Quarterly Report on Form 10-Q include, but are not limited to, statements concerning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evolving treatment paradigm for cancer, including physicians’ use of molecular data and targeted oncology therapeutics and the market size for our current and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our business beyond oncology into new disease areas;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addressable market and our expectations regarding our revenue, expenses, capital requirements and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new products and services, including our goals and strategy regarding development and commercialization of our Application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and grow our datasets, including in new disease areas and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expectation that the growth of our datasets will improve the quality of our products and services and accelerate their adoption;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capture, aggregate, analyze or otherwise utilize genomic data in new ways and in additional diagnostic modalities;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expectation that we will continue to commercialize de-identified records and license them to multiple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acceptance of our publications in peer-reviewed journals or of our presentations at scientific and medical conference presentations;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products, technologies and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competitive companies and technologies and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of Intelligent Diagnostics to be disruptive across a broad set of disease areas and the clinical trial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manage and grow our business by expanding our sales to existing customers or introducing our products to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macroeconomic conditions, including new and potential tariffs, on us and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payer reimbursement and coverage decisions, including our strategy to increase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intellectual property protection for our products or avoid claims of infringement;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effects of evolving and/or extensive government regulation;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hire and retain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internationally, including through our joint venture, SB Tempus Corp., in Japan; </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our ability to successfully acquire businesses, form joint ventures or make investments in companies or technologies, including our ability to consummate the acquisition of Personalis, Inc., or Personalis, on the terms described herein or at all;</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ability to realize the expected benefits of our acquisitions of Paige.AI, Inc., Ambry Genetics Corporation and Deep 6 AI, Inc., and if consummated, Personalis;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ability to protect and enforce our intellectual property rights, including our trade secret protected proprietary rights in our platform;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our ability to service or pay down existing or future debt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pending or threatened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cash needs and our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trends and challenges in our business and the markets in which we operate.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statements that “we believe” and similar statements reflect our beliefs and opinions on the relevant subject. These statements are based on information available to us as of the date of this Quarterly Report on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mda"/>
      <w:bookmarkEnd w:id="9"/>
      <w:r>
        <w:rPr>
          <w:rFonts w:ascii="Times New Roman" w:hAnsi="Times New Roman"/>
          <w:b/>
          <w:color w:val="000000"/>
          <w:sz w:val="20"/>
        </w:rPr>
        <w:t>MANAGEMENT’S DISCUSSION AND ANALYSIS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the unaudited condensed consolidated financial statements and related notes included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year ended December 31, 2025 .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“Note Regarding Forward-Looking Statements” and “Risk Factors” in this Quarterly Report on Form 10-Q and in our Annual Report on Form 10-K for the year ended December 31, 2025 for a discussion of forward- looking statements and important factors that could cause actual results to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offer two product lines: Diagnostics and Data and applications. Each product line is designed to enable and enhance the other, thereby creating network effects in each of the markets in which we operate. We are able to commercialize records multiple times, both at the time a test is run and thereafter. Our Diagnostics product line leverages our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as part of the Diagnostics product line is structured and de-identified, prior to commercialization. This de-identified database is then commercialized to our pharmaceutical and biotechnology partners to facilitate drug discovery and development through our products, including, among other things, Insights, Trials, Next and Algos. Our Applications product line is focused on developing and providing diagnostics that are algorithmic in nature, implementing new software as a medical device, and building and deploying clinical decision support tools.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primarily operate in the United States and generated total revenue of $382.5 million and $314.6 million in the three months ended June 30, 2026 and 2025, respectively, and $730.6 million and $570.4 million in the six months ended June 30, 2026 and 2025, respectively. We also incurred net income (losses) of $5.6 million and $(42.8) million in the three months ended June 30, 2026 and 2025, respectively, and $(120.3) million and $(110.9) million in the six months ended June 30, 2026 and 2025, respectively. We generated adjusted EBITDA of $8.0 million and $(5.6) million in the three months ended June 30, 2026 and 2025, respectively, and $5.2 million and $(21.8) million in the six months ended June 30, 2026 and 2025, respectively. Adjusted EBITDA is a non-GAAP financial measure. For a reconciliation of adjusted EBITDA to net income (loss), the most directly comparable financial measure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stated in accordance with generally accepted accounting principles in the United States of America, or GAAP, and for additional information about adjusted EBITDA, a non-GAAP financial measure, see "—Non-GAAP Financial Measure."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Acquisition of Personalis,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20, 2026, we announced that an Agreement and Plan of Merger, or the Merger Agreement, was entered into with Personalis. Under the terms of the agreement, we will acquire all outstanding shares of Personalis not already owned by us at a price of $16.25 per common share, representing a total enterprise value of $1.5 billion. The consideration is planned to consist entirely of the Company's common stock; however, the Company may elect to pay up to 50% of the aggregate consideration in cash. The closing is expected in late 2026 or early 2027, and is subject to Personalis’ shareholder approval, as well as receipt of applicable regulatory approvals and other customary closing conditions. The Merger Agreement was approved by both companies’ board of directors.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Convertible Senior Notes 2032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12, 2026, we completed a private offering, or the 2026 Offering, of $460.0 million aggregate principal amount of 0.00% Convertible Senior Notes due 2032, or the 2032 Notes, including the exercise in full of the initial purchasers’ over-allotment option to purchase up to an additional $60.0 million principal amount of the 2032 Notes. The 2032 Notes are our general unsecured obligations and will mature on May 15, 2032, unless earlier converted, redeemed or repurchased. Refer to Note 12 to our unaudited condensed consolidated financial statements included elsewhere in this Quarterly Report on Form 10-Q for further information regarding the issuance and terms of the 2032 Notes and the 2032 Capped Call transaction (as defined in “—Liquidity and Capital Resources—Senior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net proceeds from the Offering were approximately $441.9 million, after deducting the initial purchasers’ discounts and commissions and the estimated offering expenses payable by us. We used a portion of the net proceeds from the Offering to repay $317.9 million of the Additional Term Loan Facility and Revolving Credit Facility (as defined in “—Liquidity and Capital Resources—Credit Facilities”), which includes repayment of the principal, accrued interest, and prepayment premium and to pay approximately $31.2 million cost of the 2032 Capped Call. We expect to use the remaining net proceeds from the 2026 Offering for general corporate purposes, which may include acquisitions or strategic investments in complementary businesses or technologies, working capital, operating expenses, capital expenditures and repayment of additional indebtedness. </w:t>
      </w:r>
    </w:p>
    <w:p>
      <w:pPr>
        <w:pStyle w:val="TextBody"/>
        <w:bidi w:val="0"/>
        <w:spacing w:before="360" w:after="283"/>
        <w:jc w:val="left"/>
        <w:rPr>
          <w:rFonts w:ascii="Times New Roman" w:hAnsi="Times New Roman"/>
          <w:sz w:val="20"/>
        </w:rPr>
      </w:pPr>
      <w:r>
        <w:rPr>
          <w:rFonts w:ascii="Times New Roman" w:hAnsi="Times New Roman"/>
          <w:b/>
          <w:color w:val="000000"/>
          <w:sz w:val="20"/>
        </w:rPr>
        <w:t>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AstraZeneca and Pathos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we entered into a series of agreements with AstraZeneca AB, or AstraZeneca, and Pathos regarding both the development of a foundation large multimodal model in the field of oncology, or the Foundation Model, and the licensing of certain de-identified multi-modal data to assist in the development of the Foundation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we entered into a Statement of Work with AstraZeneca under the previously disclosed Master Services Agreement, dated November 17, 2021, as amended in October 2022, February 2023 and December 2023 (and as further amended from time to time, together with the Statement of Work, collectively referred to herein as the MSA). Pursuant to the MSA, (i) we will ensure that Pathos develops, and we provide AstraZeneca with, a Foundation Model which has been developed, validated, and maintained using de-identified datasets contributed by us, (ii) the Foundation Model will be developed, validated, and maintained by Pathos, (iii) AstraZeneca will pay us a fee of $35 million, and (iv) a syndicate of investors including AstraZeneca will contemporaneously execute a Stock Purchase Agreement with Pathos, or the SPA, as part of a preferred stock financing round of sufficient size given the obligations described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entered into an Order Form with Pathos under the previously disclosed Amended and Restated Master Agreement, restated effective February 12, 2024, (the Amended and Restated Master Agreement and the Order Form collectively referred to herein as the “Pathos Master Agreement”). Pursuant to the Pathos Master Agreement, (i) Pathos will be responsible for Foundation Model development activities under the MSA, (ii) we will license Pathos a comprehensive de-identified multi-modal dataset for the sole purpose of assisting in the development and training of the Foundation Model under the MSA, (iii) Pathos will pay us data license fees of $200 million over a three-year period, including an upfront payment of $50 million that has been paid as of April 2025 (iv) we will receive a license to use the Foundation Model upon its completion (with certain field restrictions and the right of sublicense to AstraZeneca), and (v) in consideration of Pathos’ commitments under the Pathos Master Agreement, we will pay Pathos $35 million, of which $25 million has been paid to date. Pathos, in its sole discretion, may pay up to 50% of the data license fees owed to us in shares of Pathos’ Series D Preferred Stock. In June 2026, Pathos paid $8.8 million of the data license fees in Pathos' Series D Preferred Stock, which is presented in Investment in related party on the condensed consolidated balance sheets and recorded under the measurement alternative for equity investments. As part of the transaction, we became a party to Pathos’ standard investment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documents. The Pathos' Series D Preferred Stock is entitled to cumulative dividends at an annual rate of 5.0%. As of June 30, 2026, no dividends have been declared by the Pathos board of directors.</w:t>
      </w:r>
    </w:p>
    <w:p>
      <w:pPr>
        <w:pStyle w:val="TextBody"/>
        <w:bidi w:val="0"/>
        <w:spacing w:before="360" w:after="283"/>
        <w:jc w:val="left"/>
        <w:rPr>
          <w:rFonts w:ascii="Times New Roman" w:hAnsi="Times New Roman"/>
          <w:sz w:val="20"/>
        </w:rPr>
      </w:pPr>
      <w:r>
        <w:rPr>
          <w:rFonts w:ascii="Times New Roman" w:hAnsi="Times New Roman"/>
          <w:i/>
          <w:color w:val="000000"/>
          <w:sz w:val="20"/>
        </w:rPr>
        <w:t>AstraZeneca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in November 2021, we entered into the MSA with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2026, unless terminated sooner. The minimum commitment may increase from $220 million to $320 million through December 2028 at AstraZeneca's election.</w:t>
      </w:r>
    </w:p>
    <w:p>
      <w:pPr>
        <w:pStyle w:val="TextBody"/>
        <w:bidi w:val="0"/>
        <w:spacing w:before="360" w:after="283"/>
        <w:jc w:val="left"/>
        <w:rPr>
          <w:rFonts w:ascii="Times New Roman" w:hAnsi="Times New Roman"/>
          <w:sz w:val="20"/>
        </w:rPr>
      </w:pPr>
      <w:r>
        <w:rPr>
          <w:rFonts w:ascii="Times New Roman" w:hAnsi="Times New Roman"/>
          <w:i/>
          <w:color w:val="000000"/>
          <w:sz w:val="20"/>
        </w:rPr>
        <w:t>GlaxoSmithKline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 </w:t>
      </w:r>
    </w:p>
    <w:p>
      <w:pPr>
        <w:pStyle w:val="TextBody"/>
        <w:bidi w:val="0"/>
        <w:spacing w:before="360" w:after="283"/>
        <w:jc w:val="left"/>
        <w:rPr>
          <w:rFonts w:ascii="Times New Roman" w:hAnsi="Times New Roman"/>
          <w:sz w:val="20"/>
        </w:rPr>
      </w:pPr>
      <w:r>
        <w:rPr>
          <w:rFonts w:ascii="Times New Roman" w:hAnsi="Times New Roman"/>
          <w:i/>
          <w:color w:val="000000"/>
          <w:sz w:val="20"/>
        </w:rPr>
        <w:t>Recursion Master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pStyle w:val="TextBody"/>
        <w:bidi w:val="0"/>
        <w:spacing w:before="360" w:after="283"/>
        <w:jc w:val="left"/>
        <w:rPr>
          <w:rFonts w:ascii="Times New Roman" w:hAnsi="Times New Roman"/>
          <w:sz w:val="20"/>
        </w:rPr>
      </w:pPr>
      <w:r>
        <w:rPr>
          <w:rFonts w:ascii="Times New Roman" w:hAnsi="Times New Roman"/>
          <w:b/>
          <w:color w:val="000000"/>
          <w:sz w:val="20"/>
        </w:rPr>
        <w:t>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and New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$52.6 million and $41.6 million during the three months ended June 30, 2026 and 2025, respectively, and $100.9 million and $77.5 million during the six months ended June 30, 2026 and 2025 respectively, in research and development. Our ability to develop new products, obtain regulatory approvals when required, launch them into the market, and drive adoption of these products by our customers will continue to play a key role in our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Customer Acquisition and Expansion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grow our business requires both identifying new customers and expanding our partnerships with existing ones across each of our product lines. For Diagnostics, this entails our field salesforce developing relationships with individual physicians, genetic counselors, and hospital systems, demonstrating the power our Platform has in enabling them to provide personalized care to their patients. For Data and applications, this entails our pharmaceutical business development teams demonstrating the power our Platform and database have in enabling drug discovery, development and clinical trial matching for our pharmaceutical partners and demonstrating the utility of these algorithms in a clinical setting. Since our inception, our offerings have been used by more than 9,000 physicians and we have worked with over 250 biotech companies, as well as 19 of the 20 largest public pharmaceutical companies based on 2025 revenue, albeit with many we are still at an early stage of adoption. Our financial performance relies heavily on our ability to add customers to our Platform and expand the relationships with our current customers through adoption of our new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 in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$43.9 million and $34.5 million during the three months ended June 30, 2026 and 2025, respectively, and $89.9 million and $67.9 million, in the six months ended June 30, 2026 and 2025,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 In addition, the announcement of substantial new tariffs and other restrictive trade policies, to the extent such current and future tariffs apply to hardware, networking infrastructure or other technology infrastructure used by us or our third-party vendors, could raise costs, constrain supply or affect service reliability.</w:t>
      </w:r>
    </w:p>
    <w:p>
      <w:pPr>
        <w:pStyle w:val="TextBody"/>
        <w:bidi w:val="0"/>
        <w:spacing w:before="360" w:after="283"/>
        <w:jc w:val="left"/>
        <w:rPr>
          <w:rFonts w:ascii="Times New Roman" w:hAnsi="Times New Roman"/>
          <w:sz w:val="20"/>
        </w:rPr>
      </w:pPr>
      <w:r>
        <w:rPr>
          <w:rFonts w:ascii="Times New Roman" w:hAnsi="Times New Roman"/>
          <w:b/>
          <w:i/>
          <w:color w:val="000000"/>
          <w:sz w:val="20"/>
        </w:rPr>
        <w:t>Payer 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2025, we had received payment on approximately 55% of our clinical oncology NGS tests and 50% of our hereditary tests across all payers performed from January 1, 2023 through December 31, 2024. We calculated this metric on a trailing basis based on payer adjudication timing. However, we continued to perform our NGS tests through December 31, 2025. For the years ended December 31, 2025, 2024 and 2023, our average reimbursement for NGS tests in oncology (i.e., excluding hereditary testing) was approximately $1,600, $1,510 and $1,450, respectively. For the year ended December 31, 2025 and 2024, our average reimbursement for NGS tests in hereditary testing was approximately $770 and $760, on a pro forma basis, for which pro forma amounts have been calculated after applying our accounting policies.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current Data and applications products sales are to customers in the life sciences industry, in particular the pharmaceutical and biotechnology industry. Demand for our Data and applications products could be affected by factors that adversely affect the life sciences industry, including macroeconomic and market conditions that may adversely impact earlier stage biotechnology companies such as substantial new tariffs and other restrictive trade policies.</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primarily derive our revenue from our two product lines: (1) Diagnostics and (2) Data and applications.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Diagnostics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Diagnostics primarily includes revenue from Oncology testing (legacy Tempus) and Hereditary testing (legacy Ambry Genetics). Oncology testing includes revenue from diagnostics, PCR profiling, and other anatomic and molecular pathology testing to oncologists, pharmaceutical companies, biotechnology companies, researchers, and other third parties. Hereditary testing includes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from inherited cancer risk, whole exome and genome profiling for rare conditions, and all other inherited screening testing primarily to genetic counselors.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Data and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and applications primarily includes revenue from de-identified data generated through our Diagnostics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incur costs to generate revenue for each of our two product lines. Cost of revenues for our Diagnostics product line is a higher percentage of the Diagnostics revenue than cost of revenues for Data and applications is as a percentage of Data and applications revenue. As revenue shifts between these product lines, total cost of revenue as a percentage of revenue will be impacted.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Diagnostics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for Diagnostics primarily includes personnel lab expenses, including salaries, bonuses, employee benefits and stock-based compensation expenses (which we refer to as “personnel costs”), and amortization of intangible assets, cost of laboratory supplies and consumables, laboratory rent expense, depreciation of laboratory equipment and shipping costs. Costs associated with performing our tests are recorded as the tests are processed at the time of report delivery. We expect these costs will increase in absolute dollars as our Diagnostics revenue continues to grow.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Revenues, Data and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for Data and applications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applications revenue continues to grow.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 primarily includes costs incurred to develop new assays and products, including validation costs, research and development and allocated lab personnel costs, salaries and benefits of our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selling, general and administrative expense primarily includes personnel costs, inclusive of stock-based compensation expense, for our sales, executive, accounting and finance, legal and human resources functions, commissions, and other general corporate expenses, including software and tools, professional services, real estate costs, and travel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and cash equivalents.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interest from our Second Amended Note, Credit Facilities, and Notes (each as defined in “—Liquidity and Capital Resources”). Interest expense related to our Second Amended Note will continue, but should decrease over time as the principal amount decreases. Subsequent to May 2026, there will be no additional interest expense related to the Credit Facilities as a result of the prepayment of the Credit Facilities in July 2025 and May 2026.</w:t>
      </w:r>
    </w:p>
    <w:p>
      <w:pPr>
        <w:pStyle w:val="TextBody"/>
        <w:bidi w:val="0"/>
        <w:spacing w:before="360" w:after="283"/>
        <w:jc w:val="left"/>
        <w:rPr>
          <w:rFonts w:ascii="Times New Roman" w:hAnsi="Times New Roman"/>
          <w:sz w:val="20"/>
        </w:rPr>
      </w:pPr>
      <w:r>
        <w:rPr>
          <w:rFonts w:ascii="Times New Roman" w:hAnsi="Times New Roman"/>
          <w:b/>
          <w:i/>
          <w:color w:val="000000"/>
          <w:sz w:val="20"/>
        </w:rPr>
        <w:t>Loss on Debt Extinguishment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debt extinguishment consists of the recognition of unamortized original issuance discount, unamortized deferred financing fees, and prepayment premium as a result of the prepayment of the Additional Term Loan Facility and Revolving Credit Facility (defined in “—Liquidity and Capital Resources”).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231F20"/>
          <w:sz w:val="20"/>
        </w:rPr>
        <w:t>consists of foreign currency exchange gains and losses, gains and losses on marketable equity securities, income from the Intellectual Property Agreement, or the IP License Agreement, with SB Tempus Corp., or SB Tempus.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and Personalis, which are recorded within marketable equity securities. These shares are marked to market each reporting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Benefit from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 </w:t>
      </w:r>
    </w:p>
    <w:p>
      <w:pPr>
        <w:pStyle w:val="TextBody"/>
        <w:bidi w:val="0"/>
        <w:spacing w:before="360" w:after="283"/>
        <w:jc w:val="left"/>
        <w:rPr>
          <w:rFonts w:ascii="Times New Roman" w:hAnsi="Times New Roman"/>
          <w:sz w:val="20"/>
        </w:rPr>
      </w:pPr>
      <w:r>
        <w:rPr>
          <w:rFonts w:ascii="Times New Roman" w:hAnsi="Times New Roman"/>
          <w:b/>
          <w:i/>
          <w:color w:val="000000"/>
          <w:sz w:val="20"/>
        </w:rPr>
        <w:t>Losses from Equity Method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from equity method investments consist of earnings from our joint venture, SB Tempus. See Note 7 to our unaudited condensed consolidated financial statements included elsewhere in this Quarterly Report on Form 10-Q for additional information regarding SB Tempus.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significant components of our results of operations for the periods presented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4"/>
        <w:gridCol w:w="146"/>
        <w:gridCol w:w="211"/>
        <w:gridCol w:w="781"/>
        <w:gridCol w:w="166"/>
        <w:gridCol w:w="146"/>
        <w:gridCol w:w="211"/>
        <w:gridCol w:w="781"/>
        <w:gridCol w:w="166"/>
        <w:gridCol w:w="146"/>
        <w:gridCol w:w="211"/>
        <w:gridCol w:w="841"/>
        <w:gridCol w:w="166"/>
        <w:gridCol w:w="146"/>
        <w:gridCol w:w="211"/>
        <w:gridCol w:w="841"/>
        <w:gridCol w:w="591"/>
      </w:tblGrid>
      <w:tr>
        <w:trPr/>
        <w:tc>
          <w:tcPr>
            <w:tcW w:w="4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570,372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Comparison of the Three Months Ended June 30, 2026 and 2025</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jc w:val="left"/>
        <w:rPr/>
      </w:pPr>
      <w:r>
        <w:rPr/>
        <w:t> </w:t>
      </w:r>
    </w:p>
    <w:tbl>
      <w:tblPr>
        <w:tblW w:w="6971" w:type="dxa"/>
        <w:jc w:val="left"/>
        <w:tblInd w:w="0" w:type="dxa"/>
        <w:tblLayout w:type="fixed"/>
        <w:tblCellMar>
          <w:top w:w="28" w:type="dxa"/>
          <w:left w:w="28" w:type="dxa"/>
          <w:bottom w:w="28" w:type="dxa"/>
          <w:right w:w="28" w:type="dxa"/>
        </w:tblCellMar>
      </w:tblPr>
      <w:tblGrid>
        <w:gridCol w:w="1891"/>
        <w:gridCol w:w="146"/>
        <w:gridCol w:w="211"/>
        <w:gridCol w:w="781"/>
        <w:gridCol w:w="146"/>
        <w:gridCol w:w="146"/>
        <w:gridCol w:w="211"/>
        <w:gridCol w:w="781"/>
        <w:gridCol w:w="146"/>
        <w:gridCol w:w="146"/>
        <w:gridCol w:w="211"/>
        <w:gridCol w:w="676"/>
        <w:gridCol w:w="146"/>
        <w:gridCol w:w="146"/>
        <w:gridCol w:w="275"/>
        <w:gridCol w:w="596"/>
        <w:gridCol w:w="31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revenue for the three months ended June 30, 2026, compared to the same period in 2025, was due to increased volume of clinical oncology and hereditary tests performed in Diagnostics and increased data deliveries in our Data and applications product line. Beginning in 2026, xG (hereditary testing sold to oncologists) volumes and associated revenues are reported within Hereditary, which was applied to 2025 volumes and associated revenues. </w:t>
      </w:r>
    </w:p>
    <w:p>
      <w:pPr>
        <w:pStyle w:val="TextBody"/>
        <w:bidi w:val="0"/>
        <w:spacing w:before="360" w:after="283"/>
        <w:jc w:val="left"/>
        <w:rPr>
          <w:rFonts w:ascii="Times New Roman" w:hAnsi="Times New Roman"/>
          <w:sz w:val="20"/>
        </w:rPr>
      </w:pPr>
      <w:r>
        <w:rPr>
          <w:rFonts w:ascii="Times New Roman" w:hAnsi="Times New Roman"/>
          <w:i/>
          <w:color w:val="000000"/>
          <w:sz w:val="20"/>
        </w:rPr>
        <w:t>Diagnostics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Diagnostics revenue for the three months ended June 30, 2026, compared to the same period in 2025, was primarily due to an increase in the number of Oncology tests and Hereditary tests. Volume of tests increased from approximately 212,000 tests for the three months ended June 30, 2025 to approximately 238,000 tests for the three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Oncology tests increased from approximately 73,500 tests for the three months ended June 30, 2025 to approximately 96,500 tests for the three months ended June 30, 2026. Oncology revenue increased $37.5 million, primarily due to the increase in the volume of clinical oncology tests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Hereditary tests increased from approximately 138,500 tests for the three months ended June 30, 2025 to approximately 141,500 tests for the three months ended June 30, 2026. The increase is primarily due to the increase in volume of hereditary tests performed and an increase in ASP, which resulted in an increase of $5.4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remaining increase of $4.5 million is due to growth in our other product lines within Diagnostics. </w:t>
      </w:r>
    </w:p>
    <w:p>
      <w:pPr>
        <w:pStyle w:val="TextBody"/>
        <w:bidi w:val="0"/>
        <w:spacing w:before="360" w:after="283"/>
        <w:jc w:val="left"/>
        <w:rPr>
          <w:rFonts w:ascii="Times New Roman" w:hAnsi="Times New Roman"/>
          <w:sz w:val="20"/>
        </w:rPr>
      </w:pPr>
      <w:r>
        <w:rPr>
          <w:rFonts w:ascii="Times New Roman" w:hAnsi="Times New Roman"/>
          <w:i/>
          <w:color w:val="000000"/>
          <w:sz w:val="20"/>
        </w:rPr>
        <w:t>Data and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Data and applications revenue for the three months ended June 30, 2026, compared to the same period in 2025, was driven primarily by an increase of $20.5 million from increased demand for our Insights products. Across all Data and applications products, the increase in revenue in the three months ended June 30, 2026 is primarily attributable to continued growth from within our existing customer base, specifically the Pathos Foundation Model agreement, as well as adoption of our services by new customers that did not purchase services in the three months ended June 30, 2025.</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381" w:type="dxa"/>
        <w:jc w:val="left"/>
        <w:tblInd w:w="0" w:type="dxa"/>
        <w:tblLayout w:type="fixed"/>
        <w:tblCellMar>
          <w:top w:w="28" w:type="dxa"/>
          <w:left w:w="28" w:type="dxa"/>
          <w:bottom w:w="28" w:type="dxa"/>
          <w:right w:w="28" w:type="dxa"/>
        </w:tblCellMar>
      </w:tblPr>
      <w:tblGrid>
        <w:gridCol w:w="3301"/>
        <w:gridCol w:w="146"/>
        <w:gridCol w:w="211"/>
        <w:gridCol w:w="781"/>
        <w:gridCol w:w="146"/>
        <w:gridCol w:w="146"/>
        <w:gridCol w:w="211"/>
        <w:gridCol w:w="781"/>
        <w:gridCol w:w="146"/>
        <w:gridCol w:w="146"/>
        <w:gridCol w:w="211"/>
        <w:gridCol w:w="676"/>
        <w:gridCol w:w="146"/>
        <w:gridCol w:w="146"/>
        <w:gridCol w:w="275"/>
        <w:gridCol w:w="596"/>
        <w:gridCol w:w="31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for the three months ended June 30, 2026, compared to the same period in 2025, was primarily due to increases of $4.5 million in cloud costs, $3.9 million in material and service costs, $2.9 million in personnel-related costs, $2.9 million in costs related to development of foundation model, $2.5 million of stock-based compensation expenses, and $1.4 million in clinical studies costs.</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Diagnostics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Diagnostics for the three months ended June 30, 2026, compared to the same period in 2025, was primarily due to increases of $3.9 million in material and service costs, $3.1 million in personnel-related costs, and $2.2 million of stock-based compensation expense.</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Data and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Data and applications for the three months ended June 30, 2026, compared to the same period in 2025, was primarily due to an increase of $4.0 million in cloud costs, $2.9 million in costs related to development of foundation model, and $1.4 million in clinical studies costs.</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jc w:val="left"/>
        <w:rPr/>
      </w:pPr>
      <w:r>
        <w:rPr/>
        <w:t> </w:t>
      </w:r>
    </w:p>
    <w:tbl>
      <w:tblPr>
        <w:tblW w:w="8248" w:type="dxa"/>
        <w:jc w:val="left"/>
        <w:tblInd w:w="0" w:type="dxa"/>
        <w:tblLayout w:type="fixed"/>
        <w:tblCellMar>
          <w:top w:w="28" w:type="dxa"/>
          <w:left w:w="28" w:type="dxa"/>
          <w:bottom w:w="28" w:type="dxa"/>
          <w:right w:w="28" w:type="dxa"/>
        </w:tblCellMar>
      </w:tblPr>
      <w:tblGrid>
        <w:gridCol w:w="3271"/>
        <w:gridCol w:w="146"/>
        <w:gridCol w:w="231"/>
        <w:gridCol w:w="741"/>
        <w:gridCol w:w="160"/>
        <w:gridCol w:w="160"/>
        <w:gridCol w:w="231"/>
        <w:gridCol w:w="741"/>
        <w:gridCol w:w="146"/>
        <w:gridCol w:w="146"/>
        <w:gridCol w:w="214"/>
        <w:gridCol w:w="582"/>
        <w:gridCol w:w="146"/>
        <w:gridCol w:w="146"/>
        <w:gridCol w:w="275"/>
        <w:gridCol w:w="59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Technology research and development expenses for the three months ended June 30, 2026, compared to the same period in 2025, was primarily due to an increase of $5.3 million of stock-based compensation expenses and increase of $4.6 million in personnel-related costs associated with the investment in our cloud infrastructure and new lines of business.</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311"/>
        <w:gridCol w:w="146"/>
        <w:gridCol w:w="231"/>
        <w:gridCol w:w="741"/>
        <w:gridCol w:w="160"/>
        <w:gridCol w:w="160"/>
        <w:gridCol w:w="231"/>
        <w:gridCol w:w="741"/>
        <w:gridCol w:w="146"/>
        <w:gridCol w:w="146"/>
        <w:gridCol w:w="211"/>
        <w:gridCol w:w="676"/>
        <w:gridCol w:w="146"/>
        <w:gridCol w:w="146"/>
        <w:gridCol w:w="275"/>
        <w:gridCol w:w="596"/>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Research and development expenses for the three months ended June 30, 2026, compared to the same period in 2025, was primarily due to an increase of $3.4 million in validation and regulatory costs, $2.9 million of stock-based compensation expense, $1.7 million in personnel-related costs for employees in our research and development group, $1.3 million of outside services costs related to clinical studies, and $1.2 million of cloud costs.</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jc w:val="left"/>
        <w:rPr/>
      </w:pPr>
      <w:r>
        <w:rPr/>
        <w:t> </w:t>
      </w:r>
    </w:p>
    <w:tbl>
      <w:tblPr>
        <w:tblW w:w="8036" w:type="dxa"/>
        <w:jc w:val="left"/>
        <w:tblInd w:w="0" w:type="dxa"/>
        <w:tblLayout w:type="fixed"/>
        <w:tblCellMar>
          <w:top w:w="28" w:type="dxa"/>
          <w:left w:w="28" w:type="dxa"/>
          <w:bottom w:w="28" w:type="dxa"/>
          <w:right w:w="28" w:type="dxa"/>
        </w:tblCellMar>
      </w:tblPr>
      <w:tblGrid>
        <w:gridCol w:w="2956"/>
        <w:gridCol w:w="146"/>
        <w:gridCol w:w="211"/>
        <w:gridCol w:w="781"/>
        <w:gridCol w:w="146"/>
        <w:gridCol w:w="146"/>
        <w:gridCol w:w="211"/>
        <w:gridCol w:w="781"/>
        <w:gridCol w:w="146"/>
        <w:gridCol w:w="146"/>
        <w:gridCol w:w="211"/>
        <w:gridCol w:w="676"/>
        <w:gridCol w:w="146"/>
        <w:gridCol w:w="146"/>
        <w:gridCol w:w="275"/>
        <w:gridCol w:w="596"/>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Selling, general and administrative expenses for the three months ended June 30, 2026, compared to the same period in 2025, was primarily due to an increase of $20.9 million of stock-based compensation expenses, $14.2 million in personnel-related costs, $5.2 million in software and tools costs, $4.9 million in cloud storage costs, and $4.5 million in legal costs. The increase is offset by a decrease of $2.4 million of franchise tax, and $1.0 million in acquisition costs.</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jc w:val="left"/>
        <w:rPr/>
      </w:pPr>
      <w:r>
        <w:rPr/>
        <w:t> </w:t>
      </w:r>
    </w:p>
    <w:tbl>
      <w:tblPr>
        <w:tblW w:w="6343" w:type="dxa"/>
        <w:jc w:val="left"/>
        <w:tblInd w:w="0" w:type="dxa"/>
        <w:tblLayout w:type="fixed"/>
        <w:tblCellMar>
          <w:top w:w="28" w:type="dxa"/>
          <w:left w:w="28" w:type="dxa"/>
          <w:bottom w:w="28" w:type="dxa"/>
          <w:right w:w="28" w:type="dxa"/>
        </w:tblCellMar>
      </w:tblPr>
      <w:tblGrid>
        <w:gridCol w:w="1366"/>
        <w:gridCol w:w="146"/>
        <w:gridCol w:w="257"/>
        <w:gridCol w:w="697"/>
        <w:gridCol w:w="178"/>
        <w:gridCol w:w="178"/>
        <w:gridCol w:w="257"/>
        <w:gridCol w:w="697"/>
        <w:gridCol w:w="146"/>
        <w:gridCol w:w="146"/>
        <w:gridCol w:w="214"/>
        <w:gridCol w:w="582"/>
        <w:gridCol w:w="146"/>
        <w:gridCol w:w="146"/>
        <w:gridCol w:w="224"/>
        <w:gridCol w:w="647"/>
        <w:gridCol w:w="31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Interest income for the three months ended June 30, 2026, compared to the same period in 2025, increased primarily due to higher cash on hand as of June 30, 2026 compared to June 30, 2025.</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jc w:val="left"/>
        <w:rPr/>
      </w:pPr>
      <w:r>
        <w:rPr/>
        <w:t> </w:t>
      </w:r>
    </w:p>
    <w:tbl>
      <w:tblPr>
        <w:tblW w:w="6513" w:type="dxa"/>
        <w:jc w:val="left"/>
        <w:tblInd w:w="0" w:type="dxa"/>
        <w:tblLayout w:type="fixed"/>
        <w:tblCellMar>
          <w:top w:w="28" w:type="dxa"/>
          <w:left w:w="28" w:type="dxa"/>
          <w:bottom w:w="28" w:type="dxa"/>
          <w:right w:w="28" w:type="dxa"/>
        </w:tblCellMar>
      </w:tblPr>
      <w:tblGrid>
        <w:gridCol w:w="1426"/>
        <w:gridCol w:w="146"/>
        <w:gridCol w:w="216"/>
        <w:gridCol w:w="756"/>
        <w:gridCol w:w="170"/>
        <w:gridCol w:w="149"/>
        <w:gridCol w:w="216"/>
        <w:gridCol w:w="756"/>
        <w:gridCol w:w="166"/>
        <w:gridCol w:w="146"/>
        <w:gridCol w:w="211"/>
        <w:gridCol w:w="676"/>
        <w:gridCol w:w="146"/>
        <w:gridCol w:w="146"/>
        <w:gridCol w:w="243"/>
        <w:gridCol w:w="628"/>
        <w:gridCol w:w="31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decrease in Interest expense for the three months ended June 30, 2026, compared to the same period in 2025 is due to a decrease of $14.0 million as a result of the prepayment of the Additional Term Loan Facility and Revolving Credit Facility in July 2025 and May 2026. The decrease is offset by additional interest expense from the Notes, which resulted in an increase of $3.0 million.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jc w:val="left"/>
        <w:rPr/>
      </w:pPr>
      <w:r>
        <w:rPr/>
        <w:t> </w:t>
      </w:r>
    </w:p>
    <w:tbl>
      <w:tblPr>
        <w:tblW w:w="7624" w:type="dxa"/>
        <w:jc w:val="left"/>
        <w:tblInd w:w="0" w:type="dxa"/>
        <w:tblLayout w:type="fixed"/>
        <w:tblCellMar>
          <w:top w:w="28" w:type="dxa"/>
          <w:left w:w="28" w:type="dxa"/>
          <w:bottom w:w="28" w:type="dxa"/>
          <w:right w:w="28" w:type="dxa"/>
        </w:tblCellMar>
      </w:tblPr>
      <w:tblGrid>
        <w:gridCol w:w="2476"/>
        <w:gridCol w:w="146"/>
        <w:gridCol w:w="263"/>
        <w:gridCol w:w="918"/>
        <w:gridCol w:w="207"/>
        <w:gridCol w:w="182"/>
        <w:gridCol w:w="263"/>
        <w:gridCol w:w="431"/>
        <w:gridCol w:w="146"/>
        <w:gridCol w:w="146"/>
        <w:gridCol w:w="211"/>
        <w:gridCol w:w="736"/>
        <w:gridCol w:w="166"/>
        <w:gridCol w:w="146"/>
        <w:gridCol w:w="224"/>
        <w:gridCol w:w="647"/>
        <w:gridCol w:w="3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change in Loss on debt extinguishment for the three months ended June 30, 2026, compared to the same period in 2025, was driven by the repayment of the Additional Term Loan Facility and Revolving Credit Facility in May 2026, which includes repayment of the principal, accrued interest, and prepayment premium. The repayment resulted in a loss on debt extinguishment of $11.6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jc w:val="left"/>
        <w:rPr/>
      </w:pPr>
      <w:r>
        <w:rPr/>
        <w:t> </w:t>
      </w:r>
    </w:p>
    <w:tbl>
      <w:tblPr>
        <w:tblW w:w="6629" w:type="dxa"/>
        <w:jc w:val="left"/>
        <w:tblInd w:w="0" w:type="dxa"/>
        <w:tblLayout w:type="fixed"/>
        <w:tblCellMar>
          <w:top w:w="28" w:type="dxa"/>
          <w:left w:w="28" w:type="dxa"/>
          <w:bottom w:w="28" w:type="dxa"/>
          <w:right w:w="28" w:type="dxa"/>
        </w:tblCellMar>
      </w:tblPr>
      <w:tblGrid>
        <w:gridCol w:w="1561"/>
        <w:gridCol w:w="146"/>
        <w:gridCol w:w="220"/>
        <w:gridCol w:w="815"/>
        <w:gridCol w:w="152"/>
        <w:gridCol w:w="152"/>
        <w:gridCol w:w="220"/>
        <w:gridCol w:w="705"/>
        <w:gridCol w:w="146"/>
        <w:gridCol w:w="146"/>
        <w:gridCol w:w="211"/>
        <w:gridCol w:w="676"/>
        <w:gridCol w:w="146"/>
        <w:gridCol w:w="146"/>
        <w:gridCol w:w="224"/>
        <w:gridCol w:w="647"/>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102,757</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Other income, net for the three months ended June 30, 2026, compared to the same period in 2025, was primarily driven by a $60.7 million increase in income related to unrealized gains on marketable equity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left"/>
        <w:rPr/>
      </w:pPr>
      <w:r>
        <w:rPr/>
        <w:t> </w:t>
      </w:r>
    </w:p>
    <w:tbl>
      <w:tblPr>
        <w:tblW w:w="7296" w:type="dxa"/>
        <w:jc w:val="left"/>
        <w:tblInd w:w="0" w:type="dxa"/>
        <w:tblLayout w:type="fixed"/>
        <w:tblCellMar>
          <w:top w:w="28" w:type="dxa"/>
          <w:left w:w="28" w:type="dxa"/>
          <w:bottom w:w="28" w:type="dxa"/>
          <w:right w:w="28" w:type="dxa"/>
        </w:tblCellMar>
      </w:tblPr>
      <w:tblGrid>
        <w:gridCol w:w="2281"/>
        <w:gridCol w:w="146"/>
        <w:gridCol w:w="281"/>
        <w:gridCol w:w="642"/>
        <w:gridCol w:w="221"/>
        <w:gridCol w:w="195"/>
        <w:gridCol w:w="281"/>
        <w:gridCol w:w="642"/>
        <w:gridCol w:w="166"/>
        <w:gridCol w:w="146"/>
        <w:gridCol w:w="286"/>
        <w:gridCol w:w="510"/>
        <w:gridCol w:w="166"/>
        <w:gridCol w:w="146"/>
        <w:gridCol w:w="275"/>
        <w:gridCol w:w="596"/>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provision for income tax expense for the three months ended June 30, 2026, compared to the same period in 2025, was not material.</w:t>
      </w:r>
    </w:p>
    <w:p>
      <w:pPr>
        <w:pStyle w:val="TextBody"/>
        <w:bidi w:val="0"/>
        <w:spacing w:before="360" w:after="283"/>
        <w:jc w:val="left"/>
        <w:rPr>
          <w:rFonts w:ascii="Times New Roman" w:hAnsi="Times New Roman"/>
          <w:sz w:val="20"/>
        </w:rPr>
      </w:pPr>
      <w:r>
        <w:rPr>
          <w:rFonts w:ascii="Times New Roman" w:hAnsi="Times New Roman"/>
          <w:b/>
          <w:i/>
          <w:color w:val="000000"/>
          <w:sz w:val="20"/>
        </w:rPr>
        <w:t>Losses from Equity Method Investments</w:t>
      </w:r>
      <w:r>
        <w:rPr>
          <w:rFonts w:ascii="Times New Roman" w:hAnsi="Times New Roman"/>
          <w:color w:val="000000"/>
          <w:sz w:val="20"/>
        </w:rPr>
        <w:t xml:space="preserve"> </w:t>
      </w:r>
    </w:p>
    <w:p>
      <w:pPr>
        <w:pStyle w:val="TextBody"/>
        <w:bidi w:val="0"/>
        <w:jc w:val="left"/>
        <w:rPr/>
      </w:pPr>
      <w:r>
        <w:rPr/>
        <w:t> </w:t>
      </w:r>
    </w:p>
    <w:tbl>
      <w:tblPr>
        <w:tblW w:w="8347" w:type="dxa"/>
        <w:jc w:val="left"/>
        <w:tblInd w:w="0" w:type="dxa"/>
        <w:tblLayout w:type="fixed"/>
        <w:tblCellMar>
          <w:top w:w="28" w:type="dxa"/>
          <w:left w:w="28" w:type="dxa"/>
          <w:bottom w:w="28" w:type="dxa"/>
          <w:right w:w="28" w:type="dxa"/>
        </w:tblCellMar>
      </w:tblPr>
      <w:tblGrid>
        <w:gridCol w:w="3331"/>
        <w:gridCol w:w="146"/>
        <w:gridCol w:w="239"/>
        <w:gridCol w:w="716"/>
        <w:gridCol w:w="188"/>
        <w:gridCol w:w="165"/>
        <w:gridCol w:w="239"/>
        <w:gridCol w:w="716"/>
        <w:gridCol w:w="166"/>
        <w:gridCol w:w="146"/>
        <w:gridCol w:w="242"/>
        <w:gridCol w:w="554"/>
        <w:gridCol w:w="166"/>
        <w:gridCol w:w="146"/>
        <w:gridCol w:w="275"/>
        <w:gridCol w:w="596"/>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losses from equity method investments for the three months ended June 30, 2026, compared to the same period in 2025, was due to the losses from SB Tempus.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Comparison of the Six Months Ended June 30, 2026 and 2025</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jc w:val="left"/>
        <w:rPr/>
      </w:pPr>
      <w:r>
        <w:rPr/>
        <w:t> </w:t>
      </w:r>
    </w:p>
    <w:tbl>
      <w:tblPr>
        <w:tblW w:w="7076" w:type="dxa"/>
        <w:jc w:val="left"/>
        <w:tblInd w:w="0" w:type="dxa"/>
        <w:tblLayout w:type="fixed"/>
        <w:tblCellMar>
          <w:top w:w="28" w:type="dxa"/>
          <w:left w:w="28" w:type="dxa"/>
          <w:bottom w:w="28" w:type="dxa"/>
          <w:right w:w="28" w:type="dxa"/>
        </w:tblCellMar>
      </w:tblPr>
      <w:tblGrid>
        <w:gridCol w:w="1891"/>
        <w:gridCol w:w="146"/>
        <w:gridCol w:w="211"/>
        <w:gridCol w:w="781"/>
        <w:gridCol w:w="146"/>
        <w:gridCol w:w="146"/>
        <w:gridCol w:w="211"/>
        <w:gridCol w:w="781"/>
        <w:gridCol w:w="146"/>
        <w:gridCol w:w="146"/>
        <w:gridCol w:w="211"/>
        <w:gridCol w:w="781"/>
        <w:gridCol w:w="146"/>
        <w:gridCol w:w="146"/>
        <w:gridCol w:w="275"/>
        <w:gridCol w:w="596"/>
        <w:gridCol w:w="31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revenue for the six months ended June 30, 2026, compared to the same period in 2025, was due to increased volume of clinical oncology and hereditary tests performed in Diagnostics and increased data deliveries in our Data and applications product line. Beginning in 2026, xG (hereditary testing sold to oncologists) volumes and associated revenues are reported within Hereditary, which was applied to 2025 volumes and associated revenues. </w:t>
      </w:r>
    </w:p>
    <w:p>
      <w:pPr>
        <w:pStyle w:val="TextBody"/>
        <w:bidi w:val="0"/>
        <w:spacing w:before="360" w:after="283"/>
        <w:jc w:val="left"/>
        <w:rPr>
          <w:rFonts w:ascii="Times New Roman" w:hAnsi="Times New Roman"/>
          <w:sz w:val="20"/>
        </w:rPr>
      </w:pPr>
      <w:r>
        <w:rPr>
          <w:rFonts w:ascii="Times New Roman" w:hAnsi="Times New Roman"/>
          <w:i/>
          <w:color w:val="000000"/>
          <w:sz w:val="20"/>
        </w:rPr>
        <w:t>Diagnostics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Diagnostics revenue for the six months ended June 30, 2026, compared to the same period in 2025, was primarily due to an increase in the number of Oncology tests and the addition of Hereditary tests through the acquisition of Ambry in February 2025. Volume of tests increased from approximately 365,000 tests for the six months ended June 30, 2025 to approximately 456,000 tests for the six months ended June 30, 2026, of which 274,000 tests related to Hereditary testing.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Oncology tests increased from approximately 140,500 tests for the six months ended June 30, 2025 to approximately 182,000 tests for the six months ended June 30, 2026. Oncology revenue increased $69.0 million, primarily due to the increase in the volume of clinical oncology tests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Hereditary tests increased from approximately 224,500 tests for the six months ended June 30, 2025 to approximately 274,000 tests for the six months ended June 30, 2026 due to the acquisition of Ambry in February 2025. The increase is primarily due to the inclusion of Ambry for the full period and resulted in an increase of $38.7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remaining increase of $7.1 million is due to growth in our other product lines within Diagnostics. </w:t>
      </w:r>
    </w:p>
    <w:p>
      <w:pPr>
        <w:pStyle w:val="TextBody"/>
        <w:bidi w:val="0"/>
        <w:spacing w:before="360" w:after="283"/>
        <w:jc w:val="left"/>
        <w:rPr>
          <w:rFonts w:ascii="Times New Roman" w:hAnsi="Times New Roman"/>
          <w:sz w:val="20"/>
        </w:rPr>
      </w:pPr>
      <w:r>
        <w:rPr>
          <w:rFonts w:ascii="Times New Roman" w:hAnsi="Times New Roman"/>
          <w:i/>
          <w:color w:val="000000"/>
          <w:sz w:val="20"/>
        </w:rPr>
        <w:t>Data and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Data and applications revenue for the six months ended June 30, 2026, compared to the same period in 2025, was driven primarily by an increase of $42.3 million and $3.6 million from increased demand for our Insights and Next products, respectively. Across all Data and applications products, the increase in revenue in the six months ended June 30, 2026 is primarily attributable to continued growth from within our existing customer base, specifically the Pathos Foundation Model agreement, as well as adoption of our services by new customers that did not purchase services in the six months ended June 30, 2025. </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381" w:type="dxa"/>
        <w:jc w:val="left"/>
        <w:tblInd w:w="0" w:type="dxa"/>
        <w:tblLayout w:type="fixed"/>
        <w:tblCellMar>
          <w:top w:w="28" w:type="dxa"/>
          <w:left w:w="28" w:type="dxa"/>
          <w:bottom w:w="28" w:type="dxa"/>
          <w:right w:w="28" w:type="dxa"/>
        </w:tblCellMar>
      </w:tblPr>
      <w:tblGrid>
        <w:gridCol w:w="3301"/>
        <w:gridCol w:w="146"/>
        <w:gridCol w:w="211"/>
        <w:gridCol w:w="781"/>
        <w:gridCol w:w="146"/>
        <w:gridCol w:w="146"/>
        <w:gridCol w:w="211"/>
        <w:gridCol w:w="781"/>
        <w:gridCol w:w="146"/>
        <w:gridCol w:w="146"/>
        <w:gridCol w:w="211"/>
        <w:gridCol w:w="676"/>
        <w:gridCol w:w="146"/>
        <w:gridCol w:w="146"/>
        <w:gridCol w:w="275"/>
        <w:gridCol w:w="596"/>
        <w:gridCol w:w="31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Cost of revenues for the six months ended June 30, 2026, compared to the same period in 2025, was primarily due to increases of $11.1 million in personnel-related costs, of which $5.5 million is due to the Ambry Acquisition that occurred in February 2025, $10.9 million in cloud costs, $10.0 million in material and service costs, of which $3.1 million is due to the Ambry Acquisition that occurred in February 2025, $4.5 million of stock-based compensation expenses, $2.9 million in costs related to development of foundation model, $2.8 million in clinical studies costs.</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Diagnostics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Diagnostics for the six months ended June 30, 2026, compared to the same period in 2025, was primarily due to increases of $11.2 million in personnel-related costs, of which $5.5 million is due to the Ambry Acquisition that occurred in February 2025, $10.0 million in material and service costs, of which $3.1 million is due to the Ambry Acquisition that occurred in February 2025, and $3.3 million of stock-based compensation expense.</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Data and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Data and applications for the six months ended June 30, 2026, compared to the same period in 2025, was primarily due to an increase of $9.9 million in cloud costs, $2.9 million in costs related to development of foundation model, $2.8 million in clinical studies costs, and $1.2 million in stock-based compensation.</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jc w:val="left"/>
        <w:rPr/>
      </w:pPr>
      <w:r>
        <w:rPr/>
        <w:t> </w:t>
      </w:r>
    </w:p>
    <w:tbl>
      <w:tblPr>
        <w:tblW w:w="8143" w:type="dxa"/>
        <w:jc w:val="left"/>
        <w:tblInd w:w="0" w:type="dxa"/>
        <w:tblLayout w:type="fixed"/>
        <w:tblCellMar>
          <w:top w:w="28" w:type="dxa"/>
          <w:left w:w="28" w:type="dxa"/>
          <w:bottom w:w="28" w:type="dxa"/>
          <w:right w:w="28" w:type="dxa"/>
        </w:tblCellMar>
      </w:tblPr>
      <w:tblGrid>
        <w:gridCol w:w="3271"/>
        <w:gridCol w:w="146"/>
        <w:gridCol w:w="211"/>
        <w:gridCol w:w="677"/>
        <w:gridCol w:w="146"/>
        <w:gridCol w:w="146"/>
        <w:gridCol w:w="211"/>
        <w:gridCol w:w="677"/>
        <w:gridCol w:w="146"/>
        <w:gridCol w:w="146"/>
        <w:gridCol w:w="211"/>
        <w:gridCol w:w="676"/>
        <w:gridCol w:w="146"/>
        <w:gridCol w:w="146"/>
        <w:gridCol w:w="275"/>
        <w:gridCol w:w="59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Technology research and development expenses for the six months ended June 30, 2026, compared to the same period in 2025, was primarily due to an increase of $11.5 million of stock-based compensation expenses and increase of $10.1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personnel-related costs associated with the investment in our cloud infrastructure and new lines of business, of which $2.9 million is due to the Ambry Acquisition that occurred in February 2025.</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jc w:val="left"/>
        <w:rPr/>
      </w:pPr>
      <w:r>
        <w:rPr/>
        <w:t> </w:t>
      </w:r>
    </w:p>
    <w:tbl>
      <w:tblPr>
        <w:tblW w:w="7286" w:type="dxa"/>
        <w:jc w:val="left"/>
        <w:tblInd w:w="0" w:type="dxa"/>
        <w:tblLayout w:type="fixed"/>
        <w:tblCellMar>
          <w:top w:w="28" w:type="dxa"/>
          <w:left w:w="28" w:type="dxa"/>
          <w:bottom w:w="28" w:type="dxa"/>
          <w:right w:w="28" w:type="dxa"/>
        </w:tblCellMar>
      </w:tblPr>
      <w:tblGrid>
        <w:gridCol w:w="2311"/>
        <w:gridCol w:w="146"/>
        <w:gridCol w:w="211"/>
        <w:gridCol w:w="781"/>
        <w:gridCol w:w="146"/>
        <w:gridCol w:w="146"/>
        <w:gridCol w:w="211"/>
        <w:gridCol w:w="676"/>
        <w:gridCol w:w="146"/>
        <w:gridCol w:w="146"/>
        <w:gridCol w:w="211"/>
        <w:gridCol w:w="676"/>
        <w:gridCol w:w="146"/>
        <w:gridCol w:w="146"/>
        <w:gridCol w:w="275"/>
        <w:gridCol w:w="596"/>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Research and development expenses for the six months ended June 30, 2026, compared to the same period in 2025, was primarily due to an increase of $8.3 million in personnel-related costs for employees in our research and development group, of which $4.1 million is due to the Ambry Acquisition that occurred in February 2025, $5.5 million of stock-based compensation expense, $4.1 million of validation and regulatory costs, $2.8 million of cloud costs, of which $0.8 million is due to the Ambry Acquisition that occurred in February 2025, and $1.5 million of outside services costs related to clinical studies.</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jc w:val="left"/>
        <w:rPr/>
      </w:pPr>
      <w:r>
        <w:rPr/>
        <w:t> </w:t>
      </w:r>
    </w:p>
    <w:tbl>
      <w:tblPr>
        <w:tblW w:w="8141" w:type="dxa"/>
        <w:jc w:val="left"/>
        <w:tblInd w:w="0" w:type="dxa"/>
        <w:tblLayout w:type="fixed"/>
        <w:tblCellMar>
          <w:top w:w="28" w:type="dxa"/>
          <w:left w:w="28" w:type="dxa"/>
          <w:bottom w:w="28" w:type="dxa"/>
          <w:right w:w="28" w:type="dxa"/>
        </w:tblCellMar>
      </w:tblPr>
      <w:tblGrid>
        <w:gridCol w:w="2956"/>
        <w:gridCol w:w="146"/>
        <w:gridCol w:w="211"/>
        <w:gridCol w:w="781"/>
        <w:gridCol w:w="146"/>
        <w:gridCol w:w="146"/>
        <w:gridCol w:w="211"/>
        <w:gridCol w:w="781"/>
        <w:gridCol w:w="146"/>
        <w:gridCol w:w="146"/>
        <w:gridCol w:w="211"/>
        <w:gridCol w:w="781"/>
        <w:gridCol w:w="146"/>
        <w:gridCol w:w="146"/>
        <w:gridCol w:w="275"/>
        <w:gridCol w:w="596"/>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Selling, general and administrative expenses for the six months ended June 30, 2026, compared to the same period in 2025, was primarily due to an increase of $39.8 million of stock-based compensation expenses, $32.2 million in personnel-related costs, of which $15.6 million is due to the Ambry Acquisition that occurred in February 2025, $12.2 million in software and tools costs, of which $1.4 million is due to the Ambry Acquisition that occurred in February 2025, $10.1 million in cloud storage costs, $6.6 million in legal costs, and $5.5 million in amortization of intangibles acquired from the Ambry Acquisition. The increase is offset by a decrease in $4.5 million in acquisition costs and $3.0 million in taxes related to the settlement of RSUs.</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jc w:val="left"/>
        <w:rPr/>
      </w:pPr>
      <w:r>
        <w:rPr/>
        <w:t> </w:t>
      </w:r>
    </w:p>
    <w:tbl>
      <w:tblPr>
        <w:tblW w:w="6147" w:type="dxa"/>
        <w:jc w:val="left"/>
        <w:tblInd w:w="0" w:type="dxa"/>
        <w:tblLayout w:type="fixed"/>
        <w:tblCellMar>
          <w:top w:w="28" w:type="dxa"/>
          <w:left w:w="28" w:type="dxa"/>
          <w:bottom w:w="28" w:type="dxa"/>
          <w:right w:w="28" w:type="dxa"/>
        </w:tblCellMar>
      </w:tblPr>
      <w:tblGrid>
        <w:gridCol w:w="1366"/>
        <w:gridCol w:w="146"/>
        <w:gridCol w:w="235"/>
        <w:gridCol w:w="637"/>
        <w:gridCol w:w="162"/>
        <w:gridCol w:w="162"/>
        <w:gridCol w:w="235"/>
        <w:gridCol w:w="637"/>
        <w:gridCol w:w="146"/>
        <w:gridCol w:w="146"/>
        <w:gridCol w:w="214"/>
        <w:gridCol w:w="582"/>
        <w:gridCol w:w="146"/>
        <w:gridCol w:w="146"/>
        <w:gridCol w:w="224"/>
        <w:gridCol w:w="647"/>
        <w:gridCol w:w="31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Interest income for the six months ended June 30, 2026, compared to the same period in 2025, increased primarily due to higher cash on hand as of June 30, 2026 compared to June 30, 2025.</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jc w:val="left"/>
        <w:rPr/>
      </w:pPr>
      <w:r>
        <w:rPr/>
        <w:t> </w:t>
      </w:r>
    </w:p>
    <w:tbl>
      <w:tblPr>
        <w:tblW w:w="6456" w:type="dxa"/>
        <w:jc w:val="left"/>
        <w:tblInd w:w="0" w:type="dxa"/>
        <w:tblLayout w:type="fixed"/>
        <w:tblCellMar>
          <w:top w:w="28" w:type="dxa"/>
          <w:left w:w="28" w:type="dxa"/>
          <w:bottom w:w="28" w:type="dxa"/>
          <w:right w:w="28" w:type="dxa"/>
        </w:tblCellMar>
      </w:tblPr>
      <w:tblGrid>
        <w:gridCol w:w="1426"/>
        <w:gridCol w:w="146"/>
        <w:gridCol w:w="211"/>
        <w:gridCol w:w="736"/>
        <w:gridCol w:w="166"/>
        <w:gridCol w:w="146"/>
        <w:gridCol w:w="211"/>
        <w:gridCol w:w="736"/>
        <w:gridCol w:w="166"/>
        <w:gridCol w:w="146"/>
        <w:gridCol w:w="211"/>
        <w:gridCol w:w="676"/>
        <w:gridCol w:w="146"/>
        <w:gridCol w:w="146"/>
        <w:gridCol w:w="243"/>
        <w:gridCol w:w="628"/>
        <w:gridCol w:w="31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6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Interest expense for the six months ended June 30, 2026, compared to the same period in 2025, is due to a decrease of $20.2 million as a result of the prepayment of the Term Loan Facility in July 2025 and of the Additional Term Loan Facility and Revolving Credit Facility in May 2026. The decrease is offset by additional interest expense from the Notes, which resulted in an increase of $5.6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jc w:val="left"/>
        <w:rPr/>
      </w:pPr>
      <w:r>
        <w:rPr/>
        <w:t> </w:t>
      </w:r>
    </w:p>
    <w:tbl>
      <w:tblPr>
        <w:tblW w:w="7428" w:type="dxa"/>
        <w:jc w:val="left"/>
        <w:tblInd w:w="0" w:type="dxa"/>
        <w:tblLayout w:type="fixed"/>
        <w:tblCellMar>
          <w:top w:w="28" w:type="dxa"/>
          <w:left w:w="28" w:type="dxa"/>
          <w:bottom w:w="28" w:type="dxa"/>
          <w:right w:w="28" w:type="dxa"/>
        </w:tblCellMar>
      </w:tblPr>
      <w:tblGrid>
        <w:gridCol w:w="2476"/>
        <w:gridCol w:w="146"/>
        <w:gridCol w:w="240"/>
        <w:gridCol w:w="839"/>
        <w:gridCol w:w="189"/>
        <w:gridCol w:w="166"/>
        <w:gridCol w:w="240"/>
        <w:gridCol w:w="394"/>
        <w:gridCol w:w="146"/>
        <w:gridCol w:w="146"/>
        <w:gridCol w:w="211"/>
        <w:gridCol w:w="736"/>
        <w:gridCol w:w="166"/>
        <w:gridCol w:w="146"/>
        <w:gridCol w:w="224"/>
        <w:gridCol w:w="647"/>
        <w:gridCol w:w="3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9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Loss on debt extinguishments for the six months ended June 30, 2026, compared to the same period in 2025, was driven by the repayment of the Additional Term Loan Facility and Revolving Credit Facility, which includes repayment of the principal, accrued interest, and prepayment premium. The repayment resulted in a loss on debt extinguishment of $11.6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jc w:val="left"/>
        <w:rPr/>
      </w:pPr>
      <w:r>
        <w:rPr/>
        <w:t> </w:t>
      </w:r>
    </w:p>
    <w:tbl>
      <w:tblPr>
        <w:tblW w:w="6433" w:type="dxa"/>
        <w:jc w:val="left"/>
        <w:tblInd w:w="0" w:type="dxa"/>
        <w:tblLayout w:type="fixed"/>
        <w:tblCellMar>
          <w:top w:w="28" w:type="dxa"/>
          <w:left w:w="28" w:type="dxa"/>
          <w:bottom w:w="28" w:type="dxa"/>
          <w:right w:w="28" w:type="dxa"/>
        </w:tblCellMar>
      </w:tblPr>
      <w:tblGrid>
        <w:gridCol w:w="1561"/>
        <w:gridCol w:w="146"/>
        <w:gridCol w:w="211"/>
        <w:gridCol w:w="677"/>
        <w:gridCol w:w="146"/>
        <w:gridCol w:w="146"/>
        <w:gridCol w:w="211"/>
        <w:gridCol w:w="677"/>
        <w:gridCol w:w="146"/>
        <w:gridCol w:w="146"/>
        <w:gridCol w:w="211"/>
        <w:gridCol w:w="676"/>
        <w:gridCol w:w="146"/>
        <w:gridCol w:w="146"/>
        <w:gridCol w:w="224"/>
        <w:gridCol w:w="647"/>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Other income, net for the six months ended June 30, 2026, compared to the same period in 2025, was primarily driven by a $60.2 million increase in income related to realized and unrealized gains on marketable equity securities.</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 for) Benefit from Income Taxes</w:t>
      </w:r>
      <w:r>
        <w:rPr>
          <w:rFonts w:ascii="Times New Roman" w:hAnsi="Times New Roman"/>
          <w:color w:val="000000"/>
          <w:sz w:val="20"/>
        </w:rPr>
        <w:t xml:space="preserve"> </w:t>
      </w:r>
    </w:p>
    <w:p>
      <w:pPr>
        <w:pStyle w:val="TextBody"/>
        <w:bidi w:val="0"/>
        <w:jc w:val="left"/>
        <w:rPr/>
      </w:pPr>
      <w:r>
        <w:rPr/>
        <w:t> </w:t>
      </w:r>
    </w:p>
    <w:tbl>
      <w:tblPr>
        <w:tblW w:w="8388" w:type="dxa"/>
        <w:jc w:val="left"/>
        <w:tblInd w:w="0" w:type="dxa"/>
        <w:tblLayout w:type="fixed"/>
        <w:tblCellMar>
          <w:top w:w="28" w:type="dxa"/>
          <w:left w:w="28" w:type="dxa"/>
          <w:bottom w:w="28" w:type="dxa"/>
          <w:right w:w="28" w:type="dxa"/>
        </w:tblCellMar>
      </w:tblPr>
      <w:tblGrid>
        <w:gridCol w:w="3436"/>
        <w:gridCol w:w="146"/>
        <w:gridCol w:w="231"/>
        <w:gridCol w:w="526"/>
        <w:gridCol w:w="181"/>
        <w:gridCol w:w="159"/>
        <w:gridCol w:w="231"/>
        <w:gridCol w:w="740"/>
        <w:gridCol w:w="146"/>
        <w:gridCol w:w="146"/>
        <w:gridCol w:w="211"/>
        <w:gridCol w:w="736"/>
        <w:gridCol w:w="166"/>
        <w:gridCol w:w="146"/>
        <w:gridCol w:w="202"/>
        <w:gridCol w:w="669"/>
        <w:gridCol w:w="31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9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provision for income tax (expense) benefit for the six months ended June 30, 2026, compared to the same period in 2025, was due to a $46.2 million discrete tax benefit recorded in the prior period from the release of a portion of the valuation allowance attributable to net deferred tax liabilities related to the acquisition of Ambry which offset certain of our net deferred tax assets.</w:t>
      </w:r>
    </w:p>
    <w:p>
      <w:pPr>
        <w:pStyle w:val="TextBody"/>
        <w:bidi w:val="0"/>
        <w:spacing w:before="360" w:after="283"/>
        <w:jc w:val="left"/>
        <w:rPr>
          <w:rFonts w:ascii="Times New Roman" w:hAnsi="Times New Roman"/>
          <w:sz w:val="20"/>
        </w:rPr>
      </w:pPr>
      <w:r>
        <w:rPr>
          <w:rFonts w:ascii="Times New Roman" w:hAnsi="Times New Roman"/>
          <w:b/>
          <w:i/>
          <w:color w:val="000000"/>
          <w:sz w:val="20"/>
        </w:rPr>
        <w:t>Losses from Equity Method Investments</w:t>
      </w:r>
      <w:r>
        <w:rPr>
          <w:rFonts w:ascii="Times New Roman" w:hAnsi="Times New Roman"/>
          <w:color w:val="000000"/>
          <w:sz w:val="20"/>
        </w:rPr>
        <w:t xml:space="preserve"> </w:t>
      </w:r>
    </w:p>
    <w:p>
      <w:pPr>
        <w:pStyle w:val="TextBody"/>
        <w:bidi w:val="0"/>
        <w:jc w:val="left"/>
        <w:rPr/>
      </w:pPr>
      <w:r>
        <w:rPr/>
        <w:t> </w:t>
      </w:r>
    </w:p>
    <w:tbl>
      <w:tblPr>
        <w:tblW w:w="8197" w:type="dxa"/>
        <w:jc w:val="left"/>
        <w:tblInd w:w="0" w:type="dxa"/>
        <w:tblLayout w:type="fixed"/>
        <w:tblCellMar>
          <w:top w:w="28" w:type="dxa"/>
          <w:left w:w="28" w:type="dxa"/>
          <w:bottom w:w="28" w:type="dxa"/>
          <w:right w:w="28" w:type="dxa"/>
        </w:tblCellMar>
      </w:tblPr>
      <w:tblGrid>
        <w:gridCol w:w="3331"/>
        <w:gridCol w:w="146"/>
        <w:gridCol w:w="218"/>
        <w:gridCol w:w="654"/>
        <w:gridCol w:w="172"/>
        <w:gridCol w:w="151"/>
        <w:gridCol w:w="218"/>
        <w:gridCol w:w="654"/>
        <w:gridCol w:w="166"/>
        <w:gridCol w:w="146"/>
        <w:gridCol w:w="211"/>
        <w:gridCol w:w="631"/>
        <w:gridCol w:w="166"/>
        <w:gridCol w:w="146"/>
        <w:gridCol w:w="275"/>
        <w:gridCol w:w="596"/>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losses from equity method investments for the six months ended June 30, 2026, compared to the same period in 2025, was due to the losses from SB Tempus.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Measure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supplement our condensed consolidated financial statements prepared and presented in accordance with accounting principles generally accepted in the United States of America, or GAAP, we use adjusted EBITDA to facilitate analysis of our financial and business trends and for internal planning and forecasting purposes.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EBITDA is defined as earnings before interest, taxes, depreciation and amortization. We define adjusted EBITDA as net income (loss), adjusted to exclude (i) interest income, (ii) interest expense, (iii) depreciation and amortization, (iv) provision for (benefit from) income taxes, (v) losses from equity method investments, (vi) changes in fair value of our marketable equity securities and indemnity-related holdback liabilities, (vii) stock-based compensation expense, (viii) employer payroll tax related to stock-based compensation expense, (ix) </w:t>
      </w:r>
      <w:r>
        <w:rPr>
          <w:rFonts w:ascii="Times New Roman" w:hAnsi="Times New Roman"/>
          <w:color w:val="231F20"/>
          <w:sz w:val="20"/>
        </w:rPr>
        <w:t>acquisition-related expenses</w:t>
      </w:r>
      <w:r>
        <w:rPr>
          <w:rFonts w:ascii="Times New Roman" w:hAnsi="Times New Roman"/>
          <w:color w:val="000000"/>
          <w:sz w:val="20"/>
        </w:rPr>
        <w:t xml:space="preserve">, (x) amortization of deferred other income from our IP License Agreement with SB Tempus, (xi) franchise taxes related to our IPO, and (xii) loss on debt extinguishment.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adjusted EBITDA is a key measurement used by our management internally to make operating decisions, including those related to analyzing operating expenses, evaluating performance, and performing strategic planning and annual budgeting.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has limitations as a financial measure, should be considered as supplemental in nature, and is not meant as a substitute for, or superior to, the related financial information prepared in accordance with GAAP. Some of these limitations are that adjusted EBITDA: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does not reflect interest income which increases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excludes depreciation and amortization expense, and although these are non-cash expenses, the asset being depreciated may have to be replaced in the future, increasing our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does not reflect provision for or benefit from income taxes that reduces cash available to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excludes change in fair value of marketable equity securities and indemnity-related holdback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these limitations, we consider, and you should consider, adjusted EBITDA alongside other financial performance measures, including net income (loss) and our other GAAP results. A reconciliation of our adjusted EBITDA to net income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adjusted EBITDA, along with net loss, the most directly comparable GAAP measure, for each period presented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63"/>
        <w:gridCol w:w="146"/>
        <w:gridCol w:w="215"/>
        <w:gridCol w:w="753"/>
        <w:gridCol w:w="169"/>
        <w:gridCol w:w="148"/>
        <w:gridCol w:w="215"/>
        <w:gridCol w:w="753"/>
        <w:gridCol w:w="166"/>
        <w:gridCol w:w="146"/>
        <w:gridCol w:w="211"/>
        <w:gridCol w:w="841"/>
        <w:gridCol w:w="166"/>
        <w:gridCol w:w="146"/>
        <w:gridCol w:w="211"/>
        <w:gridCol w:w="841"/>
        <w:gridCol w:w="415"/>
      </w:tblGrid>
      <w:tr>
        <w:trPr/>
        <w:tc>
          <w:tcPr>
            <w:tcW w:w="4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8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8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(21,754</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Fair value changes include gains and losses related to quarterly fair value adjustments of our marketable equity securities and indemnity-related holdback liabilities.</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(2)</w:t>
      </w:r>
    </w:p>
    <w:p>
      <w:pPr>
        <w:pStyle w:val="TextBody"/>
        <w:bidi w:val="0"/>
        <w:jc w:val="left"/>
        <w:rPr>
          <w:rFonts w:ascii="Times New Roman" w:hAnsi="Times New Roman"/>
          <w:color w:val="231F20"/>
          <w:sz w:val="20"/>
        </w:rPr>
      </w:pPr>
      <w:r>
        <w:rPr>
          <w:rFonts w:ascii="Times New Roman" w:hAnsi="Times New Roman"/>
          <w:color w:val="231F20"/>
          <w:sz w:val="20"/>
        </w:rPr>
        <w:t>Acquisition related expenses consist of legal, diligence, accounting, and financing costs incurred for acquisitions during the three and six months ended June 30, 2026 and 2025.</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losses and negative cash flows from operations since our inception, and as of June 30, 2026, we had an accumulated deficit of $2.5 billion.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funded our operations to date principally from the sale of stock, convertible debt, term debt, the Revolving Credit Facility, and sales of our products. As of June 30, 2026, we had cash, cash equivalents and restricted cash of $604.3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business plan, we believe our current cash and cash equivalents, marketable equity securities and anticipated cash flows from operations, will be sufficient to meet our anticipated cash requirements for more than twelve months from the date of this Quarterly Report on Form 10-Q. We may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Quarterly Report on Form 10-Q and in our Form 10-K for the year ended December 31, 2025,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Convertible Senior Notes due 2032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12, 2026, we completed the 2026 Offering of $460.0 million aggregate principal amount of 0.00% Convertible Senior Notes due 2032, or the 2032 Notes. Our net proceeds from the 2026 Offering were $441.9 million, after deducting the initial purchasers' discount and commissions and offering expenses payable by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2032 Notes are general unsecured obligations of ours and will mature on May 15, 2032. The 2032 Notes will not bear regular interest, and the principal amount of the 2032 Notes will not accrete. The 2032 Notes are convertible at the option of the holders prior to February 15, 2032, only upon satisfaction of one or more of the following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any calendar quarter commencing after the calendar quarter ending on September 30, 2026, if the last reported sale price of our Class A common stock, for at least 20 trading days (whether or not consecutive) during a period of 30 consecutive trading days ending on the last trading day of the immediately preceding calendar quarter is greater than or equal to 130% of the conversion price for the 2032 Notes on each applicable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five business day period after any ten consecutive trading day period (the “measurement period”) in which the trading price per $1,000 principal amount of the 2032 Notes for each trading day of the measurement period was less than 98% of the product of the last reported sale price of our Class A common stock and the conversion rate for the 2032 Notes on each such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call such 2032 Notes for redemption, at any time prior to the close of business on the second scheduled trading day immediately preceding the redemption date;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of specified corporate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February 15, 2032, until the close of business on the second scheduled trading day immediately preceding the maturity date, holders may convert all or any portion of their 2032 Notes at their option at any time, regardless of the foregoing conditions. Upon conversion, we will pay or deliver cash, shares of our Class A common stock or a combination of cash and shares of our common stock, at our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conversion rate for the 2032 Notes will initially be 14.4388 shares of the Company's Class A common stock per $1,000 principal amount of 2032 Notes, which is equivalent to an initial conversion price of approximately $69.26 per share of our Class A common Stock. The conversion rate is subject to adjustment under certain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May 21, 2029, we may redeem for cash all or any portion of the 2032 Notes if the last reported sale price of our Class A common stock has been at least 130% of the conversion price for the 2032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2032 Notes to be redeemed, plus accrued and unpaid special interest, if any, to, but excluding, the redemption date. If we redeem less than all the outstanding 2032 Notes, at least $75.0 million aggregate principal amount of 2032 Notes must be outstanding and not subject to redemption. No sinking fund is provided for the 2032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undergo a fundamental change (as defined in the indenture governing the 2032 Notes), then, subject to certain conditions and exceptions, noteholders may require us to repurchase for cash all or any portion of their 2032 Notes at a fundamental change repurchase price equal to 100% of the principal amount of the 2032 Notes to be repurchased, plus accrued and unpaid special interest, if any, to, but excluding, the fundamental change repurchase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indenture governing the 2032 Notes contains customary terms and covenants, including that upon certain events of default either the 2032 Trustee or the holders of at least 25% in principal amount of the outstanding 2032 Notes may declare 100% of the principal of, and accrued and unpaid special interest, if any, on, all the 2032 Notes to be due and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there is an event of default relating to failures by us to comply with certain reporting requirements, we may elect, at our option, that the sole remedy to consist exclusively of the right of the noteholders to receive special interest on the 2032 Notes for up to 365 days at a specified rate per annum of 0.25% of the principal amount for the first 180 days on which the special interest accrues, and thereafter at a rate of 0.50%.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pricing of the 2032 Notes on May 7, 2026, and the exercise in full by the initial purchasers of their option to purchase additional 2032 Notes on May 8, 2026, we entered into capped call transactions, or the 2032 Capped Call, with one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initial purchasers or its affiliate and other financial institutions. The 2032 Capped Call is expected generally to reduce the potential dilution to our Class A common stock upon any conversion of the 2032 Notes and/or offset any cash payments we are required to make in excess of the principal amount of converted 2032 Notes, with such reduction and/or offset subject to a cap based on a cap price initially equal to $98.9400 per share, which is subject to certain adjustments under the terms of the 2032 Capped Call. The 2032 Capped Call have an initial strike price of approximately $69.26 per share, subject to certain adjustments, which corresponds to the initial conversion price of the 2032 Notes. The 2032 Capped Call cover, subject to anti-dilution adjustments, approximately 6,641,848 shares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paid approximately $31.2 million cost of the 2032 Capped Call from the proceeds of the 2026 Offering. We expect to use the remaining net proceeds from the 2026 Offering for general corporate purposes, which may include acquisitions or strategic investments in complementary businesses or technologies, working capital, operating expenses, capital expenditures and repayment of additional indebtedness.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Convertible Senior Notes due 2030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2025, we completed a private offering, or the 2025 Offering, of $750.0 million aggregate principal amount of 0.75% Convertible Senior Notes due 2030, or the 2030 Notes. Our net proceeds from the 2025 Offering were $725.7 million, after deducting the initial purchasers' discount and commissions and offering expenses payable by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2030 Notes are general unsecured obligations of ours and will mature on July 15, 2030. Interest on the 2030 Notes will accrue at a rate of 0.75% per year from July 3, 2025 and will be payable semiannually in arrears on January 15 and July 15 of each year, beginning on January 15, 2026. The 2030 Notes are convertible at the option of the holders prior to April 15, 2030, upon satisfaction of one or more of the following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any calendar quarter, commencing after the fiscal quarter ending on September 30, 2025, if the last reported sale price of our Class A common stock, for at least 20 trading days (whether or not consecutive) during a period of 30 consecutive trading days ending on the last trading day of the immediately preceding calendar quarter is greater than or equal to 130% of the conversion price for the 2030 Notes on each applicable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five business day period after any ten consecutive trading day period, or the measurement period, in which the trading price per $1,000 principal amount of the 2030 Notes for each trading day of the measurement period was less than 98% of the product of the last reported sale price of our Class A common stock and the conversion rate for the 2030 Notes on each such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call the 2030 Notes for redemption, at any time prior to the close of business on the second scheduled trading day immediately preceding the redemption date;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occurrence of specified corporate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April 15, 2030, until the close of business on the second scheduled trading day immediately preceding the maturity date, holders may convert all or any portion of their 2030 Notes at their option at any time, regardless of the foregoing conditions. Upon conversion, we will pay or deliver cash, shares of our Class A common stock or a combination of cash and shares of our Class A common stock, at our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rate for the 2030 Notes is 11.8778 shares of Class A common stock per $1,000 principal amount of 2030 Notes, which is equivalent to an initial conversion price of approximately $84.19 per share of our Class A common stock. The conversion rate is subject to adjustment under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July 20, 2028, we may redeem for cash all or any portion of the 2030 Notes if the last reported sale price of our Class A common stock has been at least 130% of the conversion price for the 2030 Notes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we redeem less than all the outstanding 2030 Notes, at least $100.0 million aggregate principal amount of 2030 Notes must be outstanding and not subject to redemption. No sinking fund is provided for the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undergo a fundamental change (as defined in the indenture governing the 2030 Notes), then, subject to certain conditions and exceptions, noteholders may require us to repurchase for cash all or any portion of their 2030 Notes at a fundamental change repurchase price equal to 100% of the principal amount of the 2030 Notes to be repurchased, plus accrued and unpaid interest, to, but excluding, the fundamental change repurchase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pricing of the 2030 Notes on June 30, 2025, and in connection with the exercise in full by the initial purchasers of their option to purchase additional Notes on July 1, 2025, we entered into capped call transactions, or the 2030 Capped Call, effective as of July 3, 2025, with one of the initial purchasers and certain other financial institutions. The 2030 Capped Call is expected generally to reduce the potential dilution to our Class A common stock upon any conversion of the 2030 Notes and/or offset any cash payments we are required to make in excess of the principal amount of converted 2030 Notes, with such reduction and/or offset subject to a cap based on a cap price initially equal to $111.1950 per share, which is subject to certain adjustments under the terms of the 2030 Capped Call. The 2030 Capped Calls have an initial strike price of approximately $84.19 per share, subject to certain adjustments, which corresponds to the initial conversion price of the 2030 Notes. The 2030 Capped Call cover, subject to anti-dilution adjustments, approximately 8,908,350 shares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paid approximately $41.8 million cost of the 2030 Capped Call from the proceeds of the 2025 Offering. We expect to use the remaining net proceeds from the 2025 Offering for general corporate purposes, which may include acquisitions or strategic investments in complementary businesses or technologies, working capital, operating expenses, capital expenditures and repayment of additional indebtedness.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Credit Facilities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On September 22, 2022, we entered into a Credit Agreement, or the Original Credit Agreement, with Ares Capital Corporation, or Ares, for a senior secured loan, or the Term Loan Facility that matures in September 2027, in an original principal amount of $175.0 million, less original issue discount of $4.4 million and deferred financing fees of $2.6 million. The Original Credit Agreement was amended on April 25, 2023 and October 11, 2023, to, among other things, increase the original principal amount of the Term Loan Facility by $85.0 million in the aggregate, less original issue discount of $2.2 million in the aggregate.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On February 3, 2025, we entered into a Third Amendment Agreement, or the Third Amendment Agreement which, among other things, provided for an additional $200.0 million tranche of senior secured term loans, or the Additional Term Loan Facility, and together with the Term Loan Facility, the Term Loans, and $100.0 million in priority revolving loan commitments, or the Revolving Credit Facility, and loans thereunder, the Revolving Loans. We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Third Amendment Agreement was accounted for as a debt modification. The Additional Term Loan Facility and the Revolving Credit Facility mature on February 3, 2030.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June 30, 2025, in conjunction with the Offering, we entered into a Fourth Amendment to the Credit Agreement, or the Fourth Amendment Agreement. The Fourth Amendment Agreement amended the terms of the Credit Agreement to (i) permit the Offering and the related derivative transactions and (ii) provide that the Offering satisfies the junior capital raise requirement set forth in the Credit Agreement. Except as noted above, the material terms of the Credit Agreement were not amended. The Fourth Amendment Agreement was accounted for as a debt modification.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Term Loans and Revolving Credit Facility, or together with the Term Loan Facility, the Credit Facilities, are subject to quarterly interest payments for Base Rate loans and at the end of the applicable interest rate period for Term Secured Overnight Financing Rate, or SOFR, loans.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Term Loans are subject to quarterly interest payments, which bears interest based on Term SOFR. Additionally, we may make either a paid-in-kind, or PIK, election or a Cash election. Pursuant to the Original Credit Agreement, as amended by the Fourth Amendment Agreement, or the Credit Agreement, interest on the Term Loans accrues at a per annum rate as follows: (i) for any interest period for which we elect to pay interest in cash, the cash interest rate for Term SOFR borrowings will be Term SOFR plus a margin ranging from 6.75% to 7.75%, respectively, and (ii) for any interest period for which we elect to pay interest in kind, the cash interest rate for Term SOFR borrowings will be Term SOFR plus a margin of 5%, respectively, and the PIK interest rate will be 3.25%.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Interest on the Revolving Loans accrues interest at a per annum rate equal to Term SOFR plus 3.75%.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July 2025, the Company repaid in full the principal amount of the Term Loan Facility for $276.9 million. In May 2026, the Company repaid in full the principal amount for $307.7 million of the Additional Term Loan Facility and Revolving Credit Facility. In connection with this repayment, the Credit Agreement, as amended, and all guarantee and security documents executed in connection therewith, were terminated. No amounts under the Credit Facilities remain outstanding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22, 2025, we amended our convertible promissory note, or the Second Amended Note, with Google LLC, or Google, originally entered into on June 22, 2020, or the Initial Note, and subsequently amended on November 19, 2020, or the Amended Note. The amendment extended the maturity date of the Second Amended Note from March 22, 2026 to December 31, 2030. In addition, the amendment provides us the option upon maturity to repay up to 50% of the outstanding principal and accrued interest balance, or the Outstanding Amount, in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us. We account for the principal reductions as an offset to its cloud and compute spend within selling, general and administrative in its condensed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us of the Google Cloud Platform agreement. We generally may not prepay the Outstanding Amount, except that we may, at our option, prepay the Outstanding Amount in an amount such that the principal amount remaining outstanding after such repayment is $150.0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At the Market Sales Agreement</w:t>
      </w:r>
    </w:p>
    <w:p>
      <w:pPr>
        <w:pStyle w:val="TextBody"/>
        <w:bidi w:val="0"/>
        <w:spacing w:before="120" w:after="283"/>
        <w:jc w:val="left"/>
        <w:rPr>
          <w:rFonts w:ascii="Times New Roman" w:hAnsi="Times New Roman"/>
          <w:sz w:val="20"/>
        </w:rPr>
      </w:pPr>
      <w:r>
        <w:rPr>
          <w:rFonts w:ascii="Times New Roman" w:hAnsi="Times New Roman"/>
          <w:color w:val="000000"/>
          <w:sz w:val="20"/>
        </w:rPr>
        <w:t>On August 8, 2025, we entered into a Controlled Equity Offering</w:t>
      </w:r>
      <w:r>
        <w:rPr>
          <w:rFonts w:ascii="Times New Roman" w:hAnsi="Times New Roman"/>
          <w:color w:val="000000"/>
          <w:sz w:val="16"/>
        </w:rPr>
        <w:t>SM</w:t>
      </w:r>
      <w:r>
        <w:rPr>
          <w:rFonts w:ascii="Times New Roman" w:hAnsi="Times New Roman"/>
          <w:color w:val="000000"/>
          <w:sz w:val="20"/>
        </w:rPr>
        <w:t xml:space="preserve"> Sales Agreement, or the Sales Agreement, with Morgan Stanley &amp; Co., LLC, Cantor Fitzgerald &amp; Co., TD Securities (USA), LLC and Allen &amp; Company LLC, as sales agents, or collectively, the Sales Agents, pursuant to which we may offer and sell from time to time, at our option, shares of Class A common stock through the Sales Agents, or the ATM. The issuance and sale, if any, of shares of Class A Common Stock under the Sales Agreement will be made pursuant to an automatically effective registration statement on Form S-3 and the related prospectus included therein, or the ATM Prospectus, which was filed with the SEC on August 8, 2025. In accordance with the terms of the Sales Agreement, under the ATM Prospectus, we may offer and sell shares of Class A common stock having an aggregate offering price of up to $500.0 million from time to time through the Sales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sell any shares under the ATM during the three and six months ended June 30, 2026. In connection with the entry of the Sales Agreement and filing of the ATM Prospectus, we incurred $1.1 million of deferred offering costs to date, of which $0.8 million was reclassified as a reduction of paid-in-capital upon completion of the sales that occurred in 2025. The remaining deferred offering costs, which were incurred in anticipation of future ATM sales, are recorded in Prepaid and other assets on the consolidated balance sheet. As of June 30, 2026, approximately $300.0 million remained available for sale pursuant to the Sales Agreement and ATM Prospectus.</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6134" w:type="dxa"/>
        <w:jc w:val="left"/>
        <w:tblInd w:w="0" w:type="dxa"/>
        <w:tblLayout w:type="fixed"/>
        <w:tblCellMar>
          <w:top w:w="28" w:type="dxa"/>
          <w:left w:w="28" w:type="dxa"/>
          <w:bottom w:w="28" w:type="dxa"/>
          <w:right w:w="28" w:type="dxa"/>
        </w:tblCellMar>
      </w:tblPr>
      <w:tblGrid>
        <w:gridCol w:w="3466"/>
        <w:gridCol w:w="146"/>
        <w:gridCol w:w="211"/>
        <w:gridCol w:w="736"/>
        <w:gridCol w:w="166"/>
        <w:gridCol w:w="146"/>
        <w:gridCol w:w="211"/>
        <w:gridCol w:w="84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during the six months ended June 30, 2026 was $80.8 million, which resulted from a net loss of $120.3 million and a net change in our operating assets and liabilities of $84.5 million, offset by non-cash charges of $123.9 million. Non-cash charges primarily consisted of $106.8 million of stock-based compensation, $52.2 million of depreciation and amortization, $11.6 million loss on debt extinguishment, $6.9 million of non-cash operating lease costs, and $6.0 million of losses from equity method investments, offset by $66.2 million of gain on marketable equity securities. The net change in our operating assets and liabilities was primarily the result of a increase of $50.6 million in accounts receivable due to increased sales and the timing of customer payments and a decrease of $30.2 million in accounts payable and due to timing of payments.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operating activities during the six months ended June 30, 2025 was $61.5 million, which resulted from a net loss of $110.9 million and a net change in our operating assets and liabilities of $10.4 million, offset by non-cash charges of $59.9 million. Non-cash charges primarily consisted of $48.4 million of depreciation and amortization, $45.4 million of stock-based compensation, $7.2 million of PIK interest added to principal, and $4.6 million of non-cash operating lease costs, offset by deferred income taxes of $46.2 million, and $6.0 million of gain on marketable equity securities. The net change in our operating assets and liabilities was primarily the result of a $49.2 million increase in accounts receivable due to increased sales and the timing of customer payments, offset by a $36.8 million increase in deferred revenue, which is primarily due to the Pathos Foundation Model agreement.</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during the six months ended June 30, 2026 was $21.2 million, which was the result of purchases of property and equipment of $14.3 million and purchases of capitalized software of $6.8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investing activities during the six months ended June 30, 2025 was $385.3 million, which was the result of $380.8 million cash paid related to the Ambry and Deep 6 acquisitions, purchases of property and equipment of $9.6 million, and $3.3 million of purchases of capitalized software from the Ambry Acquisition, offset by proceeds from the sale of marketable equity securities of $8.3 million.</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during the six months ended June 30, 2026 was $96.9 million, which was primarily due to the proceeds from convertible senior notes of $443.1 million, offset by $207.7 million of principal payments on long-term debt, $100.0 million principal payments on revolving credit facility, $31.2 million of purchases of capped call, and $6.4 million of prepayment premium on long-term debt.</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financing activities during the six months ended June 30, 2025 was $293.0 million, which was the result of net proceeds from the Additional Term Loan Facility of $196.0 million, and net proceeds from the Revolving Credit Facility of $98.0 million, offset by $1.0 million of payment of deferred financing fees.</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prepared our condensed consolidated financial statements in accordance with generally accepted accounting principles in the United States, or GAAP. Our preparation of these condensed consolidated financial statements requires us to make estimates, assumptions and judgments that affect the reported amounts of assets, liabilities, expenses and related disclosures at the date of the condensed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during the six months ended June 30, 2026 as described in the Form 10-K for the year ended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section titled “Summary of Significant Accounting Policies” in Note 2 to our condensed consolidated financial statements included elsewhere in this Quarterly Report on Form 10-Q for more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3"/>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cash equivalents and restricted cash, and our indebtedness. As of June 30, 2026, we had cash, cash equivalents and restricted cash of $604.3 million held primarily in cash deposits and money market funds. We hold fixed rate debt which reduces exposure to interest rate risk. Our primary exposure to interest rate risk is interest income, which is affected by changes in the general level of the interest rates in the United States. A hypothetical 100 basis point increase or decrease in interest rates would not be material to our financial condition or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revenue is generated in the United States. Through June 30, 2026,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June 30, 2026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 </w:t>
      </w:r>
    </w:p>
    <w:p>
      <w:pPr>
        <w:pStyle w:val="TextBody"/>
        <w:bidi w:val="0"/>
        <w:spacing w:before="360" w:after="283"/>
        <w:jc w:val="left"/>
        <w:rPr>
          <w:rFonts w:ascii="Times New Roman" w:hAnsi="Times New Roman"/>
          <w:sz w:val="20"/>
        </w:rPr>
      </w:pPr>
      <w:bookmarkStart w:id="11" w:name="item_4"/>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 Based on such evaluation, our Chief Executive Officer and Chief Financial Officer have concluded that these disclosure controls and procedures were effective at a reasonable assurance level as of June 30, 2026.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
      <w:bookmarkEnd w:id="12"/>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From time to time, we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We may also initiate such proceedings against various third parties. Defending against and pursuing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Except as described below, we believe there are currently no pending legal proceedings to which we or our property are subject that could have a material adverse effect on our financial position, results of operations or cash flows.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June 11, 2024, Guardant Health Inc., or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On January 17, 2025, Guardant separately sought a Declaratory Judgment against Tempus in the U.S. District Court for the District of Delaware regarding the veracity of certain advertisements Guardant has published regarding the companies’ respective products. On March 14, 2025, Tempus filed multiple counterclaims against Guardant under the Lanham Act and related states statutes alleging, among other things, that Guardant’s advertisements were false and misleading. Tempus filed a separate patent infringement complaint against Guardant in the U.S. District Court for the Southern District of California alleging that certain Guardant products infringe U.S. Patent Nos. 12,112,839, 11,640,859, 10,957,041, and 10,991,097, which was subsequently dismissed with prejudice following transfer to the U.S. District Court for the Northern District of California. On August 12, 2025, Guardant filed a complaint against us in the U.S. District Court for the District of Delaware alleging that Tempus’s xM tests infringe three Guardant U.S. patents. The xM complaint, which has been consolidated with Guardant’s pending patent infringement case in the District of Delaware, seeks injunctive relief, unspecified monetary damages (including enhanced damages), a future mandatory royalty, costs and attorneys fees.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February 12, 2026, a lawsuit was filed against us in the United States District Court for the Northern District of Illinois. Three companion cases were filed thereafter in the same court. The lawsuits allege violations of the Illinois Genetic Information Privacy Act, other state privacy laws, and certain common law claims, and seek class action status. We believe the lawsuits to be without merit and intend to vigorously defend ourselves.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In other instances, although no formal legal proceeding has been instituted, from time to time, we receive requests from governmental agencies, or third parties working on their behalf, for documents and information related to our products and services.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additional inquiry from the Ohio Attorney General’s office since that time.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or Date of Service Rule. We provided an initial production on April 4, 2024, and have produced additional responsive documents on a rolling basis since that time.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While we believe we have complied with all applicable legal rules and regulations, no assurance can be given as to the timing or outcome of the government’s investigations, or that they will not result in a material adverse effect on our business. In addition, we have received requests for medical records and billing information from certain Unified Program Integrity Coordinators or other third parties working on the government’s behalf regarding clinical diagnostic services provided by us to patients enrolled in the Medicare and Medicaid programs. We have responded to all such requests for information.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We assess legal contingencies to determine the degree of probability and range of possible loss for potential accrual in our financial statements. When evaluating legal contingencies, we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may be unsupported, exaggerated or unrelated to possible outcomes, and as such are not meaningful indicators of potential liability. Loss contingencies,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including claims and legal actions arising in the ordinary course of business, are recorded as liabilities when the likelihood of loss is probable and an amount or range of loss can be reasonably estimated. </w:t>
      </w:r>
    </w:p>
    <w:p>
      <w:pPr>
        <w:pStyle w:val="TextBody"/>
        <w:bidi w:val="0"/>
        <w:spacing w:before="20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financial condition and operating results are affected by a number of factors, whether currently known or unknown, including risks specific to us or the healthcare industry as well as risks that affect businesses in general. In addition to the information set forth in this Quarterly Report on Form 10-Q, you should consider carefully the factors discussed in Part I, Item 1A, “Risk Factors” in our Annual Report on Form 10-K for the fiscal year ended December 31, 2025, filed with the SEC on February 24, 2026. The risks and uncertainties disclosed in such Annual Report could materially adversely affect our business, financial condition, cash flows or results of operations and thus our stock price. Except as set forth below, during the second quarter of fiscal 2026, there were no material changes to our previously disclosed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These risk factors may be important to understanding other statements in this Quarterly Report and should be read in conjunction with the unaudited condensed consolidated financial statements and related notes in Part I, Item 1, “</w:t>
      </w:r>
      <w:r>
        <w:rPr>
          <w:rFonts w:ascii="Times New Roman" w:hAnsi="Times New Roman"/>
          <w:i/>
          <w:color w:val="000000"/>
          <w:sz w:val="20"/>
        </w:rPr>
        <w:t>Financial Statements</w:t>
      </w:r>
      <w:r>
        <w:rPr>
          <w:rFonts w:ascii="Times New Roman" w:hAnsi="Times New Roman"/>
          <w:color w:val="000000"/>
          <w:sz w:val="20"/>
        </w:rPr>
        <w:t>” and Part I, Item 2,“</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of this Quarterly Report. Because of such risk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Risks Related to the Proposed Acquisition of Personalis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The proposed acquisition may not be completed, and the merger agreement may be terminated in accordance with its terms.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proposed acquisition is subject to a number of conditions that must be satisfied or waived prior to the completion of the proposed acquisition, including, among others, the approval by Personalis stockholders of the proposal to adopt the merger agreement, the receipt of requisite regulatory approvals and the approval for listing on Nasdaq of the shares of our Class A common stock issuable to Personalis stockholders pursuant to the merger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conditions to the completion of the proposed acquisition may not be satisfied or waived in a timely manner or at all, and, accordingly, the proposed acquisition may be delayed or may not be completed. In addition, if the proposed acquisition is not completed by April 20, 2027, which date may be extended to October 20, 2027 (and potentially to April 20, 2028) in certain circumstances, either we or Personalis may choose not to proceed with the proposed acquisition by terminating the merger agreement, and the parties can mutually decide to terminate the merger agreement at any time, before or after stockholder approval. Personalis may also terminate the merger agreement if, immediately prior to the closing, the volume-weighted average trading price of our Class A common stock is finally determined to be less than $46.00 per share based on the 15 consecutive trading days prior to but not including the last trading day prior to the closing. In addition, we and Personalis may elect to terminate the proposed acquisition in certain other circumstances as set forth in the merger agreement. If the merger agreement is terminated under specified circumstances, Personalis would be required to pay us a termination fee of approximately $76.8 million, and in certain circumstances, we would be required to pay Personalis a termination fee of the same amount.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Failure to complete the proposed acquisition could negatively impact the price of shares of our Class A common stock, as well as our business and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proposed acquisition is not completed for any reason, our business and results of operations may be adversely affected and, without realizing any of the benefits of having completed the proposed acquisition, we would be subject to a number of risks,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experience negative reactions from the financial markets, including negative impacts on the market price of our Class A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experience negative reactions from clients, vendors, and other third parties with whom we do business, which in turn could affect our business operations;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experience negative reactions from employees;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have expended time and resources that could otherwise have been spent on our existing business and the pursuit of other opportunities that could have been beneficial to us, and our ongoing business and results of operations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Uncertainties associated with the proposed acquisition may cause a loss of our and Personalis’ management personnel and other key employees, which could adversely affect the business and operations of the combined company following the proposed acquisition.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of us and Personalis depends on the experience and industry knowledge of its officers and other key employees to execute its business plans. The success of the combined company after the proposed acquisition will depend, in part, on its ability to retain key management personnel and other key employees. Our and Personalis’ current and prospective employees may experience uncertainty about their roles within the combined company following the proposed acquisition or other concerns regarding the timing and completion of the proposed acquisition or the operations of the combined company following the proposed acquisition, any of which may have an adverse effect on our and Personalis’ ability to retain or attract key management and other key personnel. If we or Personalis are unable to retain personnel, including our or Personalis’ key management, who are critical to the future operations of the companies, we and Personalis could face disruptions in our respective operations, loss of existing clients, loss of key information, expertise or know</w:t>
        <w:noBreakHyphen/>
        <w:t xml:space="preserve">how and unanticipated additional recruitment and training costs. In addition, the loss of our and Personalis’ key personnel could diminish the anticipated benefits of the proposed acquisition.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are expected to incur significant costs in connection with the proposed acquisition and integration of the two companies, which may be in excess of those anticipated by 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incurred and expect to continue to incur costs associated with negotiating and completing the proposed acquisition and combining the operations of the two companies. These costs have been, and will continue to be, substantial. The substantial majority of costs will consist of transaction costs related to the proposed acquisition and include, among others, fees paid to financial, legal and accounting advisors, filing fees, employee retention costs and other employment-related costs. Many of these costs will be borne by us even if the proposed acquisition is not completed.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also incur transaction costs related to formulating and implementing integration plans, including facilities, systems and service contract consolidation costs and employment</w:t>
        <w:noBreakHyphen/>
        <w:t>related costs. We will continue to assess the magnitude of these costs, and additional unanticipated costs may be incurred in connection with the proposed acquisition and the integration of the two companies’ businesses. Although we expect that the elimination of duplicative costs, as well as the realization of other synergies related to the integration of the businesses, should allow the combined company to offset integration</w:t>
        <w:noBreakHyphen/>
        <w:t>related costs over time, this net benefit may not be achieved in the near term, or at all. The costs described above, as well as other unanticipated costs and expenses, could adversely affect the results of operations, financial condition and cash flows of the combined company following the completion of the proposed acquisition.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Litigation relating to the proposed acquisition, if any, could result in an injunction preventing the completion of the proposed acquisition and/or substantial costs to 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Securities class action lawsuits and derivative lawsuits are often brought against public companies that have entered into acquisition, merger or other business combination agreements like the merger agreement. Even if such a lawsuit is without merit, defending against these claims can result in substantial costs and divert management time and resources. An adverse judgment could result in monetary damages, which could have a negative impact on our liquidity and financial condition. Lawsuits that may be brought against us, Personalis, or our or Personalis' respective directors could also seek, among other things, injunctive relief or other equitable relief, including a request to rescind parts of the merger agreement already implemented and to otherwise enjoin the parties from consummating the proposed acquisition. If a plaintiff is successful in obtaining an injunction prohibiting completion of the proposed acquisition, that injunction may delay or prevent the proposed acquisition from being completed within the expected timeframe or at all, which may adversely affect our businesses, results of operations, financial condition and cash flows.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The failure to integrate our and Personalis’ businesses and operations successfully in the expected time frame may adversely affect the combined company’s business and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and Personalis have operated and, until the completion of the proposed acquisition, will continue to operate independently. Following the completion of the proposed acquisition, our and Personalis’ businesses may not be integrated successfully. It is possible that the integration process could result in the loss of our or Personalis’ key employees, the loss of clients, service providers, vendors or other business counterparties, the disruption of either company’s or both companies’ ongoing businesses, inconsistencies in standards, controls, procedures and policies, potential unknown liabilities and unforeseen expenses, delays, or regulatory conditions associated with and following completion of the proposed acquisition; or higher</w:t>
        <w:noBreakHyphen/>
        <w:t>than</w:t>
        <w:noBreakHyphen/>
        <w:t>expected integration costs and an overall post</w:t>
        <w:noBreakHyphen/>
        <w:t xml:space="preserve">completion integration process that takes longer than originally anticipated.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at times the attention of certain members of either company’s or both companies’ management and resources may be focused on completion of the proposed acquisition and the integration of the businesses of the two companies and may reduce their availability for day</w:t>
        <w:noBreakHyphen/>
        <w:t>to</w:t>
        <w:noBreakHyphen/>
        <w:t>day business operations or other opportunities that may be beneficial, which may disrupt each company’s ongoing operations and the operations of the combined company.</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The combined company may fail to realize all of the anticipated benefits of the proposed acquisition.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success of the proposed acquisition will depend, in part, on our ability to realize the operating synergies and other benefits from combining our and Personalis’ businesses. The anticipated operating synergies and other benefits of the proposed acquisition may not be realized fully or at all, may take longer to realize than expected, or may result in other adverse effects that we do not currently foresee, in which case, among other things, the proposed acquisition may not generate the expected growth or value for our stockholders. The integration process may, for each of us and Personalis, result in the loss of key employees, the disruption of ongoing businesses or inconsistencies in standards, controls, procedures and policies. In addition, there could be potential unknown liabilities and unforeseen expenses associated with the proposed acquisition that could adversely impact the combined company.</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The future results of the combined company following the proposed acquisition will suffer if the combined company does not effectively manage its expanded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Following the proposed acquisition, the size and complexity of the combined company will increase significantly compared to the separate businesses of each of us and Personalis. The combined company’s future success will depend, in part, upon its ability to manage this expanded business, which will pose substantial challenges for management, including challenges related to the management of a larger number of operations and geographies and associated increased costs and complexity. The combined company may also face increased scrutiny from, and/or additional regulatory requirements of, governmental authorities as a result of the significant increase in the size and complexity of the business. There can be no assurances that the combined company will be successful or that it will realize the expected operating synergies or other benefits currently anticipated from the proposed acquisition.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Our stockholders may not realize a benefit from the proposed acquisition commensurate with the ownership dilution they will experience in connection with the proposed acquisition.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combined company is unable to realize the full strategic and financial benefits currently anticipated from the proposed acquisition, our stockholders will have experienced substantial dilution of their ownership interests in us without receiving any commensurate benefit, or only receiving part of the commensurate benefit to the extent the combined company is able to realize only part of the strategic and financial benefits currently anticipated from the proposed acquisition.</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Convertible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0.75% Convertible Senior Notes due 2030, or the 2030 Notes, and our 0.00% Convertible Senior Notes due 2032, or the 2032 Notes and, together with the 2030 Notes, the Notes, and the issuance of shares of our Class A common stock upon conversion of the Notes, if any, may impact our financial results, result in dilution to our stockholders, create downward pressure on the price of our Class A common stock, and restrict our ability to raise additional capital or to engage in a beneficial takeover.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issued $750.0 million in aggregate principal amount of 2030 Notes in July 2025 and $460.0 million in aggregate principal amount of 2032 Notes in May 2026. We are subject to a variety of risks related to the Notes, such as:</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servicing our debt requires a certain level of cash flow or financing from other sources, and our ability to make scheduled payments of the principal of, and interest or special interest, if any, on, our Notes, or to refinance or repurchase our Notes depends on our future performance, which is subject to economic, financial, competitive and other factors beyond our control;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refinance or repurchase our indebtedness will depend on the capital markets and our financial condition at such time, and if we are unable to engage in any of these activities or engage in these activities on desirable terms, we may be unable to meet the obligations of our Notes;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deliver cash to noteholders upon conversion of their Notes, the payment of cash could adversely affect our liquidity;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shares of our Class A common stock are issued to the holders of the Notes upon conversion, there will be dilution to our stockholders’ equity and the market price of our Class A common stock may decrease due to the additional selling pressure in the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provisions in the indentures governing the Notes may delay or prevent an otherwise beneficial takeover attempt of us;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may from time to time seek to retire or purchase our outstanding debt, including the Notes, through cash purchases and/or exchanges for other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conditional conversion feature of the Notes, if triggered, may adversely affect our financial condition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any portion of the outstanding principal of the Notes as a current rather than long-term liability, which would result in a material reduction of our net working capital.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Capped Call Transactions may affect the value of the Notes and our Class A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issuance of the 2030 Notes and the 2032 Notes, we entered into capped call transactions, or the 2030 Capped Call and the 2032 Capped Call, respectively, and together the Capped Call Transactions, with one of the initial purchasers and certain other financial institutions, or the option counterparties. The Capped Call Transactions cover, subject to customary adjustments, the number of shares of our Class A common stock initially underlying the Notes. The Capped Call Transactions are expected generally to reduce the potential dilution to our Class A common stock upon any conversion of Notes and/or offset any cash payments we are required to make in excess of the principal amount of converted Notes, as the case may be, with such reduction and/or offset subject to a cap.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establishing their initial hedges of the Capped Call Transactions the option counterparties or their respective affiliates likely entered into various derivative transactions with respect to our Class A common stock and/or purchased shares of our Class A common stock concurrently with or shortly after the pricing of the Notes, including with, or from, as the case may be, certain investors in the Notes. 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issuance of the Notes and prior to the maturity of the Notes (and are likely to do so during the 20 trading day period beginning on the 21st scheduled trading day prior to the maturity date of the Notes, or, to the extent we exercise the relevant election under the Capped Call Transactions, following any repurchase, redemption, or conversion of the Notes). The potential effect, if any, of these transactions and activities on the market price of our Class A common stock or the Notes will depend in part on market conditions and cannot be ascertained at this time. Any of these activities could adversely affect the value of our Class A common stock and the value of the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counterparty risk with respect to the Capped Call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option counterparties are financial institutions, and we will be subject to the risk that any or all of them might default under the Capped Call Transactions. Our exposure to the credit risk of the option counterparties will not be secured by any collateral.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Global economic conditions have from time to time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In addition, upon a default by an option counterparty, we may suffer more dilution than we currently anticipate with respect to our Class A common stock. We can provide no assurances as to the financial stability or viability of the option counterparties.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terms of the Capped Call Transactions may be subject to adjustment in the event of certain corporate and other transactions or events. The Capped Call Transactions may not operate as we anticipate in the event that terms of such instruments are adjusted as a result of transactions in the future or in the event of other unanticipated developments that may adversely affect the value of the Capped Call Transactions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7" w:name="item_4_mine_safety_disclosures"/>
      <w:bookmarkEnd w:id="17"/>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8" w:name="item_5_othe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Disclosure of Trading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fiscal quarter ended June 30, 2026, none of our directors or officers (as defined in Rule 16a-1(f) under the Exchange Act) adopted or terminated a “Rule 10b5-1 trading arrangement” or a “non-Rule 10b5-1 trading arrangement,” as each term is defined in Item 408 of Regulation S-K, except as set forth in the table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7"/>
        <w:gridCol w:w="146"/>
        <w:gridCol w:w="923"/>
        <w:gridCol w:w="146"/>
        <w:gridCol w:w="1060"/>
        <w:gridCol w:w="146"/>
        <w:gridCol w:w="733"/>
        <w:gridCol w:w="146"/>
        <w:gridCol w:w="837"/>
        <w:gridCol w:w="146"/>
        <w:gridCol w:w="1443"/>
        <w:gridCol w:w="146"/>
        <w:gridCol w:w="1336"/>
      </w:tblGrid>
      <w:tr>
        <w:trPr/>
        <w:tc>
          <w:tcPr>
            <w:tcW w:w="299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9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16"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Type of Trading</w:t>
            </w:r>
            <w:r>
              <w:rPr>
                <w:rFonts w:ascii="Times New Roman" w:hAnsi="Times New Roman"/>
                <w:color w:val="000000"/>
                <w:sz w:val="16"/>
              </w:rPr>
              <w:br/>
            </w:r>
            <w:r>
              <w:rPr>
                <w:rFonts w:ascii="Times New Roman" w:hAnsi="Times New Roman"/>
                <w:b/>
                <w:color w:val="000000"/>
                <w:sz w:val="16"/>
              </w:rPr>
              <w:t>Arrangement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9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Position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Action</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Date</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Rule</w:t>
              <w:br/>
              <w:t>10b5-1*</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Non-Rule</w:t>
              <w:br/>
              <w:t>10b5-1**</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Shares of</w:t>
              <w:br/>
              <w:t>Class A common</w:t>
              <w:br/>
              <w:t>stock to be Sold</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Expiration Date</w:t>
            </w:r>
            <w:r>
              <w:rPr>
                <w:rFonts w:ascii="Times New Roman" w:hAnsi="Times New Roman"/>
                <w:color w:val="000000"/>
                <w:sz w:val="16"/>
              </w:rPr>
              <w:t xml:space="preserve"> </w:t>
            </w:r>
          </w:p>
        </w:tc>
      </w:tr>
      <w:tr>
        <w:trPr/>
        <w:tc>
          <w:tcPr>
            <w:tcW w:w="2997"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Nadja West, Director</w:t>
            </w:r>
          </w:p>
        </w:tc>
        <w:tc>
          <w:tcPr>
            <w:tcW w:w="146" w:type="dxa"/>
            <w:tcBorders/>
            <w:shd w:fill="CFF0FA" w:val="clear"/>
            <w:tcMar>
              <w:top w:w="0" w:type="dxa"/>
              <w:left w:w="0" w:type="dxa"/>
              <w:bottom w:w="0" w:type="dxa"/>
              <w:right w:w="0" w:type="dxa"/>
            </w:tcMar>
            <w:vAlign w:val="center"/>
          </w:tcPr>
          <w:p>
            <w:pPr>
              <w:pStyle w:val="TableContents"/>
              <w:bidi w:val="0"/>
              <w:spacing w:before="0" w:after="20"/>
              <w:jc w:val="right"/>
              <w:rPr/>
            </w:pPr>
            <w:r>
              <w:rPr/>
              <w:t> </w:t>
            </w:r>
          </w:p>
        </w:tc>
        <w:tc>
          <w:tcPr>
            <w:tcW w:w="923"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Adoption</w:t>
            </w:r>
            <w:r>
              <w:rPr>
                <w:rFonts w:ascii="Times New Roman" w:hAnsi="Times New Roman"/>
                <w:color w:val="000000"/>
                <w:sz w:val="12"/>
              </w:rPr>
              <w:t>(1)</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15, 2026</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443"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6,000</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 2027</w:t>
            </w:r>
          </w:p>
        </w:tc>
      </w:tr>
      <w:tr>
        <w:trPr/>
        <w:tc>
          <w:tcPr>
            <w:tcW w:w="29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Ryan Bartolucci, Chief Accounting Officer</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Adoption</w:t>
            </w:r>
            <w:r>
              <w:rPr>
                <w:rFonts w:ascii="Times New Roman" w:hAnsi="Times New Roman"/>
                <w:color w:val="000000"/>
                <w:sz w:val="12"/>
              </w:rPr>
              <w:t>(1)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5,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To be determined</w:t>
            </w:r>
            <w:r>
              <w:rPr>
                <w:rFonts w:ascii="Times New Roman" w:hAnsi="Times New Roman"/>
                <w:color w:val="000000"/>
                <w:sz w:val="12"/>
              </w:rPr>
              <w:t>(2)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15, 2027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Contract, instruction or written plan intended to satisfy the affirmative defense conditions of Rule 10b5-1(c) under the Exchange Act. </w:t>
      </w:r>
    </w:p>
    <w:p>
      <w:pPr>
        <w:pStyle w:val="TextBody"/>
        <w:bidi w:val="0"/>
        <w:jc w:val="left"/>
        <w:rPr>
          <w:rFonts w:ascii="Times New Roman" w:hAnsi="Times New Roman"/>
          <w:color w:val="000000"/>
          <w:sz w:val="20"/>
        </w:rPr>
      </w:pPr>
      <w:r>
        <w:rPr>
          <w:rFonts w:ascii="Times New Roman" w:hAnsi="Times New Roman"/>
          <w:color w:val="000000"/>
          <w:sz w:val="20"/>
        </w:rPr>
        <w:t xml:space="preserve">** “Non-Rule 10b5-1 trading arrangement” as defined in Item 408(c) of Regulation S-K under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under this Rule 10b5-1 trading plan will not commence until completion of the required cooling off period under Rule 10b5-1.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Rule 10b5-1 trading plan provides for sales of (i) 13,412 shares of Class A common stock and (ii) up to 100% of the net number of shares received upon vesting of an aggregate of 12,749 RSUs, after giving effect to the withholding or sale of a portion of such shares to satisfy tax withholding obligations. Accordingly, the aggregate maximum number of shares that may be sold pursuant to this trading arrangement is dependent on the amount of tax withholding required upon the vesting of RSUs, and, therefore, is indeterminable at this time.</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29, 2026, the Compensation Committee of the Board of Directors of the Company approved the award of 40,000 restricted stock units to both James Rogers, Chief Financial Officer, and Andrew Polovin, EVP, General Counsel and Secretary, each of which vests in eight equal quarterly installments.</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1"/>
        <w:gridCol w:w="282"/>
        <w:gridCol w:w="4817"/>
        <w:gridCol w:w="282"/>
        <w:gridCol w:w="522"/>
        <w:gridCol w:w="282"/>
        <w:gridCol w:w="858"/>
        <w:gridCol w:w="282"/>
        <w:gridCol w:w="642"/>
        <w:gridCol w:w="282"/>
        <w:gridCol w:w="1155"/>
      </w:tblGrid>
      <w:tr>
        <w:trPr/>
        <w:tc>
          <w:tcPr>
            <w:tcW w:w="801" w:type="dxa"/>
            <w:tcBorders/>
            <w:shd w:fill="FFFFFF" w:val="clear"/>
            <w:vAlign w:val="center"/>
          </w:tcPr>
          <w:p>
            <w:pPr>
              <w:pStyle w:val="TableContents"/>
              <w:bidi w:val="0"/>
              <w:spacing w:before="0" w:after="283"/>
              <w:jc w:val="left"/>
              <w:rPr>
                <w:sz w:val="4"/>
                <w:szCs w:val="4"/>
              </w:rPr>
            </w:pPr>
            <w:r>
              <w:rPr>
                <w:sz w:val="4"/>
                <w:szCs w:val="4"/>
              </w:rPr>
            </w:r>
          </w:p>
        </w:tc>
        <w:tc>
          <w:tcPr>
            <w:tcW w:w="282" w:type="dxa"/>
            <w:tcBorders/>
            <w:shd w:fill="FFFFFF" w:val="clear"/>
            <w:vAlign w:val="center"/>
          </w:tcPr>
          <w:p>
            <w:pPr>
              <w:pStyle w:val="TableContents"/>
              <w:bidi w:val="0"/>
              <w:spacing w:before="0" w:after="283"/>
              <w:jc w:val="left"/>
              <w:rPr>
                <w:sz w:val="4"/>
                <w:szCs w:val="4"/>
              </w:rPr>
            </w:pPr>
            <w:r>
              <w:rPr>
                <w:sz w:val="4"/>
                <w:szCs w:val="4"/>
              </w:rPr>
            </w:r>
          </w:p>
        </w:tc>
        <w:tc>
          <w:tcPr>
            <w:tcW w:w="4817" w:type="dxa"/>
            <w:tcBorders/>
            <w:shd w:fill="FFFFFF" w:val="clear"/>
            <w:vAlign w:val="center"/>
          </w:tcPr>
          <w:p>
            <w:pPr>
              <w:pStyle w:val="TableContents"/>
              <w:bidi w:val="0"/>
              <w:spacing w:before="0" w:after="283"/>
              <w:jc w:val="left"/>
              <w:rPr>
                <w:sz w:val="4"/>
                <w:szCs w:val="4"/>
              </w:rPr>
            </w:pPr>
            <w:r>
              <w:rPr>
                <w:sz w:val="4"/>
                <w:szCs w:val="4"/>
              </w:rPr>
            </w:r>
          </w:p>
        </w:tc>
        <w:tc>
          <w:tcPr>
            <w:tcW w:w="282" w:type="dxa"/>
            <w:tcBorders/>
            <w:shd w:fill="FFFFFF" w:val="clear"/>
            <w:vAlign w:val="center"/>
          </w:tcPr>
          <w:p>
            <w:pPr>
              <w:pStyle w:val="TableContents"/>
              <w:bidi w:val="0"/>
              <w:spacing w:before="0" w:after="283"/>
              <w:jc w:val="left"/>
              <w:rPr>
                <w:sz w:val="4"/>
                <w:szCs w:val="4"/>
              </w:rPr>
            </w:pPr>
            <w:r>
              <w:rPr>
                <w:sz w:val="4"/>
                <w:szCs w:val="4"/>
              </w:rPr>
            </w:r>
          </w:p>
        </w:tc>
        <w:tc>
          <w:tcPr>
            <w:tcW w:w="522" w:type="dxa"/>
            <w:tcBorders/>
            <w:shd w:fill="FFFFFF" w:val="clear"/>
            <w:vAlign w:val="center"/>
          </w:tcPr>
          <w:p>
            <w:pPr>
              <w:pStyle w:val="TableContents"/>
              <w:bidi w:val="0"/>
              <w:spacing w:before="0" w:after="283"/>
              <w:jc w:val="left"/>
              <w:rPr>
                <w:sz w:val="4"/>
                <w:szCs w:val="4"/>
              </w:rPr>
            </w:pPr>
            <w:r>
              <w:rPr>
                <w:sz w:val="4"/>
                <w:szCs w:val="4"/>
              </w:rPr>
            </w:r>
          </w:p>
        </w:tc>
        <w:tc>
          <w:tcPr>
            <w:tcW w:w="282" w:type="dxa"/>
            <w:tcBorders/>
            <w:shd w:fill="FFFFFF" w:val="clear"/>
            <w:vAlign w:val="center"/>
          </w:tcPr>
          <w:p>
            <w:pPr>
              <w:pStyle w:val="TableContents"/>
              <w:bidi w:val="0"/>
              <w:spacing w:before="0" w:after="283"/>
              <w:jc w:val="left"/>
              <w:rPr>
                <w:sz w:val="4"/>
                <w:szCs w:val="4"/>
              </w:rPr>
            </w:pPr>
            <w:r>
              <w:rPr>
                <w:sz w:val="4"/>
                <w:szCs w:val="4"/>
              </w:rPr>
            </w:r>
          </w:p>
        </w:tc>
        <w:tc>
          <w:tcPr>
            <w:tcW w:w="858" w:type="dxa"/>
            <w:tcBorders/>
            <w:shd w:fill="FFFFFF" w:val="clear"/>
            <w:vAlign w:val="center"/>
          </w:tcPr>
          <w:p>
            <w:pPr>
              <w:pStyle w:val="TableContents"/>
              <w:bidi w:val="0"/>
              <w:spacing w:before="0" w:after="283"/>
              <w:jc w:val="left"/>
              <w:rPr>
                <w:sz w:val="4"/>
                <w:szCs w:val="4"/>
              </w:rPr>
            </w:pPr>
            <w:r>
              <w:rPr>
                <w:sz w:val="4"/>
                <w:szCs w:val="4"/>
              </w:rPr>
            </w:r>
          </w:p>
        </w:tc>
        <w:tc>
          <w:tcPr>
            <w:tcW w:w="282" w:type="dxa"/>
            <w:tcBorders/>
            <w:shd w:fill="FFFFFF" w:val="clear"/>
            <w:vAlign w:val="center"/>
          </w:tcPr>
          <w:p>
            <w:pPr>
              <w:pStyle w:val="TableContents"/>
              <w:bidi w:val="0"/>
              <w:spacing w:before="0" w:after="283"/>
              <w:jc w:val="left"/>
              <w:rPr>
                <w:sz w:val="4"/>
                <w:szCs w:val="4"/>
              </w:rPr>
            </w:pPr>
            <w:r>
              <w:rPr>
                <w:sz w:val="4"/>
                <w:szCs w:val="4"/>
              </w:rPr>
            </w:r>
          </w:p>
        </w:tc>
        <w:tc>
          <w:tcPr>
            <w:tcW w:w="642" w:type="dxa"/>
            <w:tcBorders/>
            <w:shd w:fill="FFFFFF" w:val="clear"/>
            <w:vAlign w:val="center"/>
          </w:tcPr>
          <w:p>
            <w:pPr>
              <w:pStyle w:val="TableContents"/>
              <w:bidi w:val="0"/>
              <w:spacing w:before="0" w:after="283"/>
              <w:jc w:val="left"/>
              <w:rPr>
                <w:sz w:val="4"/>
                <w:szCs w:val="4"/>
              </w:rPr>
            </w:pPr>
            <w:r>
              <w:rPr>
                <w:sz w:val="4"/>
                <w:szCs w:val="4"/>
              </w:rPr>
            </w:r>
          </w:p>
        </w:tc>
        <w:tc>
          <w:tcPr>
            <w:tcW w:w="282" w:type="dxa"/>
            <w:tcBorders/>
            <w:shd w:fill="FFFFFF" w:val="clear"/>
            <w:vAlign w:val="center"/>
          </w:tcPr>
          <w:p>
            <w:pPr>
              <w:pStyle w:val="TableContents"/>
              <w:bidi w:val="0"/>
              <w:spacing w:before="0" w:after="283"/>
              <w:jc w:val="left"/>
              <w:rPr>
                <w:sz w:val="4"/>
                <w:szCs w:val="4"/>
              </w:rPr>
            </w:pPr>
            <w:r>
              <w:rPr>
                <w:sz w:val="4"/>
                <w:szCs w:val="4"/>
              </w:rPr>
            </w:r>
          </w:p>
        </w:tc>
        <w:tc>
          <w:tcPr>
            <w:tcW w:w="1155" w:type="dxa"/>
            <w:tcBorders/>
            <w:shd w:fill="FFFFFF" w:val="cle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402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Incorporated by Reference</w:t>
            </w:r>
            <w:r>
              <w:rPr>
                <w:rFonts w:ascii="Times New Roman" w:hAnsi="Times New Roman"/>
                <w:color w:val="000000"/>
                <w:sz w:val="16"/>
              </w:rPr>
              <w:t xml:space="preserve"> </w:t>
            </w:r>
          </w:p>
        </w:tc>
      </w:tr>
      <w:tr>
        <w:trPr/>
        <w:tc>
          <w:tcPr>
            <w:tcW w:w="8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8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 Date</w:t>
            </w:r>
            <w:r>
              <w:rPr>
                <w:rFonts w:ascii="Times New Roman" w:hAnsi="Times New Roman"/>
                <w:color w:val="000000"/>
                <w:sz w:val="16"/>
              </w:rPr>
              <w:t xml:space="preserve"> </w:t>
            </w:r>
          </w:p>
        </w:tc>
      </w:tr>
      <w:tr>
        <w:trPr/>
        <w:tc>
          <w:tcPr>
            <w:tcW w:w="8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2.1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2">
              <w:r>
                <w:rPr>
                  <w:rStyle w:val="InternetLink"/>
                  <w:rFonts w:ascii="Times New Roman" w:hAnsi="Times New Roman"/>
                  <w:color w:val="0000FF"/>
                  <w:sz w:val="20"/>
                  <w:u w:val="single"/>
                </w:rPr>
                <w:t>Plan of Conversion.</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2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2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2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2025</w:t>
            </w:r>
          </w:p>
        </w:tc>
      </w:tr>
      <w:tr>
        <w:trPr/>
        <w:tc>
          <w:tcPr>
            <w:tcW w:w="801"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120" w:after="283"/>
              <w:ind w:left="0" w:right="0" w:firstLine="136"/>
              <w:jc w:val="left"/>
              <w:rPr>
                <w:rFonts w:ascii="Times New Roman" w:hAnsi="Times New Roman"/>
                <w:color w:val="000000"/>
                <w:sz w:val="20"/>
              </w:rPr>
            </w:pPr>
            <w:r>
              <w:rPr>
                <w:rFonts w:ascii="Times New Roman" w:hAnsi="Times New Roman"/>
                <w:color w:val="000000"/>
                <w:sz w:val="20"/>
              </w:rPr>
              <w:t>2.2#</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3">
              <w:r>
                <w:rPr>
                  <w:rStyle w:val="InternetLink"/>
                  <w:rFonts w:ascii="Times New Roman" w:hAnsi="Times New Roman"/>
                  <w:color w:val="0000FF"/>
                  <w:sz w:val="20"/>
                  <w:u w:val="single"/>
                </w:rPr>
                <w:t>Agreement and Plan of Merger, dated as of July 20, 2026 by and among Tempus AI, Inc., Personalis, Inc., Aviary Development, Inc. and Toucan Development, LLC.</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120" w:after="283"/>
              <w:ind w:left="0" w:right="0" w:firstLine="136"/>
              <w:jc w:val="center"/>
              <w:rPr>
                <w:rFonts w:ascii="Times New Roman" w:hAnsi="Times New Roman"/>
                <w:color w:val="000000"/>
                <w:sz w:val="20"/>
              </w:rPr>
            </w:pPr>
            <w:r>
              <w:rPr>
                <w:rFonts w:ascii="Times New Roman" w:hAnsi="Times New Roman"/>
                <w:color w:val="000000"/>
                <w:sz w:val="20"/>
              </w:rPr>
              <w:t>8-K</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136"/>
              <w:jc w:val="center"/>
              <w:rPr>
                <w:rFonts w:ascii="Times New Roman" w:hAnsi="Times New Roman"/>
                <w:color w:val="000000"/>
                <w:sz w:val="20"/>
              </w:rPr>
            </w:pPr>
            <w:r>
              <w:rPr>
                <w:rFonts w:ascii="Times New Roman" w:hAnsi="Times New Roman"/>
                <w:color w:val="000000"/>
                <w:sz w:val="20"/>
              </w:rPr>
              <w:t>001-42130</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center"/>
              <w:rPr/>
            </w:pPr>
            <w:r>
              <w:rPr/>
              <w:t> </w:t>
            </w:r>
          </w:p>
        </w:tc>
        <w:tc>
          <w:tcPr>
            <w:tcW w:w="642" w:type="dxa"/>
            <w:tcBorders/>
            <w:tcMar>
              <w:top w:w="0" w:type="dxa"/>
              <w:left w:w="0" w:type="dxa"/>
              <w:bottom w:w="0" w:type="dxa"/>
              <w:right w:w="0" w:type="dxa"/>
            </w:tcMar>
            <w:vAlign w:val="center"/>
          </w:tcPr>
          <w:p>
            <w:pPr>
              <w:pStyle w:val="TableContents"/>
              <w:bidi w:val="0"/>
              <w:spacing w:before="120" w:after="283"/>
              <w:ind w:left="0" w:right="0" w:firstLine="136"/>
              <w:jc w:val="center"/>
              <w:rPr>
                <w:rFonts w:ascii="Times New Roman" w:hAnsi="Times New Roman"/>
                <w:color w:val="000000"/>
                <w:sz w:val="20"/>
              </w:rPr>
            </w:pPr>
            <w:r>
              <w:rPr>
                <w:rFonts w:ascii="Times New Roman" w:hAnsi="Times New Roman"/>
                <w:color w:val="000000"/>
                <w:sz w:val="20"/>
              </w:rPr>
              <w:t>2.1</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center"/>
              <w:rPr/>
            </w:pPr>
            <w:r>
              <w:rPr/>
              <w:t> </w:t>
            </w:r>
          </w:p>
        </w:tc>
        <w:tc>
          <w:tcPr>
            <w:tcW w:w="1155" w:type="dxa"/>
            <w:tcBorders/>
            <w:tcMar>
              <w:top w:w="0" w:type="dxa"/>
              <w:left w:w="0" w:type="dxa"/>
              <w:bottom w:w="0" w:type="dxa"/>
              <w:right w:w="0" w:type="dxa"/>
            </w:tcMar>
            <w:vAlign w:val="center"/>
          </w:tcPr>
          <w:p>
            <w:pPr>
              <w:pStyle w:val="TableContents"/>
              <w:bidi w:val="0"/>
              <w:spacing w:before="120" w:after="283"/>
              <w:ind w:left="0" w:right="0" w:firstLine="136"/>
              <w:jc w:val="center"/>
              <w:rPr>
                <w:rFonts w:ascii="Times New Roman" w:hAnsi="Times New Roman"/>
                <w:color w:val="000000"/>
                <w:sz w:val="20"/>
              </w:rPr>
            </w:pPr>
            <w:r>
              <w:rPr>
                <w:rFonts w:ascii="Times New Roman" w:hAnsi="Times New Roman"/>
                <w:color w:val="000000"/>
                <w:sz w:val="20"/>
              </w:rPr>
              <w:t>July 20, 2026</w:t>
            </w:r>
          </w:p>
        </w:tc>
      </w:tr>
      <w:tr>
        <w:trPr/>
        <w:tc>
          <w:tcPr>
            <w:tcW w:w="801"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w:t>
            </w:r>
          </w:p>
          <w:p>
            <w:pPr>
              <w:pStyle w:val="TableContents"/>
              <w:bidi w:val="0"/>
              <w:spacing w:before="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4">
              <w:r>
                <w:rPr>
                  <w:rStyle w:val="InternetLink"/>
                  <w:rFonts w:ascii="Times New Roman" w:hAnsi="Times New Roman"/>
                  <w:color w:val="0000FF"/>
                  <w:sz w:val="20"/>
                  <w:u w:val="single"/>
                </w:rPr>
                <w:t>Amended and Restated Articles of Incorporation of the Registrant.</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282"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282"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282"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4, 2025</w:t>
            </w:r>
          </w:p>
        </w:tc>
      </w:tr>
      <w:tr>
        <w:trPr/>
        <w:tc>
          <w:tcPr>
            <w:tcW w:w="801"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3.2</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5">
              <w:r>
                <w:rPr>
                  <w:rStyle w:val="InternetLink"/>
                  <w:rFonts w:ascii="Times New Roman" w:hAnsi="Times New Roman"/>
                  <w:color w:val="0000FF"/>
                  <w:sz w:val="20"/>
                  <w:u w:val="single"/>
                </w:rPr>
                <w:t>Amended and Restated Bylaws of the Registrant.</w:t>
              </w:r>
            </w:hyperlink>
            <w:hyperlink r:id="rId6">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2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2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2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2025</w:t>
            </w:r>
          </w:p>
        </w:tc>
      </w:tr>
      <w:tr>
        <w:trPr/>
        <w:tc>
          <w:tcPr>
            <w:tcW w:w="801"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120" w:after="283"/>
              <w:ind w:left="0" w:right="0" w:firstLine="136"/>
              <w:jc w:val="left"/>
              <w:rPr>
                <w:rFonts w:ascii="Times New Roman" w:hAnsi="Times New Roman"/>
                <w:color w:val="000000"/>
                <w:sz w:val="20"/>
              </w:rPr>
            </w:pPr>
            <w:r>
              <w:rPr>
                <w:rFonts w:ascii="Times New Roman" w:hAnsi="Times New Roman"/>
                <w:color w:val="000000"/>
                <w:sz w:val="20"/>
              </w:rPr>
              <w:t>4.1</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7">
              <w:r>
                <w:rPr>
                  <w:rStyle w:val="InternetLink"/>
                  <w:rFonts w:ascii="Times New Roman" w:hAnsi="Times New Roman"/>
                  <w:color w:val="0000FF"/>
                  <w:sz w:val="20"/>
                  <w:u w:val="single"/>
                </w:rPr>
                <w:t>Indenture, dated as of May 12, 2026, by and between Tempus AI, Inc. and U.S. Bank Trust Company, National Association, as Trustee.</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120" w:after="283"/>
              <w:ind w:left="0" w:right="0" w:firstLine="136"/>
              <w:jc w:val="center"/>
              <w:rPr>
                <w:rFonts w:ascii="Times New Roman" w:hAnsi="Times New Roman"/>
                <w:color w:val="000000"/>
                <w:sz w:val="20"/>
              </w:rPr>
            </w:pPr>
            <w:r>
              <w:rPr>
                <w:rFonts w:ascii="Times New Roman" w:hAnsi="Times New Roman"/>
                <w:color w:val="000000"/>
                <w:sz w:val="20"/>
              </w:rPr>
              <w:t>8-K</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136"/>
              <w:jc w:val="center"/>
              <w:rPr>
                <w:rFonts w:ascii="Times New Roman" w:hAnsi="Times New Roman"/>
                <w:color w:val="000000"/>
                <w:sz w:val="20"/>
              </w:rPr>
            </w:pPr>
            <w:r>
              <w:rPr>
                <w:rFonts w:ascii="Times New Roman" w:hAnsi="Times New Roman"/>
                <w:color w:val="000000"/>
                <w:sz w:val="20"/>
              </w:rPr>
              <w:t>001-42130</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642" w:type="dxa"/>
            <w:tcBorders/>
            <w:tcMar>
              <w:top w:w="0" w:type="dxa"/>
              <w:left w:w="0" w:type="dxa"/>
              <w:bottom w:w="0" w:type="dxa"/>
              <w:right w:w="0" w:type="dxa"/>
            </w:tcMar>
            <w:vAlign w:val="center"/>
          </w:tcPr>
          <w:p>
            <w:pPr>
              <w:pStyle w:val="TableContents"/>
              <w:bidi w:val="0"/>
              <w:spacing w:before="120" w:after="283"/>
              <w:ind w:left="0" w:right="0" w:firstLine="136"/>
              <w:jc w:val="center"/>
              <w:rPr>
                <w:rFonts w:ascii="Times New Roman" w:hAnsi="Times New Roman"/>
                <w:color w:val="000000"/>
                <w:sz w:val="20"/>
              </w:rPr>
            </w:pPr>
            <w:r>
              <w:rPr>
                <w:rFonts w:ascii="Times New Roman" w:hAnsi="Times New Roman"/>
                <w:color w:val="000000"/>
                <w:sz w:val="20"/>
              </w:rPr>
              <w:t>4.1</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1155" w:type="dxa"/>
            <w:tcBorders/>
            <w:tcMar>
              <w:top w:w="0" w:type="dxa"/>
              <w:left w:w="0" w:type="dxa"/>
              <w:bottom w:w="0" w:type="dxa"/>
              <w:right w:w="0" w:type="dxa"/>
            </w:tcMar>
            <w:vAlign w:val="center"/>
          </w:tcPr>
          <w:p>
            <w:pPr>
              <w:pStyle w:val="TableContents"/>
              <w:bidi w:val="0"/>
              <w:spacing w:before="120" w:after="283"/>
              <w:ind w:left="0" w:right="0" w:firstLine="136"/>
              <w:jc w:val="center"/>
              <w:rPr>
                <w:rFonts w:ascii="Times New Roman" w:hAnsi="Times New Roman"/>
                <w:color w:val="000000"/>
                <w:sz w:val="20"/>
              </w:rPr>
            </w:pPr>
            <w:r>
              <w:rPr>
                <w:rFonts w:ascii="Times New Roman" w:hAnsi="Times New Roman"/>
                <w:color w:val="000000"/>
                <w:sz w:val="20"/>
              </w:rPr>
              <w:t>May 13, 2026</w:t>
            </w:r>
          </w:p>
        </w:tc>
      </w:tr>
      <w:tr>
        <w:trPr/>
        <w:tc>
          <w:tcPr>
            <w:tcW w:w="801"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801" w:type="dxa"/>
            <w:tcBorders/>
            <w:tcMar>
              <w:top w:w="0" w:type="dxa"/>
              <w:left w:w="0" w:type="dxa"/>
              <w:bottom w:w="0" w:type="dxa"/>
              <w:right w:w="0" w:type="dxa"/>
            </w:tcMar>
            <w:vAlign w:val="center"/>
          </w:tcPr>
          <w:p>
            <w:pPr>
              <w:pStyle w:val="TableContents"/>
              <w:bidi w:val="0"/>
              <w:spacing w:before="120" w:after="283"/>
              <w:ind w:left="0" w:right="0" w:firstLine="136"/>
              <w:jc w:val="left"/>
              <w:rPr>
                <w:rFonts w:ascii="Times New Roman" w:hAnsi="Times New Roman"/>
                <w:color w:val="000000"/>
                <w:sz w:val="20"/>
              </w:rPr>
            </w:pPr>
            <w:r>
              <w:rPr>
                <w:rFonts w:ascii="Times New Roman" w:hAnsi="Times New Roman"/>
                <w:color w:val="000000"/>
                <w:sz w:val="20"/>
              </w:rPr>
              <w:t>4.2</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120" w:after="283"/>
              <w:ind w:left="0" w:right="0" w:firstLine="136"/>
              <w:jc w:val="left"/>
              <w:rPr/>
            </w:pPr>
            <w:hyperlink r:id="rId8">
              <w:r>
                <w:rPr>
                  <w:rStyle w:val="InternetLink"/>
                  <w:rFonts w:ascii="Times New Roman" w:hAnsi="Times New Roman"/>
                  <w:color w:val="0000FF"/>
                  <w:sz w:val="20"/>
                  <w:u w:val="single"/>
                </w:rPr>
                <w:t>Form of Global Note, representing Tempus AI, Inc.’s 0.00% Convertible Senior Notes due 2032 (included as Exhibit A to the Indenture filed as Exhibit 4.1).</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120" w:after="283"/>
              <w:ind w:left="0" w:right="0" w:firstLine="136"/>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642" w:type="dxa"/>
            <w:tcBorders/>
            <w:tcMar>
              <w:top w:w="0" w:type="dxa"/>
              <w:left w:w="0" w:type="dxa"/>
              <w:bottom w:w="0" w:type="dxa"/>
              <w:right w:w="0" w:type="dxa"/>
            </w:tcMar>
            <w:vAlign w:val="center"/>
          </w:tcPr>
          <w:p>
            <w:pPr>
              <w:pStyle w:val="TableContents"/>
              <w:bidi w:val="0"/>
              <w:spacing w:before="120" w:after="283"/>
              <w:ind w:left="0" w:right="0" w:firstLine="136"/>
              <w:jc w:val="center"/>
              <w:rPr>
                <w:rFonts w:ascii="Times New Roman" w:hAnsi="Times New Roman"/>
                <w:color w:val="000000"/>
                <w:sz w:val="20"/>
              </w:rPr>
            </w:pPr>
            <w:r>
              <w:rPr>
                <w:rFonts w:ascii="Times New Roman" w:hAnsi="Times New Roman"/>
                <w:color w:val="000000"/>
                <w:sz w:val="20"/>
              </w:rPr>
              <w:t>4.2</w:t>
            </w:r>
          </w:p>
          <w:p>
            <w:pPr>
              <w:pStyle w:val="TableContents"/>
              <w:bidi w:val="0"/>
              <w:spacing w:before="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1155" w:type="dxa"/>
            <w:tcBorders/>
            <w:tcMar>
              <w:top w:w="0" w:type="dxa"/>
              <w:left w:w="0" w:type="dxa"/>
              <w:bottom w:w="0" w:type="dxa"/>
              <w:right w:w="0" w:type="dxa"/>
            </w:tcMar>
            <w:vAlign w:val="center"/>
          </w:tcPr>
          <w:p>
            <w:pPr>
              <w:pStyle w:val="TableContents"/>
              <w:bidi w:val="0"/>
              <w:spacing w:before="120" w:after="283"/>
              <w:ind w:left="0" w:right="0" w:firstLine="136"/>
              <w:jc w:val="center"/>
              <w:rPr>
                <w:rFonts w:ascii="Times New Roman" w:hAnsi="Times New Roman"/>
                <w:color w:val="000000"/>
                <w:sz w:val="20"/>
              </w:rPr>
            </w:pPr>
            <w:r>
              <w:rPr>
                <w:rFonts w:ascii="Times New Roman" w:hAnsi="Times New Roman"/>
                <w:color w:val="000000"/>
                <w:sz w:val="20"/>
              </w:rPr>
              <w:t>May 13, 2026</w:t>
            </w:r>
          </w:p>
          <w:p>
            <w:pPr>
              <w:pStyle w:val="TableContents"/>
              <w:bidi w:val="0"/>
              <w:spacing w:before="0" w:after="283"/>
              <w:ind w:left="0" w:right="0" w:firstLine="136"/>
              <w:jc w:val="center"/>
              <w:rPr/>
            </w:pPr>
            <w:r>
              <w:rPr/>
              <w:t> </w:t>
            </w:r>
          </w:p>
        </w:tc>
      </w:tr>
      <w:tr>
        <w:trPr/>
        <w:tc>
          <w:tcPr>
            <w:tcW w:w="801"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801" w:type="dxa"/>
            <w:tcBorders/>
            <w:tcMar>
              <w:top w:w="0" w:type="dxa"/>
              <w:left w:w="0" w:type="dxa"/>
              <w:bottom w:w="0" w:type="dxa"/>
              <w:right w:w="0" w:type="dxa"/>
            </w:tcMar>
            <w:vAlign w:val="center"/>
          </w:tcPr>
          <w:p>
            <w:pPr>
              <w:pStyle w:val="TableContents"/>
              <w:bidi w:val="0"/>
              <w:spacing w:before="120" w:after="283"/>
              <w:ind w:left="0" w:right="0" w:firstLine="136"/>
              <w:jc w:val="left"/>
              <w:rPr>
                <w:rFonts w:ascii="Times New Roman" w:hAnsi="Times New Roman"/>
                <w:color w:val="000000"/>
                <w:sz w:val="20"/>
              </w:rPr>
            </w:pPr>
            <w:r>
              <w:rPr>
                <w:rFonts w:ascii="Times New Roman" w:hAnsi="Times New Roman"/>
                <w:color w:val="000000"/>
                <w:sz w:val="20"/>
              </w:rPr>
              <w:t>10.1</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120" w:after="283"/>
              <w:ind w:left="0" w:right="0" w:firstLine="136"/>
              <w:jc w:val="left"/>
              <w:rPr/>
            </w:pPr>
            <w:hyperlink r:id="rId9">
              <w:r>
                <w:rPr>
                  <w:rStyle w:val="InternetLink"/>
                  <w:rFonts w:ascii="Times New Roman" w:hAnsi="Times New Roman"/>
                  <w:color w:val="0000FF"/>
                  <w:sz w:val="20"/>
                  <w:u w:val="single"/>
                </w:rPr>
                <w:t>Form of Confirmation for Capped Call Transactions.</w:t>
              </w:r>
            </w:hyperlink>
          </w:p>
          <w:p>
            <w:pPr>
              <w:pStyle w:val="TableContents"/>
              <w:bidi w:val="0"/>
              <w:spacing w:before="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120" w:after="283"/>
              <w:ind w:left="0" w:right="0" w:firstLine="136"/>
              <w:jc w:val="center"/>
              <w:rPr>
                <w:rFonts w:ascii="Times New Roman" w:hAnsi="Times New Roman"/>
                <w:color w:val="000000"/>
                <w:sz w:val="20"/>
              </w:rPr>
            </w:pPr>
            <w:r>
              <w:rPr>
                <w:rFonts w:ascii="Times New Roman" w:hAnsi="Times New Roman"/>
                <w:color w:val="000000"/>
                <w:sz w:val="20"/>
              </w:rPr>
              <w:t>8-K</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642" w:type="dxa"/>
            <w:tcBorders/>
            <w:tcMar>
              <w:top w:w="0" w:type="dxa"/>
              <w:left w:w="0" w:type="dxa"/>
              <w:bottom w:w="0" w:type="dxa"/>
              <w:right w:w="0" w:type="dxa"/>
            </w:tcMar>
            <w:vAlign w:val="center"/>
          </w:tcPr>
          <w:p>
            <w:pPr>
              <w:pStyle w:val="TableContents"/>
              <w:bidi w:val="0"/>
              <w:spacing w:before="120" w:after="283"/>
              <w:ind w:left="0" w:right="0" w:firstLine="136"/>
              <w:jc w:val="center"/>
              <w:rPr>
                <w:rFonts w:ascii="Times New Roman" w:hAnsi="Times New Roman"/>
                <w:color w:val="000000"/>
                <w:sz w:val="20"/>
              </w:rPr>
            </w:pPr>
            <w:r>
              <w:rPr>
                <w:rFonts w:ascii="Times New Roman" w:hAnsi="Times New Roman"/>
                <w:color w:val="000000"/>
                <w:sz w:val="20"/>
              </w:rPr>
              <w:t>10.1</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center"/>
              <w:rPr/>
            </w:pPr>
            <w:r>
              <w:rPr/>
              <w:t> </w:t>
            </w:r>
          </w:p>
        </w:tc>
        <w:tc>
          <w:tcPr>
            <w:tcW w:w="1155" w:type="dxa"/>
            <w:tcBorders/>
            <w:tcMar>
              <w:top w:w="0" w:type="dxa"/>
              <w:left w:w="0" w:type="dxa"/>
              <w:bottom w:w="0" w:type="dxa"/>
              <w:right w:w="0" w:type="dxa"/>
            </w:tcMar>
            <w:vAlign w:val="center"/>
          </w:tcPr>
          <w:p>
            <w:pPr>
              <w:pStyle w:val="TableContents"/>
              <w:bidi w:val="0"/>
              <w:spacing w:before="120" w:after="283"/>
              <w:ind w:left="0" w:right="0" w:firstLine="136"/>
              <w:jc w:val="center"/>
              <w:rPr>
                <w:rFonts w:ascii="Times New Roman" w:hAnsi="Times New Roman"/>
                <w:color w:val="000000"/>
                <w:sz w:val="20"/>
              </w:rPr>
            </w:pPr>
            <w:r>
              <w:rPr>
                <w:rFonts w:ascii="Times New Roman" w:hAnsi="Times New Roman"/>
                <w:color w:val="000000"/>
                <w:sz w:val="20"/>
              </w:rPr>
              <w:t>May 13, 2026</w:t>
            </w:r>
          </w:p>
        </w:tc>
      </w:tr>
      <w:tr>
        <w:trPr/>
        <w:tc>
          <w:tcPr>
            <w:tcW w:w="801"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120" w:after="283"/>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31.1*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1_1.htm">
              <w:r>
                <w:rPr>
                  <w:rStyle w:val="InternetLink"/>
                  <w:rFonts w:ascii="Times New Roman" w:hAnsi="Times New Roman"/>
                  <w:color w:val="0000FF"/>
                  <w:sz w:val="20"/>
                  <w:u w:val="single"/>
                </w:rPr>
                <w:t>Certification of Principal Executive Officer pursuant to Section 302 of the Sarbanes-Oxley Act of 2002.</w:t>
              </w:r>
            </w:hyperlink>
            <w:hyperlink w:anchor="tem-ex31_1.htm">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31.2*</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1_2.htm">
              <w:r>
                <w:rPr>
                  <w:rStyle w:val="InternetLink"/>
                  <w:rFonts w:ascii="Times New Roman" w:hAnsi="Times New Roman"/>
                  <w:color w:val="0000FF"/>
                  <w:sz w:val="20"/>
                  <w:u w:val="single"/>
                </w:rPr>
                <w:t>Certification of Principal Financial Officer pursuant to Section 302 of the Sarbanes-Oxley Act of 2002.</w:t>
              </w:r>
            </w:hyperlink>
            <w:hyperlink w:anchor="tem-ex31_2.htm">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32.1*+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101.INS*</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101.SCH*</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104*</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8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xml:space="preserve"># Schedules and exhibits have been omitted pursuant to Item 601(a)(5) of Regulation S-K. Tempus hereby undertakes to furnish supplemental copies of any of the omitted schedules and exhibits upon request by the SEC. </w:t>
      </w:r>
    </w:p>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signatures"/>
      <w:bookmarkEnd w:id="2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284" w:type="dxa"/>
        <w:jc w:val="left"/>
        <w:tblInd w:w="0" w:type="dxa"/>
        <w:tblLayout w:type="fixed"/>
        <w:tblCellMar>
          <w:top w:w="28" w:type="dxa"/>
          <w:left w:w="28" w:type="dxa"/>
          <w:bottom w:w="28" w:type="dxa"/>
          <w:right w:w="28" w:type="dxa"/>
        </w:tblCellMar>
      </w:tblPr>
      <w:tblGrid>
        <w:gridCol w:w="1711"/>
        <w:gridCol w:w="146"/>
        <w:gridCol w:w="406"/>
        <w:gridCol w:w="402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TEMPUS AI,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Lefkofsky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Founder and Chairman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Rogers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bookmarkStart w:id="21" w:name="tem-ex31_1.htm"/>
      <w:bookmarkStart w:id="22" w:name="kstemex31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Eric Lefkofsky,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Tempus AI,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30, 2026</w:t>
      </w:r>
    </w:p>
    <w:p>
      <w:pPr>
        <w:pStyle w:val="TextBody"/>
        <w:bidi w:val="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Eric Lefkofsky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Founder and Chairman</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tem-ex31_2.htm"/>
      <w:bookmarkStart w:id="24" w:name="kstemex31_2"/>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Rogers,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Tempus AI,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July 30, 2026 </w:t>
      </w:r>
    </w:p>
    <w:p>
      <w:pPr>
        <w:pStyle w:val="TextBody"/>
        <w:bidi w:val="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James Rogers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tem-ex32_1.htm"/>
      <w:bookmarkStart w:id="26" w:name="kstemex32_1"/>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 set forth in Rule 13a-14(b) of the Securities Exchange Act of 1934, as amended (the “Exchange Act”) and Section 1350 of Chapter 63 of Title 18 of the United States Code (18 U.S.C. §1350), Eric Lefkofsky, Chief Executive Officer of Tempus AI, Inc. (the “Company”), and James Rogers, Chief Financial Officer of the Company, each hereby certifies that, to the best of his knowledge: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Quarterly Report on Form 10-Q for the period ended June 30, 2026, to which this Certification is attached as Exhibit 32.1 (the “Periodic Report”), fully complies with the requirements of Section 13(a) or Section 15(d) of the Exchange Act; and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Periodic Report fairly presents, in all material respects, the financial condition and results of operations of the Company. </w:t>
      </w:r>
    </w:p>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2476"/>
        <w:gridCol w:w="146"/>
        <w:gridCol w:w="146"/>
        <w:gridCol w:w="252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Lefkofsky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James Rogers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certification accompanies the Form 10-Q to which it relates, is not deemed filed with the Securities and Exchange Commission and is not to be incorporated by reference into any filing of Tempus AI, Inc. under the Securities Act of 1933, as amended, or the Exchange Act, as amended (whether made before or after the date of the Form 10-Q), irrespective of any general incorporation language contained in such filing.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17115/000095017025105449/tem-ex2_1.htm" TargetMode="External"/><Relationship Id="rId3" Type="http://schemas.openxmlformats.org/officeDocument/2006/relationships/hyperlink" Target="https://www.sec.gov/Archives/edgar/data/1717115/000119312526309073/d128960dex21.htm" TargetMode="External"/><Relationship Id="rId4" Type="http://schemas.openxmlformats.org/officeDocument/2006/relationships/hyperlink" Target="https://www.sec.gov/Archives/edgar/data/1717115/000119312525264652/tem-ex3_2.htm" TargetMode="External"/><Relationship Id="rId5" Type="http://schemas.openxmlformats.org/officeDocument/2006/relationships/hyperlink" Target="https://www.sec.gov/Archives/edgar/data/1717115/000095017025105449/tem-ex3_2.htm" TargetMode="External"/><Relationship Id="rId6" Type="http://schemas.openxmlformats.org/officeDocument/2006/relationships/hyperlink" Target="https://www.sec.gov/Archives/edgar/data/1717115/000095017025105449/tem-ex3_2.htm" TargetMode="External"/><Relationship Id="rId7" Type="http://schemas.openxmlformats.org/officeDocument/2006/relationships/hyperlink" Target="https://www.sec.gov/Archives/edgar/data/1717115/000119312526220115/d117982dex41.htm" TargetMode="External"/><Relationship Id="rId8" Type="http://schemas.openxmlformats.org/officeDocument/2006/relationships/hyperlink" Target="https://www.sec.gov/Archives/edgar/data/1717115/000119312526220115/d117982dex42.htm" TargetMode="External"/><Relationship Id="rId9" Type="http://schemas.openxmlformats.org/officeDocument/2006/relationships/hyperlink" Target="https://www.sec.gov/Archives/edgar/data/1717115/000119312526220115/d117982d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39780</Words>
  <Characters>215677</Characters>
  <CharactersWithSpaces>257046</CharactersWithSpaces>
  <Paragraphs>8359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