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7200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20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Fukushima Ryan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TEMPUS AI,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WEST CHICAGO AVENUE, SUITE 510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639,500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639,500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187,957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451,543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Non-Voting Common Stock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725,664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725,664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1,177,207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Ryan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Fukushima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Non-Voting Common Stock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131,893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Ryan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Fukushima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131,893</w:t>
            </w: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131,893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44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previously granted restricted stock units ("RSUs") for which the liquidity event-based condition was satisfied upon the effectiveness of the registration statement on Form S-1 filed by the Issuer in connection with the Issuer's initial public offering. Certain of the RSUs remain subject to service-based vesting conditions, as follows: (i) 656 RSUs vest in three substantially equal quarterly installments commencing on August 1, 2024; (ii) 41,250 RSUs vest in eleven equal quarterly installments commencing on July 1, 2024; (iii) 19,500 RSUs vest in three equal quarterly installments commencing on June 30, 2024; (iv) 20,000 RSUs vest in 16 equal quarterly installments commencing on June 15, 2024; (v) 28,125 RSUs vest in three equal quarterly installments commencing on August 1, 2024; and (vi) 100,000 RSUs vest in eight equal quarterly installments commencing on March 31, 2025.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satisfy withholding tax obligations upon the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Non-Voting Common Stock automatically converted into one share of Class A Common Stock upon the closing of the Issuer's initial public offering of Class A Common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Erik Phelps,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2024250" TargetMode="External"/><Relationship Id="rId13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2024-06-17T20:49:52Z</dcterms:created>
  <dcterms:modified xsi:type="dcterms:W3CDTF">2024-06-17T20:49:52Z</dcterms:modified>
</cp:coreProperties>
</file>