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8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Polovin Andrew</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7"/>
          <w:szCs w:val="17"/>
          <w:color w:val="0000FF"/>
        </w:rPr>
        <w:t>EVP, Chief Legal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086"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0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26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9"/>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8,143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59.05</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99,447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9"/>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38,420</w:t>
            </w:r>
            <w:r>
              <w:rPr>
                <w:rFonts w:ascii="Times New Roman" w:cs="Times New Roman" w:eastAsia="Times New Roman" w:hAnsi="Times New Roman"/>
                <w:sz w:val="22"/>
                <w:szCs w:val="22"/>
                <w:color w:val="008000"/>
                <w:w w:val="97"/>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137,867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9"/>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10,849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60.3</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127,018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9"/>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60.97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126,918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$58.71 to $59.38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(5).</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5,120 fully vested restricted stock units, comprising the Reporting Person's 2025 bonus award, and (ii) 33,300 shares certified as earned with respect to an award of performance-based stock units ("PSUs") granted on August 7, 2025. The Issuer's Board of Directors certified the achievement of the applicable performance metrics and goals on February 20, 2026 and the PSUs will vest, in accordance with their terms, on August 15, 2026.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August 12,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$59.71 to $60.645 inclusive.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Polovin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16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2026-02-20T17:46:58Z</dcterms:created>
  <dcterms:modified xsi:type="dcterms:W3CDTF">2026-02-20T17:46:58Z</dcterms:modified>
</cp:coreProperties>
</file>