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Fukushima Ryan</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60" w:type="dxa"/>
            <w:vAlign w:val="bottom"/>
            <w:tcBorders>
              <w:top w:val="single" w:sz="8" w:color="0000EE"/>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02/19/2026</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545"/>
        <w:spacing w:after="0"/>
        <w:rPr>
          <w:sz w:val="20"/>
          <w:szCs w:val="20"/>
          <w:color w:val="auto"/>
        </w:rPr>
      </w:pPr>
      <w:r>
        <w:rPr>
          <w:rFonts w:ascii="Times New Roman" w:cs="Times New Roman" w:eastAsia="Times New Roman" w:hAnsi="Times New Roman"/>
          <w:sz w:val="17"/>
          <w:szCs w:val="17"/>
          <w:color w:val="0000FF"/>
        </w:rPr>
        <w:t>Chief Executive Officer, Data</w:t>
      </w:r>
    </w:p>
    <w:p>
      <w:pPr>
        <w:spacing w:after="0" w:line="45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02/19/2026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right"/>
              <w:ind w:right="132"/>
              <w:spacing w:after="0"/>
              <w:rPr>
                <w:sz w:val="20"/>
                <w:szCs w:val="20"/>
                <w:color w:val="auto"/>
              </w:rPr>
            </w:pPr>
            <w:r>
              <w:rPr>
                <w:rFonts w:ascii="Times New Roman" w:cs="Times New Roman" w:eastAsia="Times New Roman" w:hAnsi="Times New Roman"/>
                <w:sz w:val="17"/>
                <w:szCs w:val="17"/>
                <w:color w:val="0000FF"/>
              </w:rPr>
              <w:t>9,592</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59.05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694,354</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02/20/2026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74,993</w:t>
            </w:r>
            <w:r>
              <w:rPr>
                <w:rFonts w:ascii="Times New Roman" w:cs="Times New Roman" w:eastAsia="Times New Roman" w:hAnsi="Times New Roman"/>
                <w:sz w:val="22"/>
                <w:szCs w:val="22"/>
                <w:color w:val="008000"/>
                <w:vertAlign w:val="superscript"/>
              </w:rPr>
              <w:t>(3)</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769,347</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148,808</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40" w:type="dxa"/>
            <w:vAlign w:val="bottom"/>
            <w:tcBorders>
              <w:bottom w:val="single" w:sz="8" w:color="2C2C2C"/>
            </w:tcBorders>
            <w:gridSpan w:val="5"/>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$58.71 to $59.38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(i) 8,393 fully vested restricted stock units, comprising the Reporting Person's 2025 bonus award, and (ii) 66,600 shares certified as earned with respect to an award of performance-based stock units ("PSUs") granted on August 7, 2025. The Issuer's Board of Directors certified the achievement of the applicable performance metrics and goals on February 20, 2026 and the PSUs will vest, in accordance with their terms, on August 15, 2026.</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3"/>
          <w:szCs w:val="33"/>
          <w:color w:val="0000FF"/>
          <w:vertAlign w:val="subscript"/>
        </w:rPr>
        <w:t>02/20/2026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4250"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2026-02-20T17:47:16Z</dcterms:created>
  <dcterms:modified xsi:type="dcterms:W3CDTF">2026-02-20T17:47:16Z</dcterms:modified>
</cp:coreProperties>
</file>