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jc w:val="center"/>
              <w:ind w:left="40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8,552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58.31</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8,932,981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23,775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59.04</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8,909,206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923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59.7</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8,908,283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33,717</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58.31</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16,021,752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95,567</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59.04</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15,926,185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3,716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59.7</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15,922,469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top w:val="single" w:sz="8" w:color="2C2C2C"/>
              <w:bottom w:val="single" w:sz="8" w:color="2C2C2C"/>
            </w:tcBorders>
          </w:tcPr>
          <w:p>
            <w:pPr>
              <w:jc w:val="center"/>
              <w:ind w:left="401"/>
              <w:spacing w:after="0"/>
              <w:rPr>
                <w:sz w:val="20"/>
                <w:szCs w:val="20"/>
                <w:color w:val="auto"/>
              </w:rPr>
            </w:pPr>
            <w:r>
              <w:rPr>
                <w:rFonts w:ascii="Times New Roman" w:cs="Times New Roman" w:eastAsia="Times New Roman" w:hAnsi="Times New Roman"/>
                <w:sz w:val="17"/>
                <w:szCs w:val="17"/>
                <w:color w:val="0000FF"/>
              </w:rPr>
              <w:t>02/19/2026</w:t>
            </w:r>
          </w:p>
        </w:tc>
        <w:tc>
          <w:tcPr>
            <w:tcW w:w="11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(6)</w:t>
            </w:r>
          </w:p>
        </w:tc>
        <w:tc>
          <w:tcPr>
            <w:tcW w:w="8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13,587</w:t>
            </w:r>
          </w:p>
        </w:tc>
        <w:tc>
          <w:tcPr>
            <w:tcW w:w="4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59.05</w:t>
            </w:r>
            <w:r>
              <w:rPr>
                <w:rFonts w:ascii="Times New Roman" w:cs="Times New Roman" w:eastAsia="Times New Roman" w:hAnsi="Times New Roman"/>
                <w:sz w:val="22"/>
                <w:szCs w:val="22"/>
                <w:color w:val="008000"/>
                <w:w w:val="92"/>
                <w:vertAlign w:val="superscript"/>
              </w:rPr>
              <w:t>(7)</w:t>
            </w:r>
          </w:p>
        </w:tc>
        <w:tc>
          <w:tcPr>
            <w:tcW w:w="10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1,989,626</w:t>
            </w:r>
          </w:p>
        </w:tc>
        <w:tc>
          <w:tcPr>
            <w:tcW w:w="960" w:type="dxa"/>
            <w:vAlign w:val="bottom"/>
            <w:tcBorders>
              <w:top w:val="single" w:sz="8" w:color="2C2C2C"/>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tcPr>
          <w:p>
            <w:pPr>
              <w:jc w:val="center"/>
              <w:ind w:left="401"/>
              <w:spacing w:after="0"/>
              <w:rPr>
                <w:sz w:val="20"/>
                <w:szCs w:val="20"/>
                <w:color w:val="auto"/>
              </w:rPr>
            </w:pPr>
            <w:r>
              <w:rPr>
                <w:rFonts w:ascii="Times New Roman" w:cs="Times New Roman" w:eastAsia="Times New Roman" w:hAnsi="Times New Roman"/>
                <w:sz w:val="17"/>
                <w:szCs w:val="17"/>
                <w:color w:val="0000FF"/>
              </w:rPr>
              <w:t>02/20/2026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263,430</w:t>
            </w:r>
            <w:r>
              <w:rPr>
                <w:rFonts w:ascii="Times New Roman" w:cs="Times New Roman" w:eastAsia="Times New Roman" w:hAnsi="Times New Roman"/>
                <w:sz w:val="22"/>
                <w:szCs w:val="22"/>
                <w:color w:val="008000"/>
                <w:w w:val="96"/>
                <w:vertAlign w:val="superscript"/>
              </w:rPr>
              <w:t>(8)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2,253,056</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Vas.org</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280" w:type="dxa"/>
            <w:vAlign w:val="bottom"/>
            <w:shd w:val="clear" w:color="auto" w:fill="808080"/>
          </w:tcPr>
          <w:p>
            <w:pPr>
              <w:spacing w:after="0" w:line="20" w:lineRule="exact"/>
              <w:rPr>
                <w:sz w:val="1"/>
                <w:szCs w:val="1"/>
                <w:color w:val="auto"/>
              </w:rPr>
            </w:pPr>
          </w:p>
        </w:tc>
        <w:tc>
          <w:tcPr>
            <w:tcW w:w="15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4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22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955" cy="1225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$57.61 to $58.6097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and (7).</w:t>
      </w:r>
    </w:p>
    <w:p>
      <w:pPr>
        <w:spacing w:after="0" w:line="20"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$58.61 to $59.6074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$59.6102 to $59.8064 inclusive.</w:t>
      </w:r>
    </w:p>
    <w:p>
      <w:pPr>
        <w:spacing w:after="0" w:line="5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w:t>
      </w:r>
    </w:p>
    <w:p>
      <w:pPr>
        <w:spacing w:after="0" w:line="50" w:lineRule="exact"/>
        <w:rPr>
          <w:rFonts w:ascii="Times New Roman" w:cs="Times New Roman" w:eastAsia="Times New Roman" w:hAnsi="Times New Roman"/>
          <w:sz w:val="13"/>
          <w:szCs w:val="13"/>
          <w:color w:val="008000"/>
        </w:rPr>
      </w:pPr>
    </w:p>
    <w:p>
      <w:pPr>
        <w:jc w:val="both"/>
        <w:ind w:right="100" w:firstLine="7"/>
        <w:spacing w:after="0" w:line="249"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13,430 fully vested restricted stock units, comprising the Reporting Person's 2025 bonus award, and (ii) 250,000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2026-02-20T20:46:56Z</dcterms:created>
  <dcterms:modified xsi:type="dcterms:W3CDTF">2026-02-20T20:46:56Z</dcterms:modified>
</cp:coreProperties>
</file>