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August 8,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333-280270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333-285174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3" w:lineRule="exact"/>
        <w:rPr>
          <w:sz w:val="24"/>
          <w:szCs w:val="24"/>
          <w:color w:val="auto"/>
        </w:rPr>
      </w:pPr>
    </w:p>
    <w:p>
      <w:pPr>
        <w:ind w:left="700" w:right="720"/>
        <w:spacing w:after="0" w:line="258" w:lineRule="auto"/>
        <w:rPr>
          <w:sz w:val="20"/>
          <w:szCs w:val="20"/>
          <w:color w:val="auto"/>
        </w:rPr>
      </w:pPr>
      <w:r>
        <w:rPr>
          <w:rFonts w:ascii="Times New Roman" w:cs="Times New Roman" w:eastAsia="Times New Roman" w:hAnsi="Times New Roman"/>
          <w:sz w:val="25"/>
          <w:szCs w:val="25"/>
          <w:b w:val="1"/>
          <w:bCs w:val="1"/>
          <w:color w:val="auto"/>
        </w:rPr>
        <w:t>Post-Effective Amendment No. 1 to Form S-8 Registration Statement File No. 333-280270 Post-Effective Amendment No. 1 to Form S-8 Registration Statement File No. 333-285174</w:t>
      </w:r>
    </w:p>
    <w:p>
      <w:pPr>
        <w:jc w:val="center"/>
        <w:spacing w:after="0" w:line="231"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158750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Tempus AI,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167640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1380" w:type="dxa"/>
        <w:tblCellMar>
          <w:top w:w="0" w:type="dxa"/>
          <w:left w:w="0" w:type="dxa"/>
          <w:bottom w:w="0" w:type="dxa"/>
          <w:right w:w="0" w:type="dxa"/>
        </w:tblCellMar>
      </w:tblPr>
      <w:tr>
        <w:trPr>
          <w:trHeight w:val="214"/>
        </w:trPr>
        <w:tc>
          <w:tcPr>
            <w:tcW w:w="6100" w:type="dxa"/>
            <w:vAlign w:val="bottom"/>
          </w:tcPr>
          <w:p>
            <w:pPr>
              <w:jc w:val="center"/>
              <w:ind w:right="3239"/>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47-4903308</w:t>
            </w:r>
          </w:p>
        </w:tc>
      </w:tr>
      <w:tr>
        <w:trPr>
          <w:trHeight w:val="148"/>
        </w:trPr>
        <w:tc>
          <w:tcPr>
            <w:tcW w:w="6100" w:type="dxa"/>
            <w:vAlign w:val="bottom"/>
          </w:tcPr>
          <w:p>
            <w:pPr>
              <w:jc w:val="center"/>
              <w:ind w:right="32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420" w:type="dxa"/>
            <w:vAlign w:val="bottom"/>
          </w:tcPr>
          <w:p>
            <w:pPr>
              <w:jc w:val="center"/>
              <w:ind w:left="2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100" w:type="dxa"/>
            <w:vAlign w:val="bottom"/>
          </w:tcPr>
          <w:p>
            <w:pPr>
              <w:jc w:val="center"/>
              <w:ind w:right="32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4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6100" w:type="dxa"/>
            <w:vAlign w:val="bottom"/>
          </w:tcPr>
          <w:p>
            <w:pPr>
              <w:jc w:val="center"/>
              <w:ind w:right="3239"/>
              <w:spacing w:after="0"/>
              <w:rPr>
                <w:sz w:val="20"/>
                <w:szCs w:val="20"/>
                <w:color w:val="auto"/>
              </w:rPr>
            </w:pPr>
            <w:r>
              <w:rPr>
                <w:rFonts w:ascii="Times New Roman" w:cs="Times New Roman" w:eastAsia="Times New Roman" w:hAnsi="Times New Roman"/>
                <w:sz w:val="18"/>
                <w:szCs w:val="18"/>
                <w:b w:val="1"/>
                <w:bCs w:val="1"/>
                <w:color w:val="auto"/>
                <w:w w:val="99"/>
              </w:rPr>
              <w:t>600 West Chicago Avenue, Suite 510</w:t>
            </w:r>
          </w:p>
        </w:tc>
        <w:tc>
          <w:tcPr>
            <w:tcW w:w="1420" w:type="dxa"/>
            <w:vAlign w:val="bottom"/>
          </w:tcPr>
          <w:p>
            <w:pPr>
              <w:spacing w:after="0"/>
              <w:rPr>
                <w:sz w:val="24"/>
                <w:szCs w:val="24"/>
                <w:color w:val="auto"/>
              </w:rPr>
            </w:pPr>
          </w:p>
        </w:tc>
      </w:tr>
      <w:tr>
        <w:trPr>
          <w:trHeight w:val="227"/>
        </w:trPr>
        <w:tc>
          <w:tcPr>
            <w:tcW w:w="6100" w:type="dxa"/>
            <w:vAlign w:val="bottom"/>
          </w:tcPr>
          <w:p>
            <w:pPr>
              <w:jc w:val="center"/>
              <w:ind w:right="3219"/>
              <w:spacing w:after="0"/>
              <w:rPr>
                <w:sz w:val="20"/>
                <w:szCs w:val="20"/>
                <w:color w:val="auto"/>
              </w:rPr>
            </w:pPr>
            <w:r>
              <w:rPr>
                <w:rFonts w:ascii="Times New Roman" w:cs="Times New Roman" w:eastAsia="Times New Roman" w:hAnsi="Times New Roman"/>
                <w:sz w:val="18"/>
                <w:szCs w:val="18"/>
                <w:b w:val="1"/>
                <w:bCs w:val="1"/>
                <w:color w:val="auto"/>
                <w:w w:val="99"/>
              </w:rPr>
              <w:t>Chicago, Illinois</w:t>
            </w: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60654</w:t>
            </w:r>
          </w:p>
        </w:tc>
      </w:tr>
      <w:tr>
        <w:trPr>
          <w:trHeight w:val="190"/>
        </w:trPr>
        <w:tc>
          <w:tcPr>
            <w:tcW w:w="6100" w:type="dxa"/>
            <w:vAlign w:val="bottom"/>
          </w:tcPr>
          <w:p>
            <w:pPr>
              <w:jc w:val="center"/>
              <w:ind w:right="3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20" w:type="dxa"/>
            <w:vAlign w:val="bottom"/>
          </w:tcPr>
          <w:p>
            <w:pPr>
              <w:jc w:val="center"/>
              <w:ind w:left="2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50"/>
        </w:trPr>
        <w:tc>
          <w:tcPr>
            <w:tcW w:w="6100" w:type="dxa"/>
            <w:vAlign w:val="bottom"/>
          </w:tcPr>
          <w:p>
            <w:pPr>
              <w:jc w:val="center"/>
              <w:ind w:left="2059"/>
              <w:spacing w:after="0"/>
              <w:rPr>
                <w:sz w:val="20"/>
                <w:szCs w:val="20"/>
                <w:color w:val="auto"/>
              </w:rPr>
            </w:pPr>
            <w:r>
              <w:rPr>
                <w:rFonts w:ascii="Times New Roman" w:cs="Times New Roman" w:eastAsia="Times New Roman" w:hAnsi="Times New Roman"/>
                <w:sz w:val="18"/>
                <w:szCs w:val="18"/>
                <w:b w:val="1"/>
                <w:bCs w:val="1"/>
                <w:color w:val="auto"/>
                <w:w w:val="99"/>
              </w:rPr>
              <w:t>Tempus AI, Inc. 2024 Equity Incentive Plan</w:t>
            </w:r>
          </w:p>
        </w:tc>
        <w:tc>
          <w:tcPr>
            <w:tcW w:w="1420" w:type="dxa"/>
            <w:vAlign w:val="bottom"/>
          </w:tcPr>
          <w:p>
            <w:pPr>
              <w:spacing w:after="0"/>
              <w:rPr>
                <w:sz w:val="24"/>
                <w:szCs w:val="24"/>
                <w:color w:val="auto"/>
              </w:rPr>
            </w:pPr>
          </w:p>
        </w:tc>
      </w:tr>
      <w:tr>
        <w:trPr>
          <w:trHeight w:val="190"/>
        </w:trPr>
        <w:tc>
          <w:tcPr>
            <w:tcW w:w="6100" w:type="dxa"/>
            <w:vAlign w:val="bottom"/>
          </w:tcPr>
          <w:p>
            <w:pPr>
              <w:jc w:val="center"/>
              <w:ind w:left="2079"/>
              <w:spacing w:after="0"/>
              <w:rPr>
                <w:sz w:val="20"/>
                <w:szCs w:val="20"/>
                <w:color w:val="auto"/>
              </w:rPr>
            </w:pPr>
            <w:r>
              <w:rPr>
                <w:rFonts w:ascii="Times New Roman" w:cs="Times New Roman" w:eastAsia="Times New Roman" w:hAnsi="Times New Roman"/>
                <w:sz w:val="14"/>
                <w:szCs w:val="14"/>
                <w:b w:val="1"/>
                <w:bCs w:val="1"/>
                <w:color w:val="auto"/>
              </w:rPr>
              <w:t>(Full titles of the plans)</w:t>
            </w:r>
          </w:p>
        </w:tc>
        <w:tc>
          <w:tcPr>
            <w:tcW w:w="1420" w:type="dxa"/>
            <w:vAlign w:val="bottom"/>
          </w:tcPr>
          <w:p>
            <w:pPr>
              <w:spacing w:after="0"/>
              <w:rPr>
                <w:sz w:val="16"/>
                <w:szCs w:val="16"/>
                <w:color w:val="auto"/>
              </w:rPr>
            </w:pPr>
          </w:p>
        </w:tc>
      </w:tr>
    </w:tbl>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Eric Lefkofsky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Founder and Chairman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600 West Chicago Avenue, Suite 510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Illinois 60654</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(800) 976-5448 (Name, address, including zip code, and telephone number, including area code, of agent for service)</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Christina T. Roupas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Courtney M.W. Tygesson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Cooley LLP</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110 North Wacker Drive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Chicago, IL 60606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 (312) 881-6500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168910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89" w:lineRule="exact"/>
        <w:rPr>
          <w:sz w:val="24"/>
          <w:szCs w:val="24"/>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320" w:type="dxa"/>
            <w:vAlign w:val="bottom"/>
          </w:tcPr>
          <w:p>
            <w:pPr>
              <w:ind w:left="312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9" w:lineRule="exact"/>
        <w:rPr>
          <w:sz w:val="24"/>
          <w:szCs w:val="24"/>
          <w:color w:val="auto"/>
        </w:rPr>
      </w:pPr>
    </w:p>
    <w:p>
      <w:pPr>
        <w:ind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EXPLANATORY NOTE</w:t>
      </w:r>
    </w:p>
    <w:p>
      <w:pPr>
        <w:spacing w:after="0" w:line="229" w:lineRule="exact"/>
        <w:rPr>
          <w:sz w:val="20"/>
          <w:szCs w:val="20"/>
          <w:color w:val="auto"/>
        </w:rPr>
      </w:pPr>
    </w:p>
    <w:p>
      <w:pPr>
        <w:ind w:firstLine="440"/>
        <w:spacing w:after="0" w:line="252" w:lineRule="auto"/>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This Post-Effective Amendment No. 1 (this “Amendment”) constitutes an amendment to the Registration Statements on Form S-8, File Nos. </w:t>
      </w:r>
      <w:hyperlink r:id="rId17">
        <w:r>
          <w:rPr>
            <w:rFonts w:ascii="Times New Roman" w:cs="Times New Roman" w:eastAsia="Times New Roman" w:hAnsi="Times New Roman"/>
            <w:sz w:val="18"/>
            <w:szCs w:val="18"/>
            <w:u w:val="single" w:color="auto"/>
            <w:color w:val="0000EE"/>
          </w:rPr>
          <w:t>333-280270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8">
        <w:r>
          <w:rPr>
            <w:rFonts w:ascii="Times New Roman" w:cs="Times New Roman" w:eastAsia="Times New Roman" w:hAnsi="Times New Roman"/>
            <w:sz w:val="18"/>
            <w:szCs w:val="18"/>
            <w:u w:val="single" w:color="auto"/>
            <w:color w:val="0000EE"/>
          </w:rPr>
          <w:t xml:space="preserve">333-285174 </w:t>
        </w:r>
      </w:hyperlink>
      <w:r>
        <w:rPr>
          <w:rFonts w:ascii="Times New Roman" w:cs="Times New Roman" w:eastAsia="Times New Roman" w:hAnsi="Times New Roman"/>
          <w:sz w:val="18"/>
          <w:szCs w:val="18"/>
          <w:color w:val="000000"/>
        </w:rPr>
        <w:t>(the</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“Registration Statements”), filed by Tempus AI, Inc. (the “Registrant”). On August 7, 2025, the Registrant filed (i) a</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certificate of conversion with the Secretary of State of the State of Delaware and (ii) articles of conversion with the Nevada Secretary of State, pursuant to which the reincorporation of the Registrant from the State of Delaware to the State of Nevada (the “Reincorporation”) became effective on August 7, 2025 at 11:59 p.m. Eastern Time. At the Effective Time, each outstanding share of Class A common stock, par value $0.0001 per share, of the Delaware corporation (the “Delaware Corporation Class A Common Stock”) automatically converted into one outstanding share of Class A common stock, par value $0.0001 per share, of the Nevada corporation (“Nevada Corporation Class A Common Stock” or “Class A Common Stock”), and each outstanding share of Class B common stock of the Delaware corporation, par value $0.0001 per share (“Delaware Corporation Class B Common Stock”), automatically converted into one outstanding share of Class B common stock, par value $0.0001 per share, of the Nevada corporation</w:t>
      </w:r>
    </w:p>
    <w:p>
      <w:pPr>
        <w:spacing w:after="0" w:line="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(“Nevada Corporation Class B Common Stock”). At the Effective Time, each outstanding restricted stock award, restricted stock unit (including performance units), option, warrant or other right to acquire shares of Delaware Corporation Class A Common Stock or Delaware Corporation Class B Common Stock automatically became a restricted stock award, restricted stock unit (including performance units), option, warrant or other right to acquire an equal number of shares of Nevada Corporation Class A Common Stock or Nevada Corporation Class B Common Stock, as applicable, under the same terms and conditions.</w:t>
      </w:r>
    </w:p>
    <w:p>
      <w:pPr>
        <w:spacing w:after="0" w:line="187" w:lineRule="exact"/>
        <w:rPr>
          <w:sz w:val="20"/>
          <w:szCs w:val="20"/>
          <w:color w:val="auto"/>
        </w:rPr>
      </w:pPr>
    </w:p>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t>No additional shares of Class A common stock are being registered by this Amendment and registration fees were paid upon filing of the Registration Statements.</w:t>
      </w:r>
    </w:p>
    <w:p>
      <w:pPr>
        <w:sectPr>
          <w:pgSz w:w="11900" w:h="16838" w:orient="portrait"/>
          <w:cols w:equalWidth="0" w:num="1">
            <w:col w:w="10980"/>
          </w:cols>
          <w:pgMar w:left="440" w:top="266" w:right="4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9"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The information called for by Part I of Form S-8 is omitted from this Registration Statement in accordance with Rule 428 of the Securities Act of 1933, as amended (the “Securities Act”), and the instructions to Form S-8. In accordance with the rules and regulations of the Securities and Exchange Commission (the “Commission”) and the instructions to Form S-8, such documents are not being filed with the Commission either as part of this Amendment or as prospectuses or prospectus supplements pursuant to Rule 424 of the Securities Act.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by the Registrant with the Commission:</w:t>
      </w:r>
    </w:p>
    <w:p>
      <w:pPr>
        <w:spacing w:after="0" w:line="67"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2024, filed with the SEC on February 24, 2025;</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Form 10-Q for the quarter ended March 31, 2025, filed with the SEC on </w:t>
      </w:r>
      <w:hyperlink r:id="rId21">
        <w:r>
          <w:rPr>
            <w:rFonts w:ascii="Times New Roman" w:cs="Times New Roman" w:eastAsia="Times New Roman" w:hAnsi="Times New Roman"/>
            <w:sz w:val="18"/>
            <w:szCs w:val="18"/>
            <w:u w:val="single" w:color="auto"/>
            <w:color w:val="0000EE"/>
          </w:rPr>
          <w:t>May 6, 2025</w:t>
        </w:r>
      </w:hyperlink>
      <w:r>
        <w:rPr>
          <w:rFonts w:ascii="Times New Roman" w:cs="Times New Roman" w:eastAsia="Times New Roman" w:hAnsi="Times New Roman"/>
          <w:sz w:val="18"/>
          <w:szCs w:val="18"/>
          <w:color w:val="auto"/>
        </w:rPr>
        <w:t xml:space="preserve">, and for the quarter ended June 30, 2025, filed with the SEC on </w:t>
      </w:r>
      <w:hyperlink r:id="rId22">
        <w:r>
          <w:rPr>
            <w:rFonts w:ascii="Times New Roman" w:cs="Times New Roman" w:eastAsia="Times New Roman" w:hAnsi="Times New Roman"/>
            <w:sz w:val="18"/>
            <w:szCs w:val="18"/>
            <w:u w:val="single" w:color="auto"/>
            <w:color w:val="0000EE"/>
          </w:rPr>
          <w:t>August 8, 2025</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1"/>
        </w:numPr>
        <w:rPr>
          <w:rFonts w:ascii="Times New Roman" w:cs="Times New Roman" w:eastAsia="Times New Roman" w:hAnsi="Times New Roman"/>
          <w:sz w:val="18"/>
          <w:szCs w:val="18"/>
          <w:color w:val="000000"/>
        </w:rPr>
      </w:pPr>
      <w:hyperlink r:id="rId23">
        <w:r>
          <w:rPr>
            <w:rFonts w:ascii="Times New Roman" w:cs="Times New Roman" w:eastAsia="Times New Roman" w:hAnsi="Times New Roman"/>
            <w:sz w:val="18"/>
            <w:szCs w:val="18"/>
            <w:u w:val="single" w:color="auto"/>
            <w:color w:val="0000EE"/>
          </w:rPr>
          <w:t>Definitive Proxy Statement on Schedule 14A</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filed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with the SEC on April 7, 2025 (solely with respect to those portions incorporated by</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 xml:space="preserve">reference into our Annual Report on </w:t>
      </w:r>
      <w:hyperlink r:id="rId2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000000"/>
          </w:rPr>
          <w:t xml:space="preserve"> </w:t>
        </w:r>
      </w:hyperlink>
      <w:r>
        <w:rPr>
          <w:rFonts w:ascii="Times New Roman" w:cs="Times New Roman" w:eastAsia="Times New Roman" w:hAnsi="Times New Roman"/>
          <w:sz w:val="18"/>
          <w:szCs w:val="18"/>
          <w:color w:val="000000"/>
        </w:rPr>
        <w:t>for the fiscal year ended December 31, 2024);</w:t>
      </w:r>
    </w:p>
    <w:p>
      <w:pPr>
        <w:spacing w:after="0" w:line="67" w:lineRule="exact"/>
        <w:rPr>
          <w:rFonts w:ascii="Times New Roman" w:cs="Times New Roman" w:eastAsia="Times New Roman" w:hAnsi="Times New Roman"/>
          <w:sz w:val="18"/>
          <w:szCs w:val="18"/>
          <w:color w:val="000000"/>
        </w:rPr>
      </w:pPr>
    </w:p>
    <w:p>
      <w:pPr>
        <w:ind w:left="960" w:hanging="532"/>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with the SEC on </w:t>
      </w:r>
      <w:hyperlink r:id="rId24">
        <w:r>
          <w:rPr>
            <w:rFonts w:ascii="Times New Roman" w:cs="Times New Roman" w:eastAsia="Times New Roman" w:hAnsi="Times New Roman"/>
            <w:sz w:val="18"/>
            <w:szCs w:val="18"/>
            <w:u w:val="single" w:color="auto"/>
            <w:color w:val="0000EE"/>
          </w:rPr>
          <w:t>February 3, 2025</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April 23, 2025</w:t>
        </w:r>
      </w:hyperlink>
      <w:r>
        <w:rPr>
          <w:rFonts w:ascii="Times New Roman" w:cs="Times New Roman" w:eastAsia="Times New Roman" w:hAnsi="Times New Roman"/>
          <w:sz w:val="18"/>
          <w:szCs w:val="18"/>
          <w:color w:val="auto"/>
        </w:rPr>
        <w:t xml:space="preserve">, </w:t>
      </w:r>
      <w:hyperlink r:id="rId26">
        <w:r>
          <w:rPr>
            <w:rFonts w:ascii="Times New Roman" w:cs="Times New Roman" w:eastAsia="Times New Roman" w:hAnsi="Times New Roman"/>
            <w:sz w:val="18"/>
            <w:szCs w:val="18"/>
            <w:u w:val="single" w:color="auto"/>
            <w:color w:val="0000EE"/>
          </w:rPr>
          <w:t>May 23,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7">
        <w:r>
          <w:rPr>
            <w:rFonts w:ascii="Times New Roman" w:cs="Times New Roman" w:eastAsia="Times New Roman" w:hAnsi="Times New Roman"/>
            <w:sz w:val="18"/>
            <w:szCs w:val="18"/>
            <w:u w:val="single" w:color="auto"/>
            <w:color w:val="0000EE"/>
          </w:rPr>
          <w:t>July 3, 2025</w:t>
        </w:r>
      </w:hyperlink>
      <w:r>
        <w:rPr>
          <w:rFonts w:ascii="Times New Roman" w:cs="Times New Roman" w:eastAsia="Times New Roman" w:hAnsi="Times New Roman"/>
          <w:sz w:val="18"/>
          <w:szCs w:val="18"/>
          <w:color w:val="auto"/>
        </w:rPr>
        <w:t>; and</w:t>
      </w:r>
    </w:p>
    <w:p>
      <w:pPr>
        <w:spacing w:after="0" w:line="130" w:lineRule="exact"/>
        <w:rPr>
          <w:rFonts w:ascii="Times New Roman" w:cs="Times New Roman" w:eastAsia="Times New Roman" w:hAnsi="Times New Roman"/>
          <w:sz w:val="18"/>
          <w:szCs w:val="18"/>
          <w:color w:val="auto"/>
        </w:rPr>
      </w:pPr>
    </w:p>
    <w:p>
      <w:pPr>
        <w:ind w:left="960" w:hanging="532"/>
        <w:spacing w:after="0" w:line="261"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Class A Common Stock contained in the Registrant’s Registration Statement on </w:t>
      </w:r>
      <w:hyperlink r:id="rId28">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filed on June 11, 2024 under Section 12(b) of the Securities Exchange Act of 1934, as amended (the “Exchange Act”), including any amendment or report filed for the purpose of updating such description, including </w:t>
      </w:r>
      <w:hyperlink r:id="rId29">
        <w:r>
          <w:rPr>
            <w:rFonts w:ascii="Times New Roman" w:cs="Times New Roman" w:eastAsia="Times New Roman" w:hAnsi="Times New Roman"/>
            <w:sz w:val="18"/>
            <w:szCs w:val="18"/>
            <w:u w:val="single" w:color="auto"/>
            <w:color w:val="0000EE"/>
          </w:rPr>
          <w:t>Exhibit 4.3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Quarterly Report on Form 10-Q for the period ended June 30, 2025, filed with the Commission on August 8, 2025.</w:t>
      </w:r>
    </w:p>
    <w:p>
      <w:pPr>
        <w:spacing w:after="0" w:line="180" w:lineRule="exact"/>
        <w:rPr>
          <w:rFonts w:ascii="Times New Roman" w:cs="Times New Roman" w:eastAsia="Times New Roman" w:hAnsi="Times New Roman"/>
          <w:sz w:val="18"/>
          <w:szCs w:val="18"/>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All documents filed by the Registrant pursuant to Section 13(a), 13(c), 14 or 15(d) of the Exchange Act after the date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provided, however, that documents or portions thereof that are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herein or in any other subsequently filed document that also is or is deemed to be incorporated by reference herein modifies or supersedes such statement. Any such statement so modified or superseded shall not constitute a part of this Registration Statement, except as so modified or superseded.</w:t>
      </w:r>
    </w:p>
    <w:p>
      <w:pPr>
        <w:spacing w:after="0" w:line="292"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121" w:lineRule="exact"/>
        <w:rPr>
          <w:rFonts w:ascii="Times New Roman" w:cs="Times New Roman" w:eastAsia="Times New Roman" w:hAnsi="Times New Roman"/>
          <w:sz w:val="18"/>
          <w:szCs w:val="18"/>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 Interests of Named Experts and Counsel.</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121"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Nevada Revised Statutes (“NRS”) 78.7502(1) provides that a corporation may indemnify, pursuant to that statutory provision,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a director, officer, employee or agent of another corporation or other enterprise or as a manager of a limited liability company, against expenses (including attorneys’ fees), judgments, fines and amounts paid in settlement actually and reasonably incurred by such person in connection with such action, suit or proceeding if such person is not liable pursuant to NRS 78.138 or if such person acted in good faith and in a manner he or she reasonably believed to be in or not opposed to the best interests of the corporation, and, with respect to any criminal action or proceeding, had no reasonable cause to believe his or her conduct was unlawful. NRS 78.7502(2) permits a corporation to indemnify, pursuant to that statutory provision,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amounts paid in settlement and attorneys’ fees actually and reasonably incurred by him or her in connection with the defense or settlement of such action or suit if he or she acted under similar standards, except that no indemnification pursuant to NRS 78.7502 may be made in respect of any claim, issue or matter as to which such person shall have been adjudged by a court of competent jurisdiction, after any appeals taken therefrom, to be liable to the corporation or for amounts paid in settlement to the corporation, unless and only to the extent that the court in which such action or suit was brought or other court of competent jurisdiction determines that, in view of all the circumstances of the case, such person is fairly and reasonably entitled to indemnity for such expenses as the court deems proper. NRS 78.751(1) provides that a corporation shall indemnify any person who is a director, officer, employee or agent of the corporation, against expenses actually and reasonably incurred by the person in connection with defending an action (including, without limitation, attorney’s fees), to the extent that the person is successful on the merits or otherwise in defense of any threatened, pending or completed action, suit or proceeding, whether civil, criminal, administrative or investigative, including, without limitation,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or as a manager of a limited liability company, or any claim, issue or matter in such action.</w:t>
      </w:r>
    </w:p>
    <w:p>
      <w:pPr>
        <w:spacing w:after="0" w:line="205" w:lineRule="exact"/>
        <w:rPr>
          <w:sz w:val="20"/>
          <w:szCs w:val="20"/>
          <w:color w:val="auto"/>
        </w:rPr>
      </w:pPr>
    </w:p>
    <w:p>
      <w:pPr>
        <w:ind w:right="100" w:firstLine="440"/>
        <w:spacing w:after="0" w:line="281" w:lineRule="auto"/>
        <w:rPr>
          <w:sz w:val="20"/>
          <w:szCs w:val="20"/>
          <w:color w:val="auto"/>
        </w:rPr>
      </w:pPr>
      <w:r>
        <w:rPr>
          <w:rFonts w:ascii="Times New Roman" w:cs="Times New Roman" w:eastAsia="Times New Roman" w:hAnsi="Times New Roman"/>
          <w:sz w:val="17"/>
          <w:szCs w:val="17"/>
          <w:color w:val="auto"/>
        </w:rPr>
        <w:t>The Registrant’s articles of incorporation permit indemnification of, and advancement of expenses to, its directors, officers and other agents, and any other persons to which applicable law permits the Registrant to provide indemnification, to the fullest extent permitted by applicable law, including the NRS. The Registrant’s bylaws provide that it will so indemnify its directors and executive officers and permit the Registrant to indemnify other officers, employees, and other agents, in each case to the full extent permitted and in any manner permitted under the NRS or other applicable law.</w:t>
      </w:r>
    </w:p>
    <w:p>
      <w:pPr>
        <w:spacing w:after="0" w:line="164"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The Registrant has entered into indemnification agreements with its directors and executive officers, whereby it has agreed to indemnify the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the Registrant, provided that such director or executive officer is not liable pursuant to NRS 78.138 or acted in good faith and in a manner that the director or executive officer reasonably believed to be in, or not opposed to, the best interests of the Registrant (and with respect to any criminal action or proceeding, had no reasonable cause to believe that his or her conduct was unlawful). At present, there is no pending litigation or proceeding involving a director or executive officer of the Registrant regarding which indemnification is sought, nor is the Registrant aware of any threatened litigation that may result in claims for indemnification.</w:t>
      </w:r>
    </w:p>
    <w:p>
      <w:pPr>
        <w:spacing w:after="0" w:line="19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Registrant maintains insurance policies that indemnify its directors and officers against various liabilities arising under the Securities Act and the Exchange Act that might be incurred by any director or officer in his or her capacity as such.</w:t>
      </w:r>
    </w:p>
    <w:p>
      <w:pPr>
        <w:sectPr>
          <w:pgSz w:w="11900" w:h="16838" w:orient="portrait"/>
          <w:cols w:equalWidth="0" w:num="1">
            <w:col w:w="11000"/>
          </w:cols>
          <w:pgMar w:left="440" w:top="266" w:right="459" w:bottom="1440" w:gutter="0" w:footer="0" w:header="0"/>
        </w:sectPr>
      </w:pPr>
    </w:p>
    <w:bookmarkStart w:id="4" w:name="page5"/>
    <w:bookmarkEnd w:id="4"/>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7.</w:t>
      </w:r>
      <w:r>
        <w:rPr>
          <w:sz w:val="20"/>
          <w:szCs w:val="20"/>
          <w:color w:val="auto"/>
        </w:rPr>
        <w:tab/>
      </w:r>
      <w:r>
        <w:rPr>
          <w:rFonts w:ascii="Times New Roman" w:cs="Times New Roman" w:eastAsia="Times New Roman" w:hAnsi="Times New Roman"/>
          <w:sz w:val="18"/>
          <w:szCs w:val="18"/>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exhibits to this Registration Statement are listed below:</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20" w:type="dxa"/>
            <w:vAlign w:val="bottom"/>
            <w:gridSpan w:val="17"/>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4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562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540" w:type="dxa"/>
            <w:vAlign w:val="bottom"/>
          </w:tcPr>
          <w:p>
            <w:pPr>
              <w:spacing w:after="0"/>
              <w:rPr>
                <w:sz w:val="22"/>
                <w:szCs w:val="22"/>
                <w:color w:val="auto"/>
              </w:rPr>
            </w:pPr>
          </w:p>
        </w:tc>
        <w:tc>
          <w:tcPr>
            <w:tcW w:w="972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Articles of Incorporation of the Registrant (incorporated by reference to Exhibit 3.1 to the Registrant’s Quarterly Report on Form 10-Q</w:t>
              </w:r>
            </w:hyperlink>
          </w:p>
        </w:tc>
        <w:tc>
          <w:tcPr>
            <w:tcW w:w="26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(File No. 001-42130), filed with the Commission on August 8, 2025).</w:t>
              </w:r>
            </w:hyperlink>
          </w:p>
        </w:tc>
        <w:tc>
          <w:tcPr>
            <w:tcW w:w="496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540" w:type="dxa"/>
            <w:vAlign w:val="bottom"/>
          </w:tcPr>
          <w:p>
            <w:pPr>
              <w:spacing w:after="0"/>
              <w:rPr>
                <w:sz w:val="24"/>
                <w:szCs w:val="24"/>
                <w:color w:val="auto"/>
              </w:rPr>
            </w:pPr>
          </w:p>
        </w:tc>
        <w:tc>
          <w:tcPr>
            <w:tcW w:w="97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Amended and Restated Bylaws of the Registrant (incorporated by reference to Exhibit 3.2 to the Registrant’s Quarterly Report on Form</w:t>
              </w:r>
            </w:hyperlink>
          </w:p>
        </w:tc>
        <w:tc>
          <w:tcPr>
            <w:tcW w:w="22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10-Q (File No. 001-42130), filed with the Commission on August 8, 2025).</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540" w:type="dxa"/>
            <w:vAlign w:val="bottom"/>
          </w:tcPr>
          <w:p>
            <w:pPr>
              <w:spacing w:after="0"/>
              <w:rPr>
                <w:sz w:val="24"/>
                <w:szCs w:val="24"/>
                <w:color w:val="auto"/>
              </w:rPr>
            </w:pPr>
          </w:p>
        </w:tc>
        <w:tc>
          <w:tcPr>
            <w:tcW w:w="952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Class A Common Stock Certificate of the Registrant (incorporated by reference to Exhibit 4.4 to the Registrant’s Quarterly</w:t>
              </w:r>
            </w:hyperlink>
          </w:p>
        </w:tc>
        <w:tc>
          <w:tcPr>
            <w:tcW w:w="46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Report on Form 10-Q (File No. 001-42130), filed with the Commission on August 8, 2025).</w:t>
              </w:r>
            </w:hyperlink>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540" w:type="dxa"/>
            <w:vAlign w:val="bottom"/>
          </w:tcPr>
          <w:p>
            <w:pPr>
              <w:spacing w:after="0"/>
              <w:rPr>
                <w:sz w:val="24"/>
                <w:szCs w:val="24"/>
                <w:color w:val="auto"/>
              </w:rPr>
            </w:pPr>
          </w:p>
        </w:tc>
        <w:tc>
          <w:tcPr>
            <w:tcW w:w="36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Brownstein Hyatt Farber Schreck, LLP.</w:t>
            </w:r>
          </w:p>
        </w:tc>
        <w:tc>
          <w:tcPr>
            <w:tcW w:w="2980" w:type="dxa"/>
            <w:vAlign w:val="bottom"/>
            <w:tcBorders>
              <w:top w:val="single" w:sz="8" w:color="0000EE"/>
            </w:tcBorders>
            <w:gridSpan w:val="5"/>
          </w:tcPr>
          <w:p>
            <w:pPr>
              <w:spacing w:after="0"/>
              <w:rPr>
                <w:sz w:val="24"/>
                <w:szCs w:val="24"/>
                <w:color w:val="auto"/>
              </w:rPr>
            </w:pPr>
          </w:p>
        </w:tc>
        <w:tc>
          <w:tcPr>
            <w:tcW w:w="332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40" w:type="dxa"/>
            <w:vAlign w:val="bottom"/>
          </w:tcPr>
          <w:p>
            <w:pPr>
              <w:spacing w:after="0"/>
              <w:rPr>
                <w:sz w:val="24"/>
                <w:szCs w:val="24"/>
                <w:color w:val="auto"/>
              </w:rPr>
            </w:pPr>
          </w:p>
        </w:tc>
        <w:tc>
          <w:tcPr>
            <w:tcW w:w="43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Consent of Independent Registered Public Accounting Firm.</w:t>
            </w:r>
          </w:p>
        </w:tc>
        <w:tc>
          <w:tcPr>
            <w:tcW w:w="562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40" w:type="dxa"/>
            <w:vAlign w:val="bottom"/>
          </w:tcPr>
          <w:p>
            <w:pPr>
              <w:spacing w:after="0"/>
              <w:rPr>
                <w:sz w:val="24"/>
                <w:szCs w:val="24"/>
                <w:color w:val="auto"/>
              </w:rPr>
            </w:pPr>
          </w:p>
        </w:tc>
        <w:tc>
          <w:tcPr>
            <w:tcW w:w="998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Consent of Brownstein Hyatt Farber Schreck, LLP (included in Exhibit 5.1).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4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Power of Attorney (included on the signature page to the Registration Statements on Form S-8, File Nos. </w:t>
            </w:r>
            <w:hyperlink r:id="rId35">
              <w:r>
                <w:rPr>
                  <w:rFonts w:ascii="Times New Roman" w:cs="Times New Roman" w:eastAsia="Times New Roman" w:hAnsi="Times New Roman"/>
                  <w:sz w:val="18"/>
                  <w:szCs w:val="18"/>
                  <w:color w:val="0000EE"/>
                </w:rPr>
                <w:t>333-280270</w:t>
              </w:r>
              <w:r>
                <w:rPr>
                  <w:rFonts w:ascii="Times New Roman" w:cs="Times New Roman" w:eastAsia="Times New Roman" w:hAnsi="Times New Roman"/>
                  <w:sz w:val="18"/>
                  <w:szCs w:val="18"/>
                  <w:color w:val="auto"/>
                </w:rPr>
                <w:t xml:space="preserve"> </w:t>
              </w:r>
            </w:hyperlink>
            <w:r>
              <w:rPr>
                <w:rFonts w:ascii="Times New Roman" w:cs="Times New Roman" w:eastAsia="Times New Roman" w:hAnsi="Times New Roman"/>
                <w:sz w:val="18"/>
                <w:szCs w:val="18"/>
                <w:color w:val="auto"/>
              </w:rPr>
              <w:t xml:space="preserve">and </w:t>
            </w:r>
            <w:hyperlink r:id="rId36">
              <w:r>
                <w:rPr>
                  <w:rFonts w:ascii="Times New Roman" w:cs="Times New Roman" w:eastAsia="Times New Roman" w:hAnsi="Times New Roman"/>
                  <w:sz w:val="18"/>
                  <w:szCs w:val="18"/>
                  <w:color w:val="0000EE"/>
                </w:rPr>
                <w:t>333-285174</w:t>
              </w:r>
            </w:hyperlink>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80" w:type="dxa"/>
            <w:vAlign w:val="bottom"/>
            <w:gridSpan w:val="4"/>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8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The Registrant’s 2024 Equity Incentive Plan (incorporated by reference to Exhibit 10.4 to the Registrant’s Registration Statement on Form</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S-1/A (File No. 333-279558), filed with the Commission on June 5, 2024).</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80" w:type="dxa"/>
            <w:vAlign w:val="bottom"/>
            <w:gridSpan w:val="4"/>
            <w:shd w:val="clear" w:color="auto" w:fill="0000EE"/>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980" w:type="dxa"/>
            <w:vAlign w:val="bottom"/>
            <w:gridSpan w:val="21"/>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Forms of Restricted Stock Unit Grant Notice and Award Agreement under the Registrant’s 2024 Equity Incentive Plan (incorporated by</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8">
              <w:r>
                <w:rPr>
                  <w:rFonts w:ascii="Times New Roman" w:cs="Times New Roman" w:eastAsia="Times New Roman" w:hAnsi="Times New Roman"/>
                  <w:sz w:val="18"/>
                  <w:szCs w:val="18"/>
                  <w:color w:val="0000EE"/>
                  <w:w w:val="99"/>
                </w:rPr>
                <w:t>reference to Exhibit 10.6 to the Registrant’s Registration Statement on Form S-1 (File No. 333-279558), filed with the Commission on</w:t>
              </w:r>
            </w:hyperlink>
          </w:p>
        </w:tc>
        <w:tc>
          <w:tcPr>
            <w:tcW w:w="60" w:type="dxa"/>
            <w:vAlign w:val="bottom"/>
            <w:tcBorders>
              <w:top w:val="single" w:sz="8" w:color="0000EE"/>
            </w:tcBorders>
            <w:gridSpan w:val="2"/>
          </w:tcPr>
          <w:p>
            <w:pPr>
              <w:spacing w:after="0"/>
              <w:rPr>
                <w:sz w:val="17"/>
                <w:szCs w:val="17"/>
                <w:color w:val="auto"/>
              </w:rPr>
            </w:pPr>
          </w:p>
        </w:tc>
        <w:tc>
          <w:tcPr>
            <w:tcW w:w="22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May 20, 2024).</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740" w:type="dxa"/>
            <w:vAlign w:val="bottom"/>
            <w:gridSpan w:val="1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99.3</w:t>
            </w:r>
          </w:p>
        </w:tc>
        <w:tc>
          <w:tcPr>
            <w:tcW w:w="540" w:type="dxa"/>
            <w:vAlign w:val="bottom"/>
          </w:tcPr>
          <w:p>
            <w:pPr>
              <w:spacing w:after="0"/>
              <w:rPr>
                <w:sz w:val="24"/>
                <w:szCs w:val="24"/>
                <w:color w:val="auto"/>
              </w:rPr>
            </w:pPr>
          </w:p>
        </w:tc>
        <w:tc>
          <w:tcPr>
            <w:tcW w:w="986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39">
              <w:r>
                <w:rPr>
                  <w:rFonts w:ascii="Times New Roman" w:cs="Times New Roman" w:eastAsia="Times New Roman" w:hAnsi="Times New Roman"/>
                  <w:sz w:val="18"/>
                  <w:szCs w:val="18"/>
                  <w:color w:val="0000EE"/>
                  <w:w w:val="99"/>
                </w:rPr>
                <w:t>Forms of Grant Notice, Stock Option Agreement and Notice of Exercise under the Registrant’s 2024 Equity Incentive Plan (incorporated</w:t>
              </w:r>
            </w:hyperlink>
          </w:p>
        </w:tc>
        <w:tc>
          <w:tcPr>
            <w:tcW w:w="12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by reference to Exhibit 10.5 to the Registrant’s Registration Statement on Form S-1 (File No. 333-279558), filed with the Commission on</w:t>
              </w:r>
            </w:hyperlink>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00" w:type="dxa"/>
            <w:vAlign w:val="bottom"/>
            <w:tcBorders>
              <w:top w:val="single" w:sz="8" w:color="0000EE"/>
            </w:tcBorders>
            <w:gridSpan w:val="18"/>
          </w:tcPr>
          <w:p>
            <w:pPr>
              <w:spacing w:after="0" w:line="196" w:lineRule="exact"/>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May 20, 2024).</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740" w:type="dxa"/>
            <w:vAlign w:val="bottom"/>
            <w:gridSpan w:val="1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99.4</w:t>
            </w:r>
          </w:p>
        </w:tc>
        <w:tc>
          <w:tcPr>
            <w:tcW w:w="540" w:type="dxa"/>
            <w:vAlign w:val="bottom"/>
          </w:tcPr>
          <w:p>
            <w:pPr>
              <w:spacing w:after="0"/>
              <w:rPr>
                <w:sz w:val="24"/>
                <w:szCs w:val="24"/>
                <w:color w:val="auto"/>
              </w:rPr>
            </w:pPr>
          </w:p>
        </w:tc>
        <w:tc>
          <w:tcPr>
            <w:tcW w:w="992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9"/>
              </w:rPr>
            </w:pPr>
            <w:hyperlink r:id="rId40">
              <w:r>
                <w:rPr>
                  <w:rFonts w:ascii="Times New Roman" w:cs="Times New Roman" w:eastAsia="Times New Roman" w:hAnsi="Times New Roman"/>
                  <w:sz w:val="18"/>
                  <w:szCs w:val="18"/>
                  <w:color w:val="0000EE"/>
                  <w:w w:val="99"/>
                </w:rPr>
                <w:t>Forms of Restricted Stock Award Grant Notice and Award Agreement under the Registrant’s 2024 Equity Incentive Plan (incorporated by</w:t>
              </w:r>
            </w:hyperlink>
          </w:p>
        </w:tc>
        <w:tc>
          <w:tcPr>
            <w:tcW w:w="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21"/>
          </w:tcPr>
          <w:p>
            <w:pPr>
              <w:spacing w:after="0" w:line="196" w:lineRule="exact"/>
              <w:rPr>
                <w:rFonts w:ascii="Times New Roman" w:cs="Times New Roman" w:eastAsia="Times New Roman" w:hAnsi="Times New Roman"/>
                <w:sz w:val="18"/>
                <w:szCs w:val="18"/>
                <w:color w:val="0000EE"/>
              </w:rPr>
            </w:pPr>
            <w:hyperlink r:id="rId40">
              <w:r>
                <w:rPr>
                  <w:rFonts w:ascii="Times New Roman" w:cs="Times New Roman" w:eastAsia="Times New Roman" w:hAnsi="Times New Roman"/>
                  <w:sz w:val="18"/>
                  <w:szCs w:val="18"/>
                  <w:color w:val="0000EE"/>
                </w:rPr>
                <w:t>reference to Exhibit 10.2 to the Registrant’s Quarterly Report on Form 10-Q (File No. 001-42130), filed with the Commission on May 6,</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5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1000" w:type="dxa"/>
            <w:vAlign w:val="bottom"/>
            <w:gridSpan w:val="2"/>
          </w:tcPr>
          <w:p>
            <w:pPr>
              <w:ind w:left="540"/>
              <w:spacing w:after="0" w:line="196" w:lineRule="exact"/>
              <w:rPr>
                <w:rFonts w:ascii="Times New Roman" w:cs="Times New Roman" w:eastAsia="Times New Roman" w:hAnsi="Times New Roman"/>
                <w:sz w:val="18"/>
                <w:szCs w:val="18"/>
                <w:color w:val="0000EE"/>
                <w:w w:val="94"/>
              </w:rPr>
            </w:pPr>
            <w:hyperlink r:id="rId40">
              <w:r>
                <w:rPr>
                  <w:rFonts w:ascii="Times New Roman" w:cs="Times New Roman" w:eastAsia="Times New Roman" w:hAnsi="Times New Roman"/>
                  <w:sz w:val="18"/>
                  <w:szCs w:val="18"/>
                  <w:color w:val="0000EE"/>
                  <w:w w:val="94"/>
                </w:rPr>
                <w:t>2025).</w:t>
              </w:r>
            </w:hyperlink>
          </w:p>
        </w:tc>
        <w:tc>
          <w:tcPr>
            <w:tcW w:w="64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111125</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135" w:lineRule="exact"/>
        <w:rPr>
          <w:sz w:val="20"/>
          <w:szCs w:val="20"/>
          <w:color w:val="auto"/>
        </w:rPr>
      </w:pPr>
    </w:p>
    <w:p>
      <w:pPr>
        <w:ind w:left="424" w:hanging="424"/>
        <w:spacing w:after="0"/>
        <w:tabs>
          <w:tab w:leader="none" w:pos="42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ectPr>
          <w:pgSz w:w="11900" w:h="16838" w:orient="portrait"/>
          <w:cols w:equalWidth="0" w:num="1">
            <w:col w:w="11024"/>
          </w:cols>
          <w:pgMar w:left="436" w:top="266" w:right="439" w:bottom="1440" w:gutter="0" w:footer="0" w:header="0"/>
        </w:sectPr>
      </w:pPr>
    </w:p>
    <w:bookmarkStart w:id="5" w:name="page6"/>
    <w:bookmarkEnd w:id="5"/>
    <w:p>
      <w:pPr>
        <w:ind w:left="964" w:hanging="532"/>
        <w:spacing w:after="0"/>
        <w:tabs>
          <w:tab w:leader="none" w:pos="9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file, during any period in which offers or sales are being made, a post-effective amendment to this Registration Statement:</w:t>
      </w:r>
    </w:p>
    <w:p>
      <w:pPr>
        <w:spacing w:after="0" w:line="130" w:lineRule="exact"/>
        <w:rPr>
          <w:rFonts w:ascii="Times New Roman" w:cs="Times New Roman" w:eastAsia="Times New Roman" w:hAnsi="Times New Roman"/>
          <w:sz w:val="18"/>
          <w:szCs w:val="18"/>
          <w:color w:val="auto"/>
        </w:rPr>
      </w:pPr>
    </w:p>
    <w:p>
      <w:pPr>
        <w:ind w:left="1424" w:hanging="439"/>
        <w:spacing w:after="0"/>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52" w:lineRule="exact"/>
        <w:rPr>
          <w:rFonts w:ascii="Times New Roman" w:cs="Times New Roman" w:eastAsia="Times New Roman" w:hAnsi="Times New Roman"/>
          <w:sz w:val="18"/>
          <w:szCs w:val="18"/>
          <w:color w:val="auto"/>
        </w:rPr>
      </w:pPr>
    </w:p>
    <w:p>
      <w:pPr>
        <w:ind w:left="1424" w:right="40" w:hanging="439"/>
        <w:spacing w:after="0" w:line="255" w:lineRule="auto"/>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Statements; and</w:t>
      </w:r>
    </w:p>
    <w:p>
      <w:pPr>
        <w:spacing w:after="0" w:line="94" w:lineRule="exact"/>
        <w:rPr>
          <w:rFonts w:ascii="Times New Roman" w:cs="Times New Roman" w:eastAsia="Times New Roman" w:hAnsi="Times New Roman"/>
          <w:sz w:val="18"/>
          <w:szCs w:val="18"/>
          <w:color w:val="auto"/>
        </w:rPr>
      </w:pPr>
    </w:p>
    <w:p>
      <w:pPr>
        <w:ind w:left="1424" w:hanging="439"/>
        <w:spacing w:after="0" w:line="282" w:lineRule="auto"/>
        <w:tabs>
          <w:tab w:leader="none" w:pos="142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Statements or any material change to such information in the Registration Statements.</w:t>
      </w:r>
    </w:p>
    <w:p>
      <w:pPr>
        <w:spacing w:after="0" w:line="160" w:lineRule="exact"/>
        <w:rPr>
          <w:sz w:val="20"/>
          <w:szCs w:val="20"/>
          <w:color w:val="auto"/>
        </w:rPr>
      </w:pPr>
    </w:p>
    <w:p>
      <w:pPr>
        <w:ind w:left="4"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do not apply if the Registration Statement is on Form S-8, and the information required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included in a post-effective amendment by those paragraphs is contained in reports filed with or furnished to the Commission by the Registrant pursuant to Section 13 or Section 15(d) of the Exchange Act that are incorporated by reference in the Registration Statement.</w:t>
      </w:r>
    </w:p>
    <w:p>
      <w:pPr>
        <w:spacing w:after="0" w:line="81" w:lineRule="exact"/>
        <w:rPr>
          <w:sz w:val="20"/>
          <w:szCs w:val="20"/>
          <w:color w:val="auto"/>
        </w:rPr>
      </w:pPr>
    </w:p>
    <w:p>
      <w:pPr>
        <w:ind w:left="964" w:hanging="532"/>
        <w:spacing w:after="0" w:line="266"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1" w:lineRule="exact"/>
        <w:rPr>
          <w:rFonts w:ascii="Times New Roman" w:cs="Times New Roman" w:eastAsia="Times New Roman" w:hAnsi="Times New Roman"/>
          <w:sz w:val="18"/>
          <w:szCs w:val="18"/>
          <w:color w:val="auto"/>
        </w:rPr>
      </w:pPr>
    </w:p>
    <w:p>
      <w:pPr>
        <w:ind w:left="964" w:right="360" w:hanging="532"/>
        <w:spacing w:after="0" w:line="282" w:lineRule="auto"/>
        <w:tabs>
          <w:tab w:leader="none" w:pos="96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7" w:lineRule="exact"/>
        <w:rPr>
          <w:rFonts w:ascii="Times New Roman" w:cs="Times New Roman" w:eastAsia="Times New Roman" w:hAnsi="Times New Roman"/>
          <w:sz w:val="18"/>
          <w:szCs w:val="18"/>
          <w:color w:val="auto"/>
        </w:rPr>
      </w:pPr>
    </w:p>
    <w:p>
      <w:pPr>
        <w:ind w:left="424" w:right="40" w:hanging="424"/>
        <w:spacing w:after="0" w:line="258"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herein, and the offering of such securities at that time shall be deemed to be the initial bona fide offering thereof.</w:t>
      </w:r>
    </w:p>
    <w:p>
      <w:pPr>
        <w:spacing w:after="0" w:line="88" w:lineRule="exact"/>
        <w:rPr>
          <w:rFonts w:ascii="Times New Roman" w:cs="Times New Roman" w:eastAsia="Times New Roman" w:hAnsi="Times New Roman"/>
          <w:sz w:val="18"/>
          <w:szCs w:val="18"/>
          <w:color w:val="auto"/>
        </w:rPr>
      </w:pPr>
    </w:p>
    <w:p>
      <w:pPr>
        <w:ind w:left="424" w:right="60" w:hanging="424"/>
        <w:spacing w:after="0" w:line="254" w:lineRule="auto"/>
        <w:tabs>
          <w:tab w:leader="none" w:pos="4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004"/>
          </w:cols>
          <w:pgMar w:left="436" w:top="270" w:right="45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August 8, 2025.</w:t>
      </w:r>
    </w:p>
    <w:p>
      <w:pPr>
        <w:spacing w:after="0" w:line="19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TEMPUS AI,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Eric Lefkofsky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Eric Lefkofsky</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Executive Officer, Founder and Chairman</w:t>
      </w:r>
    </w:p>
    <w:p>
      <w:pPr>
        <w:spacing w:after="0" w:line="20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76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3"/>
        </w:trPr>
        <w:tc>
          <w:tcPr>
            <w:tcW w:w="3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3580" w:type="dxa"/>
            <w:vAlign w:val="bottom"/>
            <w:tcBorders>
              <w:bottom w:val="single" w:sz="8" w:color="auto"/>
            </w:tcBorders>
          </w:tcPr>
          <w:p>
            <w:pPr>
              <w:jc w:val="center"/>
              <w:ind w:right="510"/>
              <w:spacing w:after="0" w:line="202" w:lineRule="exact"/>
              <w:rPr>
                <w:sz w:val="20"/>
                <w:szCs w:val="20"/>
                <w:color w:val="auto"/>
              </w:rPr>
            </w:pPr>
            <w:r>
              <w:rPr>
                <w:rFonts w:ascii="Times New Roman" w:cs="Times New Roman" w:eastAsia="Times New Roman" w:hAnsi="Times New Roman"/>
                <w:sz w:val="18"/>
                <w:szCs w:val="18"/>
                <w:color w:val="auto"/>
                <w:w w:val="99"/>
              </w:rPr>
              <w:t>/s/ Eric Lefkofsky</w:t>
            </w: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740" w:type="dxa"/>
            <w:vAlign w:val="bottom"/>
            <w:tcBorders>
              <w:top w:val="single" w:sz="8" w:color="auto"/>
            </w:tcBorders>
          </w:tcPr>
          <w:p>
            <w:pPr>
              <w:jc w:val="center"/>
              <w:spacing w:after="0" w:line="202" w:lineRule="exact"/>
              <w:rPr>
                <w:sz w:val="20"/>
                <w:szCs w:val="20"/>
                <w:color w:val="auto"/>
              </w:rPr>
            </w:pPr>
            <w:r>
              <w:rPr>
                <w:rFonts w:ascii="Times New Roman" w:cs="Times New Roman" w:eastAsia="Times New Roman" w:hAnsi="Times New Roman"/>
                <w:sz w:val="18"/>
                <w:szCs w:val="18"/>
                <w:color w:val="auto"/>
                <w:w w:val="99"/>
              </w:rPr>
              <w:t>Chief Executive Officer, Founder and Chairman</w:t>
            </w:r>
          </w:p>
        </w:tc>
        <w:tc>
          <w:tcPr>
            <w:tcW w:w="120" w:type="dxa"/>
            <w:vAlign w:val="bottom"/>
          </w:tcPr>
          <w:p>
            <w:pPr>
              <w:spacing w:after="0"/>
              <w:rPr>
                <w:sz w:val="17"/>
                <w:szCs w:val="17"/>
                <w:color w:val="auto"/>
              </w:rPr>
            </w:pPr>
          </w:p>
        </w:tc>
        <w:tc>
          <w:tcPr>
            <w:tcW w:w="1760" w:type="dxa"/>
            <w:vAlign w:val="bottom"/>
            <w:tcBorders>
              <w:top w:val="single" w:sz="8" w:color="auto"/>
            </w:tcBorders>
          </w:tcPr>
          <w:p>
            <w:pPr>
              <w:spacing w:after="0" w:line="202" w:lineRule="exact"/>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Eric Lefkofsky</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James Rogers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Financial Officer</w:t>
            </w:r>
            <w:r>
              <w:rPr>
                <w:rFonts w:ascii="Times New Roman" w:cs="Times New Roman" w:eastAsia="Times New Roman" w:hAnsi="Times New Roman"/>
                <w:sz w:val="18"/>
                <w:szCs w:val="18"/>
                <w:color w:val="auto"/>
                <w:w w:val="99"/>
              </w:rPr>
              <w:t>)</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Ryan Bartolucci</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i w:val="1"/>
                <w:iCs w:val="1"/>
                <w:color w:val="auto"/>
                <w:w w:val="99"/>
              </w:rPr>
              <w:t>(Principal Accounting Officer)</w:t>
            </w: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Peter J. Barris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Eric D. Belcher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Jennifer A. Doudna, Ph.D.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David R. Epstein</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Wayne A.I. Frederick, M.D.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Scott Gottlieb, M.D.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rPr>
              <w:t>Theodore J. Leonsis</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27"/>
        </w:trPr>
        <w:tc>
          <w:tcPr>
            <w:tcW w:w="41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Director</w:t>
            </w:r>
          </w:p>
        </w:tc>
        <w:tc>
          <w:tcPr>
            <w:tcW w:w="1760" w:type="dxa"/>
            <w:vAlign w:val="bottom"/>
          </w:tcPr>
          <w:p>
            <w:pPr>
              <w:spacing w:after="0"/>
              <w:rPr>
                <w:sz w:val="20"/>
                <w:szCs w:val="20"/>
                <w:color w:val="auto"/>
              </w:rPr>
            </w:pPr>
            <w:r>
              <w:rPr>
                <w:rFonts w:ascii="Times New Roman" w:cs="Times New Roman" w:eastAsia="Times New Roman" w:hAnsi="Times New Roman"/>
                <w:sz w:val="18"/>
                <w:szCs w:val="18"/>
                <w:color w:val="auto"/>
              </w:rPr>
              <w:t>August 8, 2025</w:t>
            </w:r>
          </w:p>
        </w:tc>
      </w:tr>
      <w:tr>
        <w:trPr>
          <w:trHeight w:val="228"/>
        </w:trPr>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5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Nadja West, M.D.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454"/>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By: /s/ Eric P. Lefkofksy</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5"/>
        </w:trPr>
        <w:tc>
          <w:tcPr>
            <w:tcW w:w="360" w:type="dxa"/>
            <w:vAlign w:val="bottom"/>
          </w:tcPr>
          <w:p>
            <w:pPr>
              <w:spacing w:after="0"/>
              <w:rPr>
                <w:sz w:val="17"/>
                <w:szCs w:val="17"/>
                <w:color w:val="auto"/>
              </w:rPr>
            </w:pPr>
          </w:p>
        </w:tc>
        <w:tc>
          <w:tcPr>
            <w:tcW w:w="3820" w:type="dxa"/>
            <w:vAlign w:val="bottom"/>
            <w:tcBorders>
              <w:top w:val="single" w:sz="8" w:color="auto"/>
            </w:tcBorders>
            <w:gridSpan w:val="2"/>
          </w:tcPr>
          <w:p>
            <w:pPr>
              <w:spacing w:after="0" w:line="205" w:lineRule="exact"/>
              <w:rPr>
                <w:sz w:val="20"/>
                <w:szCs w:val="20"/>
                <w:color w:val="auto"/>
              </w:rPr>
            </w:pPr>
            <w:r>
              <w:rPr>
                <w:rFonts w:ascii="Times New Roman" w:cs="Times New Roman" w:eastAsia="Times New Roman" w:hAnsi="Times New Roman"/>
                <w:sz w:val="18"/>
                <w:szCs w:val="18"/>
                <w:color w:val="auto"/>
              </w:rPr>
              <w:t>Eric P. Lefkofsky</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34"/>
        </w:trPr>
        <w:tc>
          <w:tcPr>
            <w:tcW w:w="3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Attorney-in-Fact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r>
    </w:tbl>
    <w:p>
      <w:pPr>
        <w:sectPr>
          <w:pgSz w:w="11900" w:h="16838" w:orient="portrait"/>
          <w:cols w:equalWidth="0" w:num="1">
            <w:col w:w="11020"/>
          </w:cols>
          <w:pgMar w:left="440" w:top="266" w:right="439" w:bottom="1440" w:gutter="0" w:footer="0" w:header="0"/>
        </w:sectPr>
      </w:pPr>
    </w:p>
    <w:bookmarkStart w:id="7" w:name="page8"/>
    <w:bookmarkEnd w:id="7"/>
    <w:p>
      <w:pPr>
        <w:ind w:left="10180"/>
        <w:spacing w:after="0"/>
        <w:rPr>
          <w:sz w:val="20"/>
          <w:szCs w:val="20"/>
          <w:color w:val="auto"/>
        </w:rPr>
      </w:pPr>
      <w:r>
        <w:rPr>
          <w:rFonts w:ascii="Times New Roman" w:cs="Times New Roman" w:eastAsia="Times New Roman" w:hAnsi="Times New Roman"/>
          <w:sz w:val="17"/>
          <w:szCs w:val="17"/>
          <w:b w:val="1"/>
          <w:bCs w:val="1"/>
          <w:color w:val="auto"/>
        </w:rPr>
        <w:t>Exhibit 5.1</w:t>
      </w:r>
    </w:p>
    <w:p>
      <w:pPr>
        <w:spacing w:after="0" w:line="264"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b w:val="1"/>
          <w:bCs w:val="1"/>
          <w:color w:val="auto"/>
        </w:rPr>
        <w:t>Brownstein Hyatt Farber Schreck,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1765935"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5">
                      <a:extLst>
                        <a:ext uri="{28A0092B-C50C-407E-A947-70E740481C1C}"/>
                      </a:extLst>
                    </a:blip>
                    <a:srcRect/>
                    <a:stretch>
                      <a:fillRect/>
                    </a:stretch>
                  </pic:blipFill>
                  <pic:spPr bwMode="auto">
                    <a:xfrm>
                      <a:off x="0" y="0"/>
                      <a:ext cx="1765935" cy="265430"/>
                    </a:xfrm>
                    <a:prstGeom prst="rect">
                      <a:avLst/>
                    </a:prstGeom>
                    <a:noFill/>
                  </pic:spPr>
                </pic:pic>
              </a:graphicData>
            </a:graphic>
          </wp:anchor>
        </w:drawing>
      </w:r>
    </w:p>
    <w:p>
      <w:pPr>
        <w:spacing w:after="0" w:line="11"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702.382.2101 main</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100 North City Parkway, Suite 1600</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Las Vegas, Nevada 89106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 West Chicago Avenue, Suite 510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 60654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addressee set forth above: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local Nevada counsel to Tempus AI, Inc., a Nevada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which is the resulting entity (as defined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Nevada Revised Statutes 92A.090) in the conversion of Tempus AI, Inc., a Delaware corporation (the “</w:t>
      </w:r>
      <w:r>
        <w:rPr>
          <w:rFonts w:ascii="Times New Roman" w:cs="Times New Roman" w:eastAsia="Times New Roman" w:hAnsi="Times New Roman"/>
          <w:sz w:val="18"/>
          <w:szCs w:val="18"/>
          <w:u w:val="single" w:color="auto"/>
          <w:color w:val="auto"/>
        </w:rPr>
        <w:t>Delaware Corporation</w:t>
      </w:r>
      <w:r>
        <w:rPr>
          <w:rFonts w:ascii="Times New Roman" w:cs="Times New Roman" w:eastAsia="Times New Roman" w:hAnsi="Times New Roman"/>
          <w:sz w:val="18"/>
          <w:szCs w:val="18"/>
          <w:color w:val="auto"/>
        </w:rPr>
        <w:t>”), into a Nevada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corporation (the “</w:t>
      </w:r>
      <w:r>
        <w:rPr>
          <w:rFonts w:ascii="Times New Roman" w:cs="Times New Roman" w:eastAsia="Times New Roman" w:hAnsi="Times New Roman"/>
          <w:sz w:val="17"/>
          <w:szCs w:val="17"/>
          <w:u w:val="single" w:color="auto"/>
          <w:color w:val="auto"/>
        </w:rPr>
        <w:t>Conversion</w:t>
      </w:r>
      <w:r>
        <w:rPr>
          <w:rFonts w:ascii="Times New Roman" w:cs="Times New Roman" w:eastAsia="Times New Roman" w:hAnsi="Times New Roman"/>
          <w:sz w:val="17"/>
          <w:szCs w:val="17"/>
          <w:color w:val="auto"/>
        </w:rPr>
        <w:t>”), in connection with the filing by the Company of (i) Post Effective Amendment No.1 to Form S-8 Registration Statement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(File No. 333-280270), and (ii) Post Effective Amendment No.1 to Form S-8 Registration Statement (File No. 333-285174)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Statements</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 as amended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relating to the registration of an aggregate of 10,301,134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Class A Common Stock, par value $0.0001 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issuable under the Company’s 2024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This opinion letter is being delivered at your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request pursuant to the requirements of Item 601(b)(5) of Regulation S-K under the Act.</w:t>
      </w:r>
    </w:p>
    <w:p>
      <w:pPr>
        <w:spacing w:after="0" w:line="207"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our capacity as such counsel, we are familiar with the proceedings taken and proposed to be taken by the Company in connection with the authorization and issuance of the Shares as contemplated by the Plan and as described in the Registration Statements. For purposes of this opinion letter, and except to the extent set forth in the opinion expressed below, we have assumed that all such proceedings have been or will be timely completed in the manner contemplated by the Plan, and as presently proposed in the Registration Statements.</w:t>
      </w:r>
    </w:p>
    <w:p>
      <w:pPr>
        <w:spacing w:after="0" w:line="180"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For the purpose of issuing this opinion letter, we have made such legal and factual examinations and inquiries, including an examination of originals or copies certified or otherwise identified to our satisfaction as being true copies of (i) the Registration Statements, (ii) the Plan, (iii) the Company’s articles of incorporation and bylaws, and (iv) such other agreements, instruments, corporate records (including resolutions of the board of directors and any committee thereof) and other documents, or forms thereof, as we have deemed necessary or appropriate, and we have obtained from officers and other representatives and agents of the Company and from public officials, and have relied upon, such certificates, representations, assurances and public filings as we have deemed necessary or appropriate.</w:t>
      </w:r>
    </w:p>
    <w:p>
      <w:pPr>
        <w:spacing w:after="0" w:line="187"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Without limiting the generality of the foregoing, we have, with your permission, assumed without independent verification that (i) each natural person executing a document has or will have sufficient legal capacity to do so; (ii) all documents submitted to us as originals are authentic, the signatures on all documents we reviewed are genuine, and all documents submitted to us as certified, conformed, photostatic, electronic or facsimile copies conform to the original document; (iii) all corporate records made available to us by the Company, and all public records we have reviewed, are accurate and complete; (iv) prior to the Conversion, the</w:t>
      </w:r>
    </w:p>
    <w:p>
      <w:pPr>
        <w:spacing w:after="0" w:line="11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www.bhfs.com</w:t>
      </w:r>
    </w:p>
    <w:p>
      <w:pPr>
        <w:sectPr>
          <w:pgSz w:w="11900" w:h="16838" w:orient="portrait"/>
          <w:cols w:equalWidth="0" w:num="1">
            <w:col w:w="11020"/>
          </w:cols>
          <w:pgMar w:left="440" w:top="117"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Tempus AI,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Delaware Corporation has taken all corporate action required under the laws of the State of Delaware to authorize the Plan and the performance by the Company of its obligations thereunder, including the issuance of Shares; and (v) after any issuance of any Shares, the total number of issued and outstanding shares of Common Stock, together with the total number of shares of Common Stock then reserved for issuance or obligated to be issued by the Company pursuant to any agreement or arrangement, or otherwise, including pursuant to the Plan, will not exceed the total number of shares of Common Stock then authorized under the Company’s articles of incorporation.</w:t>
      </w:r>
    </w:p>
    <w:p>
      <w:pPr>
        <w:spacing w:after="0" w:line="183"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We are qualified to practice law in the State of Nevada. The opinion set forth herein is expressly limited to and based exclusively on the general corporate laws of the State of Nevada, and we do not purport to be experts on, or to express any opinion with respect to the applicability thereto or the effect thereon of, the laws of any other jurisdiction. We express no opinion concerning, and we assume no responsibility as to laws or judicial decisions related to, or any orders, consents or other authorizations or approvals as may be required by, any federal laws, rules or regulations, including, without limitation, any federal securities laws, rules or regulations, or any state securities or “blue sky” laws, rules or regulations.</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Based on the foregoing and in reliance thereon, and having regard to legal considerations and other information that we deem relevant, we are of the opinion that the Shares have been duly authorized by the Company and, if, when and to the extent issued in accordance with all applicable terms and conditions set forth in the Plan and in exchange for the consideration required thereunder, and as described in the Registration Statements, such Shares will be validly issued, fully paid and non-assessable.</w:t>
      </w:r>
    </w:p>
    <w:p>
      <w:pPr>
        <w:spacing w:after="0" w:line="180"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opinion expressed herein is based upon the applicable laws of the State of Nevada and the facts in existence on the date of this opinion letter. In delivering this opinion letter to you, we disclaim any obligation to update or supplement the opinion set forth herein or to apprise you of any changes in any laws or facts after the filing of this opinion letter as an exhibit to the Registration Statements. No opinion is offered or implied as to any matter, and no inference may be drawn, beyond the strict scope of the specific issues expressly addressed by the opinion set forth herein.</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Statements. In giving this consent, we do not admit that we are within the category of persons whose consent is required under Section 7 of the Act or the rules and regulations of the Commission promulgated thereunder.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Brownstein Hyatt Farber Schreck, LLP</w:t>
      </w:r>
    </w:p>
    <w:p>
      <w:pPr>
        <w:sectPr>
          <w:pgSz w:w="11900" w:h="16838" w:orient="portrait"/>
          <w:cols w:equalWidth="0" w:num="1">
            <w:col w:w="10960"/>
          </w:cols>
          <w:pgMar w:left="440" w:top="270" w:right="49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Post-Effective Amendment No. 1 to the Registration Statements on Form S-8 (File Nos. 333-280270 and 333-285174) of Tempus AI, Inc. of our report dated February 24, 2025 relating to the financial statements which appears in Tempus AI, Inc.’s Annual Report on Form 10-K for the year ended December 31,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8, 2025</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41" Type="http://schemas.openxmlformats.org/officeDocument/2006/relationships/image" Target="media/image13.png"/><Relationship Id="rId42" Type="http://schemas.openxmlformats.org/officeDocument/2006/relationships/image" Target="media/image14.png"/><Relationship Id="rId43" Type="http://schemas.openxmlformats.org/officeDocument/2006/relationships/image" Target="media/image15.png"/><Relationship Id="rId44" Type="http://schemas.openxmlformats.org/officeDocument/2006/relationships/image" Target="media/image16.png"/><Relationship Id="rId45" Type="http://schemas.openxmlformats.org/officeDocument/2006/relationships/image" Target="media/image17.jpeg"/><Relationship Id="rId46" Type="http://schemas.openxmlformats.org/officeDocument/2006/relationships/image" Target="media/image18.png"/><Relationship Id="rId17" Type="http://schemas.openxmlformats.org/officeDocument/2006/relationships/hyperlink" Target="http://www.sec.gov/Archives/edgar/data/1717115/000119312524162651/d689266ds8.htm" TargetMode="External"/><Relationship Id="rId18" Type="http://schemas.openxmlformats.org/officeDocument/2006/relationships/hyperlink" Target="http://www.sec.gov/Archives/edgar/data/1717115/000119312525033507/d830983ds8.htm" TargetMode="External"/><Relationship Id="rId20" Type="http://schemas.openxmlformats.org/officeDocument/2006/relationships/hyperlink" Target="http://www.sec.gov/ix?doc=/Archives/edgar/data/1717115/000095017025025603/tem-20241231.htm" TargetMode="External"/><Relationship Id="rId21" Type="http://schemas.openxmlformats.org/officeDocument/2006/relationships/hyperlink" Target="http://www.sec.gov/ix?doc=/Archives/edgar/data/1717115/000095017025064447/tem-20250331.htm" TargetMode="External"/><Relationship Id="rId22" Type="http://schemas.openxmlformats.org/officeDocument/2006/relationships/hyperlink" Target="http://www.sec.gov/ix?doc=/Archives/edgar/data/1717115/000095017025105449/tem-20250630.htm" TargetMode="External"/><Relationship Id="rId23" Type="http://schemas.openxmlformats.org/officeDocument/2006/relationships/hyperlink" Target="http://www.sec.gov/ix?doc=/Archives/edgar/data/1717115/000119312525074642/d911583ddef14a.htm" TargetMode="External"/><Relationship Id="rId24" Type="http://schemas.openxmlformats.org/officeDocument/2006/relationships/hyperlink" Target="http://www.sec.gov/Archives/edgar/data/1717115/000119312525019313/d843563d8k.htm" TargetMode="External"/><Relationship Id="rId25" Type="http://schemas.openxmlformats.org/officeDocument/2006/relationships/hyperlink" Target="http://www.sec.gov/ix?doc=/Archives/edgar/data/1717115/000119312525090062/d944168d8k.htm" TargetMode="External"/><Relationship Id="rId26" Type="http://schemas.openxmlformats.org/officeDocument/2006/relationships/hyperlink" Target="http://www.sec.gov/ix?doc=/Archives/edgar/data/1717115/000119312525125425/d936615d8k.htm" TargetMode="External"/><Relationship Id="rId27" Type="http://schemas.openxmlformats.org/officeDocument/2006/relationships/hyperlink" Target="http://www.sec.gov/ix?doc=/Archives/edgar/data/1717115/000119312525155545/d14356d8k.htm" TargetMode="External"/><Relationship Id="rId28" Type="http://schemas.openxmlformats.org/officeDocument/2006/relationships/hyperlink" Target="http://www.sec.gov/Archives/edgar/data/1717115/000119312524159105/d806693d8a12b.htm" TargetMode="External"/><Relationship Id="rId29" Type="http://schemas.openxmlformats.org/officeDocument/2006/relationships/hyperlink" Target="http://www.sec.gov/Archives/edgar/data/1717115/000095017025105449/tem-ex4_3.htm" TargetMode="External"/><Relationship Id="rId32" Type="http://schemas.openxmlformats.org/officeDocument/2006/relationships/hyperlink" Target="http://www.sec.gov/Archives/edgar/data/1717115/000095017025105449/tem-ex3_1.htm" TargetMode="External"/><Relationship Id="rId33" Type="http://schemas.openxmlformats.org/officeDocument/2006/relationships/hyperlink" Target="http://www.sec.gov/Archives/edgar/data/1717115/000095017025105449/tem-ex3_2.htm" TargetMode="External"/><Relationship Id="rId34" Type="http://schemas.openxmlformats.org/officeDocument/2006/relationships/hyperlink" Target="http://www.sec.gov/Archives/edgar/data/1717115/000095017025105449/tem-ex4_4.htm" TargetMode="External"/><Relationship Id="rId35" Type="http://schemas.openxmlformats.org/officeDocument/2006/relationships/hyperlink" Target="http://www.sec.gov/Archives/edgar/data/1717115/000119312524162651/d689266ds8.htm#sig" TargetMode="External"/><Relationship Id="rId36" Type="http://schemas.openxmlformats.org/officeDocument/2006/relationships/hyperlink" Target="http://www.sec.gov/Archives/edgar/data/1717115/000119312525033507/d830983ds8.htm#sig" TargetMode="External"/><Relationship Id="rId37" Type="http://schemas.openxmlformats.org/officeDocument/2006/relationships/hyperlink" Target="http://www.sec.gov/Archives/edgar/data/1717115/000119312524154635/d221145dex104.htm" TargetMode="External"/><Relationship Id="rId38" Type="http://schemas.openxmlformats.org/officeDocument/2006/relationships/hyperlink" Target="http://www.sec.gov/Archives/edgar/data/1717115/000119312524142956/d221145dex106.htm" TargetMode="External"/><Relationship Id="rId39" Type="http://schemas.openxmlformats.org/officeDocument/2006/relationships/hyperlink" Target="http://www.sec.gov/Archives/edgar/data/1717115/000119312524142956/d221145dex105.htm" TargetMode="External"/><Relationship Id="rId40" Type="http://schemas.openxmlformats.org/officeDocument/2006/relationships/hyperlink" Target="http://www.sec.gov/Archives/edgar/data/1717115/000095017025064447/tem-ex10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2025-08-08T06:35:24Z</dcterms:created>
  <dcterms:modified xsi:type="dcterms:W3CDTF">2025-08-08T06:35:24Z</dcterms:modified>
</cp:coreProperties>
</file>