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Bartolucci Ryan M</w:t>
              </w:r>
            </w:hyperlink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Tempus AI,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TEM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TEMPUS AI, INC.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01/31/2025</w:t>
            </w: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600 WEST CHICAGO AVENUE, SUITE 510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Accounting Officer</w:t>
      </w:r>
    </w:p>
    <w:p>
      <w:pPr>
        <w:spacing w:after="0" w:line="45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CHICAGO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IL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60654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01/31/2025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13,770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57,237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This transaction was made pursuant to a Rule 10b5-1 trading plan adopted by the Reporting Person on June 14, 2024.</w:t>
      </w:r>
    </w:p>
    <w:p>
      <w:pPr>
        <w:ind w:left="6580"/>
        <w:spacing w:after="0" w:line="18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Andrew Polovin, Attorney-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01/31/2025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379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79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31178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7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754464" TargetMode="External"/><Relationship Id="rId14" Type="http://schemas.openxmlformats.org/officeDocument/2006/relationships/hyperlink" Target="http://www.sec.gov/cgi-bin/browse-edgar?action=getcompany&amp;CIK=00017171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2025-01-31T20:35:18Z</dcterms:created>
  <dcterms:modified xsi:type="dcterms:W3CDTF">2025-01-31T20:35:18Z</dcterms:modified>
</cp:coreProperties>
</file>