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Personalis,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$0.0001 par value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71535D106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Andrew Polovin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West Chicago Avenue, Suite 510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976-5448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16,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68" w:lineRule="exact"/>
        <w:rPr>
          <w:sz w:val="24"/>
          <w:szCs w:val="24"/>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13d-7(b) for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81" w:lineRule="exact"/>
        <w:rPr>
          <w:sz w:val="24"/>
          <w:szCs w:val="24"/>
          <w:color w:val="auto"/>
        </w:rPr>
      </w:pPr>
    </w:p>
    <w:p>
      <w:pPr>
        <w:ind w:firstLine="332"/>
        <w:spacing w:after="0" w:line="282" w:lineRule="auto"/>
        <w:tabs>
          <w:tab w:leader="none" w:pos="4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CUSIP No. 71535D106</w:t>
            </w:r>
          </w:p>
        </w:tc>
        <w:tc>
          <w:tcPr>
            <w:tcW w:w="204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w w:val="90"/>
              </w:rPr>
              <w:t>13D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660" w:hanging="373"/>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660" w:hanging="373"/>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hanging="373"/>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660" w:hanging="373"/>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OO,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 w:lineRule="exact"/>
        <w:rPr>
          <w:sz w:val="20"/>
          <w:szCs w:val="20"/>
          <w:color w:val="auto"/>
        </w:rPr>
      </w:pPr>
    </w:p>
    <w:p>
      <w:pPr>
        <w:ind w:left="660" w:hanging="373"/>
        <w:spacing w:after="0" w:line="196" w:lineRule="exact"/>
        <w:tabs>
          <w:tab w:leader="none" w:pos="66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Check if disclosure of legal proceedings is required pursuant to Items 2(d) or 2(e)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2" w:lineRule="exact"/>
        <w:rPr>
          <w:sz w:val="20"/>
          <w:szCs w:val="20"/>
          <w:color w:val="auto"/>
        </w:rPr>
      </w:pPr>
    </w:p>
    <w:p>
      <w:pPr>
        <w:ind w:left="660" w:hanging="373"/>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Delaware</w:t>
      </w:r>
    </w:p>
    <w:p>
      <w:pPr>
        <w:spacing w:after="0" w:line="36"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1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00" w:type="dxa"/>
            <w:vAlign w:val="bottom"/>
          </w:tcPr>
          <w:p>
            <w:pPr>
              <w:spacing w:after="0"/>
              <w:rPr>
                <w:sz w:val="20"/>
                <w:szCs w:val="20"/>
                <w:color w:val="auto"/>
              </w:rPr>
            </w:pPr>
          </w:p>
        </w:tc>
        <w:tc>
          <w:tcPr>
            <w:tcW w:w="2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26"/>
        </w:trPr>
        <w:tc>
          <w:tcPr>
            <w:tcW w:w="1660" w:type="dxa"/>
            <w:vAlign w:val="bottom"/>
            <w:vMerge w:val="continue"/>
          </w:tcPr>
          <w:p>
            <w:pPr>
              <w:spacing w:after="0"/>
              <w:rPr>
                <w:sz w:val="10"/>
                <w:szCs w:val="10"/>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17"/>
        </w:trPr>
        <w:tc>
          <w:tcPr>
            <w:tcW w:w="1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00" w:type="dxa"/>
            <w:vAlign w:val="bottom"/>
            <w:vMerge w:val="continue"/>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12,718,800</w:t>
            </w:r>
          </w:p>
        </w:tc>
        <w:tc>
          <w:tcPr>
            <w:tcW w:w="0" w:type="dxa"/>
            <w:vAlign w:val="bottom"/>
          </w:tcPr>
          <w:p>
            <w:pPr>
              <w:spacing w:after="0"/>
              <w:rPr>
                <w:sz w:val="1"/>
                <w:szCs w:val="1"/>
                <w:color w:val="auto"/>
              </w:rPr>
            </w:pPr>
          </w:p>
        </w:tc>
      </w:tr>
      <w:tr>
        <w:trPr>
          <w:trHeight w:val="117"/>
        </w:trPr>
        <w:tc>
          <w:tcPr>
            <w:tcW w:w="1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50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60" w:type="dxa"/>
            <w:vAlign w:val="bottom"/>
            <w:vMerge w:val="continue"/>
          </w:tcPr>
          <w:p>
            <w:pPr>
              <w:spacing w:after="0"/>
              <w:rPr>
                <w:sz w:val="16"/>
                <w:szCs w:val="16"/>
                <w:color w:val="auto"/>
              </w:rPr>
            </w:pPr>
          </w:p>
        </w:tc>
        <w:tc>
          <w:tcPr>
            <w:tcW w:w="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9</w:t>
            </w:r>
          </w:p>
        </w:tc>
        <w:tc>
          <w:tcPr>
            <w:tcW w:w="210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6"/>
        </w:trPr>
        <w:tc>
          <w:tcPr>
            <w:tcW w:w="1660" w:type="dxa"/>
            <w:vAlign w:val="bottom"/>
          </w:tcPr>
          <w:p>
            <w:pPr>
              <w:jc w:val="center"/>
              <w:ind w:right="13"/>
              <w:spacing w:after="0" w:line="126" w:lineRule="exact"/>
              <w:rPr>
                <w:sz w:val="20"/>
                <w:szCs w:val="20"/>
                <w:color w:val="auto"/>
              </w:rPr>
            </w:pPr>
            <w:r>
              <w:rPr>
                <w:rFonts w:ascii="Times New Roman" w:cs="Times New Roman" w:eastAsia="Times New Roman" w:hAnsi="Times New Roman"/>
                <w:sz w:val="13"/>
                <w:szCs w:val="13"/>
                <w:b w:val="1"/>
                <w:bCs w:val="1"/>
                <w:color w:val="auto"/>
              </w:rPr>
              <w:t>REPORTING</w:t>
            </w:r>
          </w:p>
        </w:tc>
        <w:tc>
          <w:tcPr>
            <w:tcW w:w="5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4"/>
        </w:trPr>
        <w:tc>
          <w:tcPr>
            <w:tcW w:w="1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WITH</w:t>
            </w:r>
          </w:p>
        </w:tc>
        <w:tc>
          <w:tcPr>
            <w:tcW w:w="50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66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8"/>
              </w:rPr>
              <w:t>Shared Dispositive Power</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-153670</wp:posOffset>
            </wp:positionV>
            <wp:extent cx="58978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97880" cy="171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-582295</wp:posOffset>
            </wp:positionV>
            <wp:extent cx="58978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97880" cy="171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-1010920</wp:posOffset>
            </wp:positionV>
            <wp:extent cx="58978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97880" cy="17145"/>
                    </a:xfrm>
                    <a:prstGeom prst="rect">
                      <a:avLst/>
                    </a:prstGeom>
                    <a:noFill/>
                  </pic:spPr>
                </pic:pic>
              </a:graphicData>
            </a:graphic>
          </wp:anchor>
        </w:drawing>
      </w:r>
    </w:p>
    <w:p>
      <w:pPr>
        <w:spacing w:after="0" w:line="17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12,718,800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660" w:hanging="413"/>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12,718,800</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line="207" w:lineRule="exact"/>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19.3%</w:t>
      </w:r>
    </w:p>
    <w:p>
      <w:pPr>
        <w:spacing w:after="0" w:line="40"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-836930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-1128395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-136525</wp:posOffset>
            </wp:positionV>
            <wp:extent cx="23571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571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63"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ectPr>
          <w:pgSz w:w="11900" w:h="16838" w:orient="portrait"/>
          <w:cols w:equalWidth="0" w:num="2">
            <w:col w:w="9220" w:space="720"/>
            <w:col w:w="1280"/>
          </w:cols>
          <w:pgMar w:left="320" w:top="228" w:right="35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CUSIP No. 71535D106</w:t>
            </w:r>
          </w:p>
        </w:tc>
        <w:tc>
          <w:tcPr>
            <w:tcW w:w="204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w w:val="90"/>
              </w:rPr>
              <w:t>13D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660" w:hanging="373"/>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660" w:hanging="373"/>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hanging="373"/>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660" w:hanging="373"/>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OO, 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 w:lineRule="exact"/>
        <w:rPr>
          <w:sz w:val="20"/>
          <w:szCs w:val="20"/>
          <w:color w:val="auto"/>
        </w:rPr>
      </w:pPr>
    </w:p>
    <w:p>
      <w:pPr>
        <w:ind w:left="660" w:hanging="373"/>
        <w:spacing w:after="0" w:line="196" w:lineRule="exact"/>
        <w:tabs>
          <w:tab w:leader="none" w:pos="66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Check if disclosure of legal proceedings is required pursuant to Items 2(d) or 2(e)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2" w:lineRule="exact"/>
        <w:rPr>
          <w:sz w:val="20"/>
          <w:szCs w:val="20"/>
          <w:color w:val="auto"/>
        </w:rPr>
      </w:pPr>
    </w:p>
    <w:p>
      <w:pPr>
        <w:ind w:left="660" w:hanging="373"/>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United States</w:t>
      </w:r>
    </w:p>
    <w:p>
      <w:pPr>
        <w:spacing w:after="0" w:line="49"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1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00" w:type="dxa"/>
            <w:vAlign w:val="bottom"/>
          </w:tcPr>
          <w:p>
            <w:pPr>
              <w:spacing w:after="0"/>
              <w:rPr>
                <w:sz w:val="20"/>
                <w:szCs w:val="20"/>
                <w:color w:val="auto"/>
              </w:rPr>
            </w:pPr>
          </w:p>
        </w:tc>
        <w:tc>
          <w:tcPr>
            <w:tcW w:w="2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0" w:type="dxa"/>
            <w:vAlign w:val="bottom"/>
          </w:tcPr>
          <w:p>
            <w:pPr>
              <w:spacing w:after="0"/>
              <w:rPr>
                <w:sz w:val="1"/>
                <w:szCs w:val="1"/>
                <w:color w:val="auto"/>
              </w:rPr>
            </w:pPr>
          </w:p>
        </w:tc>
      </w:tr>
      <w:tr>
        <w:trPr>
          <w:trHeight w:val="126"/>
        </w:trPr>
        <w:tc>
          <w:tcPr>
            <w:tcW w:w="1660" w:type="dxa"/>
            <w:vAlign w:val="bottom"/>
            <w:vMerge w:val="continue"/>
          </w:tcPr>
          <w:p>
            <w:pPr>
              <w:spacing w:after="0"/>
              <w:rPr>
                <w:sz w:val="10"/>
                <w:szCs w:val="10"/>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17"/>
        </w:trPr>
        <w:tc>
          <w:tcPr>
            <w:tcW w:w="1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00" w:type="dxa"/>
            <w:vAlign w:val="bottom"/>
            <w:vMerge w:val="continue"/>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12,718,800</w:t>
            </w:r>
          </w:p>
        </w:tc>
        <w:tc>
          <w:tcPr>
            <w:tcW w:w="0" w:type="dxa"/>
            <w:vAlign w:val="bottom"/>
          </w:tcPr>
          <w:p>
            <w:pPr>
              <w:spacing w:after="0"/>
              <w:rPr>
                <w:sz w:val="1"/>
                <w:szCs w:val="1"/>
                <w:color w:val="auto"/>
              </w:rPr>
            </w:pPr>
          </w:p>
        </w:tc>
      </w:tr>
      <w:tr>
        <w:trPr>
          <w:trHeight w:val="117"/>
        </w:trPr>
        <w:tc>
          <w:tcPr>
            <w:tcW w:w="1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50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60" w:type="dxa"/>
            <w:vAlign w:val="bottom"/>
            <w:vMerge w:val="continue"/>
          </w:tcPr>
          <w:p>
            <w:pPr>
              <w:spacing w:after="0"/>
              <w:rPr>
                <w:sz w:val="16"/>
                <w:szCs w:val="16"/>
                <w:color w:val="auto"/>
              </w:rPr>
            </w:pPr>
          </w:p>
        </w:tc>
        <w:tc>
          <w:tcPr>
            <w:tcW w:w="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9</w:t>
            </w:r>
          </w:p>
        </w:tc>
        <w:tc>
          <w:tcPr>
            <w:tcW w:w="210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6"/>
        </w:trPr>
        <w:tc>
          <w:tcPr>
            <w:tcW w:w="1660" w:type="dxa"/>
            <w:vAlign w:val="bottom"/>
          </w:tcPr>
          <w:p>
            <w:pPr>
              <w:jc w:val="center"/>
              <w:ind w:right="13"/>
              <w:spacing w:after="0" w:line="126" w:lineRule="exact"/>
              <w:rPr>
                <w:sz w:val="20"/>
                <w:szCs w:val="20"/>
                <w:color w:val="auto"/>
              </w:rPr>
            </w:pPr>
            <w:r>
              <w:rPr>
                <w:rFonts w:ascii="Times New Roman" w:cs="Times New Roman" w:eastAsia="Times New Roman" w:hAnsi="Times New Roman"/>
                <w:sz w:val="13"/>
                <w:szCs w:val="13"/>
                <w:b w:val="1"/>
                <w:bCs w:val="1"/>
                <w:color w:val="auto"/>
              </w:rPr>
              <w:t>REPORTING</w:t>
            </w:r>
          </w:p>
        </w:tc>
        <w:tc>
          <w:tcPr>
            <w:tcW w:w="5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0" w:type="dxa"/>
            <w:vAlign w:val="bottom"/>
          </w:tcPr>
          <w:p>
            <w:pPr>
              <w:spacing w:after="0"/>
              <w:rPr>
                <w:sz w:val="1"/>
                <w:szCs w:val="1"/>
                <w:color w:val="auto"/>
              </w:rPr>
            </w:pPr>
          </w:p>
        </w:tc>
      </w:tr>
      <w:tr>
        <w:trPr>
          <w:trHeight w:val="144"/>
        </w:trPr>
        <w:tc>
          <w:tcPr>
            <w:tcW w:w="1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WITH</w:t>
            </w:r>
          </w:p>
        </w:tc>
        <w:tc>
          <w:tcPr>
            <w:tcW w:w="50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66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8"/>
              </w:rPr>
              <w:t>Shared Dispositive Power</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-153670</wp:posOffset>
            </wp:positionV>
            <wp:extent cx="58978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97880" cy="171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-582295</wp:posOffset>
            </wp:positionV>
            <wp:extent cx="58978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97880" cy="171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-1010920</wp:posOffset>
            </wp:positionV>
            <wp:extent cx="58978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97880" cy="17145"/>
                    </a:xfrm>
                    <a:prstGeom prst="rect">
                      <a:avLst/>
                    </a:prstGeom>
                    <a:noFill/>
                  </pic:spPr>
                </pic:pic>
              </a:graphicData>
            </a:graphic>
          </wp:anchor>
        </w:drawing>
      </w:r>
    </w:p>
    <w:p>
      <w:pPr>
        <w:spacing w:after="0" w:line="17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12,718,800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660" w:hanging="413"/>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12,868,800</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line="207" w:lineRule="exact"/>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19.6%</w:t>
      </w:r>
    </w:p>
    <w:p>
      <w:pPr>
        <w:spacing w:after="0" w:line="40"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-836930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-1128395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-136525</wp:posOffset>
            </wp:positionV>
            <wp:extent cx="23571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571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63"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ectPr>
          <w:pgSz w:w="11900" w:h="16838" w:orient="portrait"/>
          <w:cols w:equalWidth="0" w:num="2">
            <w:col w:w="9220" w:space="720"/>
            <w:col w:w="1280"/>
          </w:cols>
          <w:pgMar w:left="320" w:top="227" w:right="35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CUSIP No. 71535D106</w:t>
            </w:r>
          </w:p>
        </w:tc>
        <w:tc>
          <w:tcPr>
            <w:tcW w:w="382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680" w:type="dxa"/>
            <w:vAlign w:val="bottom"/>
            <w:tcBorders>
              <w:top w:val="single" w:sz="8" w:color="auto"/>
              <w:bottom w:val="single" w:sz="8" w:color="auto"/>
              <w:right w:val="single" w:sz="8" w:color="auto"/>
            </w:tcBorders>
          </w:tcPr>
          <w:p>
            <w:pPr>
              <w:ind w:left="2380"/>
              <w:spacing w:after="0"/>
              <w:rPr>
                <w:sz w:val="20"/>
                <w:szCs w:val="20"/>
                <w:color w:val="auto"/>
              </w:rPr>
            </w:pPr>
            <w:r>
              <w:rPr>
                <w:rFonts w:ascii="Times New Roman" w:cs="Times New Roman" w:eastAsia="Times New Roman" w:hAnsi="Times New Roman"/>
                <w:sz w:val="18"/>
                <w:szCs w:val="18"/>
                <w:color w:val="auto"/>
                <w:w w:val="99"/>
              </w:rPr>
              <w:t>Page 4 of 6 pages</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891"/>
        <w:spacing w:after="0" w:line="261" w:lineRule="auto"/>
        <w:rPr>
          <w:sz w:val="20"/>
          <w:szCs w:val="20"/>
          <w:color w:val="auto"/>
        </w:rPr>
      </w:pPr>
      <w:r>
        <w:rPr>
          <w:rFonts w:ascii="Times New Roman" w:cs="Times New Roman" w:eastAsia="Times New Roman" w:hAnsi="Times New Roman"/>
          <w:sz w:val="18"/>
          <w:szCs w:val="18"/>
          <w:color w:val="auto"/>
        </w:rPr>
        <w:t>This Amendment No. 1 to Schedule 13D (this “Amendment No. 1”) amends and supplements the statement on Schedule 13D filed with the United States Securities and Exchange Commission (the “Commission”) on July 3, 2024 (as amended to date, the “Schedule 13D”), relating to the common stock, par value $0.0001 per share (the “Common Stock”), of Personalis, Inc., a Delaware corporation (the “Issuer”). Capitalized terms used herein without definition shall have the meaning set forth in the Schedule 13D.</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16, 2024, pursuant to the terms of the Investment Agreement (as defined in Item 4 below), Tempus (i) exercised the Warrants to acquire 9,218,800 shares of Common Stock for an aggregate exercise price of $18,437,600, and (ii) purchased 3,500,000 shares of Common Stock from the Issuer at a price of $5.07 per share. Tempus funded the exercise of the Warrants and the purchase of the shares of Common Stock using funds from its working capital.</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16, 2024, the Issuer and Tempus entered into an Investment Agreement (the “Investment Agreement”) pursuant to which, among other things, Tempus agreed to exercise the Warrants and to purchase an additional 3,500,000 shares of Common Stock (the “Shares”) from the Issuer for $5.07 per share. In addition, the Issuer agreed to register the resale of the Shares by filing a registration statement with the Commission within 30 calendar days of the date of sale of the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Commercialization Agreement Amendment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Investment Agreement, on August 16, 2024, the Issuer and Tempus entered into an amendment (the “Commercialization Agreement Amendment”) to the Commercialization and Reference Laboratory Agreement, dated November 25, 2023, by and between the Issuer and Tempus (the “Commercialization Agreement”), pursuant to which the parties extended the notice period for termination for convenience of the Commercialization Agreement to 30 months, added certain obligations of the Issuer in the event of an assignment of the Commercialization Agreement or any interest thereunder to a competitor of Tempus or in connection with a change of control transaction with a competitor of Tempus, and increased the number of new patients for which the Issuer commits to maintain laboratory capacity in certain circumstances.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Investment Agreement and Commercialization Agreement Amendment do not purport to be complete and are qualified in their entirety by reference to the full text of such agreements, each of which is filed as an exhibit to this Schedule 13D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CUSIP No. 71535D106</w:t>
            </w:r>
          </w:p>
        </w:tc>
        <w:tc>
          <w:tcPr>
            <w:tcW w:w="382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680" w:type="dxa"/>
            <w:vAlign w:val="bottom"/>
            <w:tcBorders>
              <w:top w:val="single" w:sz="8" w:color="auto"/>
              <w:bottom w:val="single" w:sz="8" w:color="auto"/>
              <w:right w:val="single" w:sz="8" w:color="auto"/>
            </w:tcBorders>
          </w:tcPr>
          <w:p>
            <w:pPr>
              <w:ind w:left="2380"/>
              <w:spacing w:after="0"/>
              <w:rPr>
                <w:sz w:val="20"/>
                <w:szCs w:val="20"/>
                <w:color w:val="auto"/>
              </w:rPr>
            </w:pPr>
            <w:r>
              <w:rPr>
                <w:rFonts w:ascii="Times New Roman" w:cs="Times New Roman" w:eastAsia="Times New Roman" w:hAnsi="Times New Roman"/>
                <w:sz w:val="18"/>
                <w:szCs w:val="18"/>
                <w:color w:val="auto"/>
                <w:w w:val="99"/>
              </w:rPr>
              <w:t>Page 5 of 6 pages</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 (b)</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sets forth, as of the date of this Schedule 13D, the aggregate number of shares of Common Stock and percentage of shares of Common Stock beneficially owned by each of the Reporting Persons, as well as the number of shares of Common Stock as to which each Reporting Person has the sole power to vote or to direct the vote, shared power to vote or to direct the vote, sole power to dispose or to direct the disposition of, or shared power to dispose or to direct the disposition of, as of the date hereof, based on 53,074,698 shares of Common Stock outstanding as of August 1, 2024 as disclosed in the Issuer’s Quarterly Report on Form 10-Q as filed with the SEC on August 7, 2024, and gives effect to the issuance of an additional 12,718,800 shares of Common Stock in connection with the transactions contemplated by the Investment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Shared</w:t>
            </w:r>
          </w:p>
        </w:tc>
      </w:tr>
      <w:tr>
        <w:trPr>
          <w:trHeight w:val="216"/>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Sole power</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power to</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Sole power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power to</w:t>
            </w:r>
          </w:p>
        </w:tc>
      </w:tr>
      <w:tr>
        <w:trPr>
          <w:trHeight w:val="216"/>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vote or to</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vote or to</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 dispose or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dispose or to</w:t>
            </w:r>
          </w:p>
        </w:tc>
      </w:tr>
      <w:tr>
        <w:trPr>
          <w:trHeight w:val="216"/>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direct the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direct the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 direct the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 the</w:t>
            </w:r>
          </w:p>
        </w:tc>
      </w:tr>
      <w:tr>
        <w:trPr>
          <w:trHeight w:val="245"/>
        </w:trPr>
        <w:tc>
          <w:tcPr>
            <w:tcW w:w="404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vote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vote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disposition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disposition</w:t>
            </w:r>
          </w:p>
        </w:tc>
      </w:tr>
      <w:tr>
        <w:trPr>
          <w:trHeight w:val="216"/>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Tempus AI, Inc.</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12,718,800</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12,718,800</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12,718,800</w:t>
            </w: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12,868,800</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12,718,800</w:t>
            </w: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12,718,800</w:t>
            </w: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securities reported herein represent shares of Common Stock held of record by Tempus. Mr. Lefkofsky is the controlling stockholder of Tempus and as such, may be deemed to have beneficial ownership of the securities held of record by Tempus.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Mr. Lefkofsky is the record holder of 150,000 shares of Common Stock.</w:t>
      </w:r>
    </w:p>
    <w:p>
      <w:pPr>
        <w:spacing w:after="0" w:line="225" w:lineRule="exact"/>
        <w:rPr>
          <w:sz w:val="20"/>
          <w:szCs w:val="20"/>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Item 4, during the past 60 days, none of the Reporting Persons nor Related Persons has effected any transactions with respect to the Common Stock.</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Item 4 above summarizes certain provisions of the Investment Agreement and Commercialization Agreement Amendment and is incorporated herein by reference. A copy of each of the Investment Agreement and Commercialization Agreement Amendment is filed as an exhibit to this Schedule 13D and incorporated herein by reference.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set forth in this Schedule 13D, the Reporting Persons do not have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Materials to be Filed as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100" w:hanging="1092"/>
        <w:spacing w:after="0"/>
        <w:tabs>
          <w:tab w:leader="none" w:pos="1100" w:val="left"/>
        </w:tabs>
        <w:numPr>
          <w:ilvl w:val="0"/>
          <w:numId w:val="17"/>
        </w:numPr>
        <w:rPr>
          <w:rFonts w:ascii="Times New Roman" w:cs="Times New Roman" w:eastAsia="Times New Roman" w:hAnsi="Times New Roman"/>
          <w:sz w:val="18"/>
          <w:szCs w:val="18"/>
          <w:u w:val="single" w:color="auto"/>
          <w:color w:val="0000EE"/>
        </w:rPr>
      </w:pPr>
      <w:hyperlink r:id="rId50">
        <w:r>
          <w:rPr>
            <w:rFonts w:ascii="Times New Roman" w:cs="Times New Roman" w:eastAsia="Times New Roman" w:hAnsi="Times New Roman"/>
            <w:sz w:val="18"/>
            <w:szCs w:val="18"/>
            <w:u w:val="single" w:color="auto"/>
            <w:color w:val="0000EE"/>
          </w:rPr>
          <w:t>Investment Agreement, dated August 16, 2024, by and between Personalis, Inc. and Tempus AI, Inc. (incorporated by reference to Exhibit</w:t>
        </w:r>
      </w:hyperlink>
    </w:p>
    <w:p>
      <w:pPr>
        <w:spacing w:after="0" w:line="27"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50">
        <w:r>
          <w:rPr>
            <w:rFonts w:ascii="Times New Roman" w:cs="Times New Roman" w:eastAsia="Times New Roman" w:hAnsi="Times New Roman"/>
            <w:sz w:val="18"/>
            <w:szCs w:val="18"/>
            <w:u w:val="single" w:color="auto"/>
            <w:color w:val="0000EE"/>
          </w:rPr>
          <w:t>4.1 to the Issuer’s Current Report on Form 8-K filed with the SEC on August 16, 2024)</w:t>
        </w:r>
      </w:hyperlink>
    </w:p>
    <w:p>
      <w:pPr>
        <w:spacing w:after="0" w:line="9" w:lineRule="exact"/>
        <w:rPr>
          <w:sz w:val="20"/>
          <w:szCs w:val="20"/>
          <w:color w:val="auto"/>
        </w:rPr>
      </w:pPr>
    </w:p>
    <w:p>
      <w:pPr>
        <w:jc w:val="both"/>
        <w:ind w:left="1100" w:hanging="1092"/>
        <w:spacing w:after="0" w:line="255" w:lineRule="auto"/>
        <w:tabs>
          <w:tab w:leader="none" w:pos="1100" w:val="left"/>
        </w:tabs>
        <w:numPr>
          <w:ilvl w:val="0"/>
          <w:numId w:val="18"/>
        </w:numPr>
        <w:rPr>
          <w:rFonts w:ascii="Times New Roman" w:cs="Times New Roman" w:eastAsia="Times New Roman" w:hAnsi="Times New Roman"/>
          <w:sz w:val="18"/>
          <w:szCs w:val="18"/>
          <w:u w:val="single" w:color="auto"/>
          <w:color w:val="0000EE"/>
        </w:rPr>
      </w:pPr>
      <w:hyperlink r:id="rId51">
        <w:r>
          <w:rPr>
            <w:rFonts w:ascii="Times New Roman" w:cs="Times New Roman" w:eastAsia="Times New Roman" w:hAnsi="Times New Roman"/>
            <w:sz w:val="18"/>
            <w:szCs w:val="18"/>
            <w:u w:val="single" w:color="auto"/>
            <w:color w:val="0000EE"/>
          </w:rPr>
          <w:t>Amendment No. 1 to the Commercialization and Reference Laboratory Agreement, dated August 16, 2024, by and between Personalis, Inc.</w:t>
        </w:r>
      </w:hyperlink>
      <w:r>
        <w:rPr>
          <w:rFonts w:ascii="Times New Roman" w:cs="Times New Roman" w:eastAsia="Times New Roman" w:hAnsi="Times New Roman"/>
          <w:sz w:val="18"/>
          <w:szCs w:val="18"/>
          <w:u w:val="single" w:color="auto"/>
          <w:color w:val="0000EE"/>
        </w:rPr>
        <w:t xml:space="preserve"> </w:t>
      </w:r>
      <w:hyperlink r:id="rId51">
        <w:r>
          <w:rPr>
            <w:rFonts w:ascii="Times New Roman" w:cs="Times New Roman" w:eastAsia="Times New Roman" w:hAnsi="Times New Roman"/>
            <w:sz w:val="18"/>
            <w:szCs w:val="18"/>
            <w:u w:val="single" w:color="auto"/>
            <w:color w:val="0000EE"/>
          </w:rPr>
          <w:t>and Tempus AI, Inc. (incorporated by reference to Exhibit 10.1 to the Issuer’s Current Report on Form 8-K filed with the SEC on August</w:t>
        </w:r>
      </w:hyperlink>
      <w:r>
        <w:rPr>
          <w:rFonts w:ascii="Times New Roman" w:cs="Times New Roman" w:eastAsia="Times New Roman" w:hAnsi="Times New Roman"/>
          <w:sz w:val="18"/>
          <w:szCs w:val="18"/>
          <w:u w:val="single" w:color="auto"/>
          <w:color w:val="0000EE"/>
        </w:rPr>
        <w:t xml:space="preserve"> </w:t>
      </w:r>
      <w:hyperlink r:id="rId51">
        <w:r>
          <w:rPr>
            <w:rFonts w:ascii="Times New Roman" w:cs="Times New Roman" w:eastAsia="Times New Roman" w:hAnsi="Times New Roman"/>
            <w:sz w:val="18"/>
            <w:szCs w:val="18"/>
            <w:u w:val="single" w:color="auto"/>
            <w:color w:val="0000EE"/>
          </w:rPr>
          <w:t>16, 2024)</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CUSIP No. 71535D106</w:t>
            </w:r>
          </w:p>
        </w:tc>
        <w:tc>
          <w:tcPr>
            <w:tcW w:w="382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680" w:type="dxa"/>
            <w:vAlign w:val="bottom"/>
            <w:tcBorders>
              <w:top w:val="single" w:sz="8" w:color="auto"/>
              <w:bottom w:val="single" w:sz="8" w:color="auto"/>
              <w:right w:val="single" w:sz="8" w:color="auto"/>
            </w:tcBorders>
          </w:tcPr>
          <w:p>
            <w:pPr>
              <w:ind w:left="2380"/>
              <w:spacing w:after="0"/>
              <w:rPr>
                <w:sz w:val="20"/>
                <w:szCs w:val="20"/>
                <w:color w:val="auto"/>
              </w:rPr>
            </w:pPr>
            <w:r>
              <w:rPr>
                <w:rFonts w:ascii="Times New Roman" w:cs="Times New Roman" w:eastAsia="Times New Roman" w:hAnsi="Times New Roman"/>
                <w:sz w:val="18"/>
                <w:szCs w:val="18"/>
                <w:color w:val="auto"/>
                <w:w w:val="99"/>
              </w:rPr>
              <w:t>Page 6 of 6 pages</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August 20,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Andrew Polovin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Polovin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Eric Lefkofsky</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572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5572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4"/>
      <w:numFmt w:val="bullet"/>
      <w:start w:val="1"/>
    </w:lvl>
  </w:abstractNum>
  <w:abstractNum w:abstractNumId="5">
    <w:nsid w:val="66EF438D"/>
    <w:multiLevelType w:val="hybridMultilevel"/>
    <w:lvl w:ilvl="0">
      <w:lvlJc w:val="left"/>
      <w:lvlText w:val="5"/>
      <w:numFmt w:val="bullet"/>
      <w:start w:val="1"/>
    </w:lvl>
  </w:abstractNum>
  <w:abstractNum w:abstractNumId="6">
    <w:nsid w:val="140E0F76"/>
    <w:multiLevelType w:val="hybridMultilevel"/>
    <w:lvl w:ilvl="0">
      <w:lvlJc w:val="left"/>
      <w:lvlText w:val="6"/>
      <w:numFmt w:val="bullet"/>
      <w:start w:val="1"/>
    </w:lvl>
  </w:abstractNum>
  <w:abstractNum w:abstractNumId="7">
    <w:nsid w:val="3352255A"/>
    <w:multiLevelType w:val="hybridMultilevel"/>
    <w:lvl w:ilvl="0">
      <w:lvlJc w:val="left"/>
      <w:lvlText w:val="%1"/>
      <w:numFmt w:val="decimal"/>
      <w:start w:val="1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2"/>
      <w:numFmt w:val="bullet"/>
      <w:start w:val="1"/>
    </w:lvl>
  </w:abstractNum>
  <w:abstractNum w:abstractNumId="10">
    <w:nsid w:val="7FDCC233"/>
    <w:multiLevelType w:val="hybridMultilevel"/>
    <w:lvl w:ilvl="0">
      <w:lvlJc w:val="left"/>
      <w:lvlText w:val="3"/>
      <w:numFmt w:val="bullet"/>
      <w:start w:val="1"/>
    </w:lvl>
  </w:abstractNum>
  <w:abstractNum w:abstractNumId="11">
    <w:nsid w:val="1BEFD79F"/>
    <w:multiLevelType w:val="hybridMultilevel"/>
    <w:lvl w:ilvl="0">
      <w:lvlJc w:val="left"/>
      <w:lvlText w:val="4"/>
      <w:numFmt w:val="bullet"/>
      <w:start w:val="1"/>
    </w:lvl>
  </w:abstractNum>
  <w:abstractNum w:abstractNumId="12">
    <w:nsid w:val="41A7C4C9"/>
    <w:multiLevelType w:val="hybridMultilevel"/>
    <w:lvl w:ilvl="0">
      <w:lvlJc w:val="left"/>
      <w:lvlText w:val="5"/>
      <w:numFmt w:val="bullet"/>
      <w:start w:val="1"/>
    </w:lvl>
  </w:abstractNum>
  <w:abstractNum w:abstractNumId="13">
    <w:nsid w:val="6B68079A"/>
    <w:multiLevelType w:val="hybridMultilevel"/>
    <w:lvl w:ilvl="0">
      <w:lvlJc w:val="left"/>
      <w:lvlText w:val="6"/>
      <w:numFmt w:val="bullet"/>
      <w:start w:val="1"/>
    </w:lvl>
  </w:abstractNum>
  <w:abstractNum w:abstractNumId="14">
    <w:nsid w:val="4E6AFB66"/>
    <w:multiLevelType w:val="hybridMultilevel"/>
    <w:lvl w:ilvl="0">
      <w:lvlJc w:val="left"/>
      <w:lvlText w:val="%1"/>
      <w:numFmt w:val="decimal"/>
      <w:start w:val="11"/>
    </w:lvl>
  </w:abstractNum>
  <w:abstractNum w:abstractNumId="15">
    <w:nsid w:val="25E45D32"/>
    <w:multiLevelType w:val="hybridMultilevel"/>
    <w:lvl w:ilvl="0">
      <w:lvlJc w:val="left"/>
      <w:lvlText w:val="(%1)"/>
      <w:numFmt w:val="lowerLetter"/>
      <w:start w:val="3"/>
    </w:lvl>
  </w:abstractNum>
  <w:abstractNum w:abstractNumId="16">
    <w:nsid w:val="519B500D"/>
    <w:multiLevelType w:val="hybridMultilevel"/>
    <w:lvl w:ilvl="0">
      <w:lvlJc w:val="left"/>
      <w:lvlText w:val="5"/>
      <w:numFmt w:val="bullet"/>
      <w:start w:val="1"/>
    </w:lvl>
  </w:abstractNum>
  <w:abstractNum w:abstractNumId="17">
    <w:nsid w:val="431BD7B7"/>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0" Type="http://schemas.openxmlformats.org/officeDocument/2006/relationships/hyperlink" Target="https://www.sec.gov/Archives/edgar/data/1527753/000119312524201697/d836724dex41.htm" TargetMode="External"/><Relationship Id="rId51" Type="http://schemas.openxmlformats.org/officeDocument/2006/relationships/hyperlink" Target="https://www.sec.gov/Archives/edgar/data/1527753/000119312524201697/d83672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2024-08-20T15:40:39Z</dcterms:created>
  <dcterms:modified xsi:type="dcterms:W3CDTF">2024-08-20T15:40:39Z</dcterms:modified>
</cp:coreProperties>
</file>