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Tempus Labs,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11/28/2023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Personalis,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0"/>
        <w:gridCol w:w="1222"/>
        <w:gridCol w:w="1125"/>
        <w:gridCol w:w="1302"/>
        <w:gridCol w:w="1141"/>
        <w:gridCol w:w="1257"/>
        <w:gridCol w:w="1217"/>
        <w:gridCol w:w="135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5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4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5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 (Right to Buy)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11/28/2023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12/31/2024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4,609,400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</w:p>
        </w:tc>
        <w:tc>
          <w:tcPr>
            <w:tcW w:w="12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 (Right to Buy)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11/28/2023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4,609,400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</w:t>
            </w:r>
          </w:p>
        </w:tc>
        <w:tc>
          <w:tcPr>
            <w:tcW w:w="12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General Counsel, on behalf of Tempus Labs, Inc.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17115" TargetMode="External"/><Relationship Id="rId3" Type="http://schemas.openxmlformats.org/officeDocument/2006/relationships/hyperlink" Target="http://www.sec.gov/cgi-bin/browse-edgar?action=getcompany&amp;CIK=000152775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411</Words>
  <Characters>2269</Characters>
  <CharactersWithSpaces>2627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