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Prospectus Supplement No. 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Prospectus dated March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1170305</wp:posOffset>
            </wp:positionV>
            <wp:extent cx="28460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167640</wp:posOffset>
            </wp:positionV>
            <wp:extent cx="2339975" cy="840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39975" cy="8401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Times New Roman" w:cs="Times New Roman" w:eastAsia="Times New Roman" w:hAnsi="Times New Roman"/>
          <w:sz w:val="17"/>
          <w:szCs w:val="17"/>
          <w:b w:val="1"/>
          <w:bCs w:val="1"/>
          <w:color w:val="auto"/>
        </w:rPr>
        <w:t>Filed Pursuant to Rule 424(b)(3)</w:t>
      </w:r>
    </w:p>
    <w:p>
      <w:pPr>
        <w:spacing w:after="0" w:line="4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333-285186</w:t>
      </w:r>
    </w:p>
    <w:p>
      <w:pPr>
        <w:spacing w:after="0" w:line="200" w:lineRule="exact"/>
        <w:rPr>
          <w:sz w:val="24"/>
          <w:szCs w:val="24"/>
          <w:color w:val="auto"/>
        </w:rPr>
      </w:pPr>
    </w:p>
    <w:p>
      <w:pPr>
        <w:sectPr>
          <w:pgSz w:w="11900" w:h="16838" w:orient="portrait"/>
          <w:cols w:equalWidth="0" w:num="2">
            <w:col w:w="8040" w:space="720"/>
            <w:col w:w="2480"/>
          </w:cols>
          <w:pgMar w:left="320" w:top="130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March 7, 2025 (the “Prospectus”), which forms a part of our Registration Statement on Form S-1 (Registration No. 333-285186). Capitalized terms used in this prospectus supplement and not otherwise defined herein have the meanings specified in the Prospectus.</w:t>
      </w:r>
    </w:p>
    <w:p>
      <w:pPr>
        <w:spacing w:after="0" w:line="176" w:lineRule="exact"/>
        <w:rPr>
          <w:sz w:val="24"/>
          <w:szCs w:val="24"/>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This prospectus supplement is being filed to update, amend and supplement the information included in the Prospectus with the information contained in our Quarterly Report on Form 10-Q filed with the Securities and Exchange Commission on May 6, 2025, which is set forth below.</w:t>
      </w:r>
    </w:p>
    <w:p>
      <w:pPr>
        <w:spacing w:after="0" w:line="162" w:lineRule="exact"/>
        <w:rPr>
          <w:sz w:val="24"/>
          <w:szCs w:val="24"/>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under the symbol “TEM.” On May 5, 2025, the last reported sales price of our Class A common stock was $54.07 per share.</w:t>
      </w:r>
    </w:p>
    <w:p>
      <w:pPr>
        <w:spacing w:after="0" w:line="158" w:lineRule="exact"/>
        <w:rPr>
          <w:sz w:val="24"/>
          <w:szCs w:val="24"/>
          <w:color w:val="auto"/>
        </w:rPr>
      </w:pPr>
    </w:p>
    <w:p>
      <w:pPr>
        <w:ind w:right="2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in the section titled “Risk Factors” section beginning on page 5 of the Prospectus, and under similar headings in any further amendments or supplements to the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139700</wp:posOffset>
            </wp:positionV>
            <wp:extent cx="2846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right="6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under the Prospectus, or passed upon the accuracy or adequacy of the Prospectus or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147955</wp:posOffset>
            </wp:positionV>
            <wp:extent cx="2846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3084830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2334260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1" w:name="page2"/>
    <w:bookmarkEnd w:id="1"/>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6" w:lineRule="exact"/>
        <w:rPr>
          <w:sz w:val="20"/>
          <w:szCs w:val="20"/>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For the quarterly period ended March 31, 2025</w:t>
      </w:r>
    </w:p>
    <w:p>
      <w:pPr>
        <w:spacing w:after="0" w:line="110" w:lineRule="exact"/>
        <w:rPr>
          <w:sz w:val="20"/>
          <w:szCs w:val="20"/>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00" w:type="dxa"/>
            <w:vAlign w:val="bottom"/>
          </w:tcPr>
          <w:p>
            <w:pPr>
              <w:spacing w:after="0"/>
              <w:rPr>
                <w:sz w:val="17"/>
                <w:szCs w:val="17"/>
                <w:color w:val="auto"/>
              </w:rPr>
            </w:pPr>
          </w:p>
        </w:tc>
        <w:tc>
          <w:tcPr>
            <w:tcW w:w="3980" w:type="dxa"/>
            <w:vAlign w:val="bottom"/>
            <w:gridSpan w:val="7"/>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For the transition period from _________ to _________</w:t>
            </w: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60" w:type="dxa"/>
            <w:vAlign w:val="bottom"/>
            <w:gridSpan w:val="4"/>
          </w:tcPr>
          <w:p>
            <w:pPr>
              <w:jc w:val="center"/>
              <w:ind w:right="1080"/>
              <w:spacing w:after="0"/>
              <w:rPr>
                <w:sz w:val="20"/>
                <w:szCs w:val="20"/>
                <w:color w:val="auto"/>
              </w:rPr>
            </w:pPr>
            <w:r>
              <w:rPr>
                <w:rFonts w:ascii="Times New Roman" w:cs="Times New Roman" w:eastAsia="Times New Roman" w:hAnsi="Times New Roman"/>
                <w:sz w:val="15"/>
                <w:szCs w:val="15"/>
                <w:b w:val="1"/>
                <w:bCs w:val="1"/>
                <w:color w:val="auto"/>
              </w:rPr>
              <w:t>Commission File No. 001-42130</w:t>
            </w: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7"/>
        </w:trPr>
        <w:tc>
          <w:tcPr>
            <w:tcW w:w="3800" w:type="dxa"/>
            <w:vAlign w:val="bottom"/>
          </w:tcPr>
          <w:p>
            <w:pPr>
              <w:spacing w:after="0"/>
              <w:rPr>
                <w:sz w:val="24"/>
                <w:szCs w:val="24"/>
                <w:color w:val="auto"/>
              </w:rPr>
            </w:pPr>
          </w:p>
        </w:tc>
        <w:tc>
          <w:tcPr>
            <w:tcW w:w="3980" w:type="dxa"/>
            <w:vAlign w:val="bottom"/>
            <w:gridSpan w:val="7"/>
          </w:tcPr>
          <w:p>
            <w:pPr>
              <w:ind w:left="360"/>
              <w:spacing w:after="0"/>
              <w:rPr>
                <w:sz w:val="20"/>
                <w:szCs w:val="20"/>
                <w:color w:val="auto"/>
              </w:rPr>
            </w:pPr>
            <w:r>
              <w:rPr>
                <w:rFonts w:ascii="Times New Roman" w:cs="Times New Roman" w:eastAsia="Times New Roman" w:hAnsi="Times New Roman"/>
                <w:sz w:val="40"/>
                <w:szCs w:val="40"/>
                <w:b w:val="1"/>
                <w:bCs w:val="1"/>
                <w:color w:val="auto"/>
              </w:rPr>
              <w:t>Tempus AI, Inc.</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0" w:type="dxa"/>
            <w:vAlign w:val="bottom"/>
          </w:tcPr>
          <w:p>
            <w:pPr>
              <w:spacing w:after="0"/>
              <w:rPr>
                <w:sz w:val="17"/>
                <w:szCs w:val="17"/>
                <w:color w:val="auto"/>
              </w:rPr>
            </w:pPr>
          </w:p>
        </w:tc>
        <w:tc>
          <w:tcPr>
            <w:tcW w:w="3980" w:type="dxa"/>
            <w:vAlign w:val="bottom"/>
            <w:gridSpan w:val="7"/>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3800" w:type="dxa"/>
            <w:vAlign w:val="bottom"/>
            <w:vMerge w:val="restart"/>
          </w:tcPr>
          <w:p>
            <w:pPr>
              <w:jc w:val="center"/>
              <w:ind w:left="546"/>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60" w:type="dxa"/>
            <w:vAlign w:val="bottom"/>
            <w:vMerge w:val="restart"/>
          </w:tcPr>
          <w:p>
            <w:pPr>
              <w:jc w:val="center"/>
              <w:ind w:right="1087"/>
              <w:spacing w:after="0"/>
              <w:rPr>
                <w:sz w:val="20"/>
                <w:szCs w:val="20"/>
                <w:color w:val="auto"/>
              </w:rPr>
            </w:pPr>
            <w:r>
              <w:rPr>
                <w:rFonts w:ascii="Times New Roman" w:cs="Times New Roman" w:eastAsia="Times New Roman" w:hAnsi="Times New Roman"/>
                <w:sz w:val="15"/>
                <w:szCs w:val="15"/>
                <w:b w:val="1"/>
                <w:bCs w:val="1"/>
                <w:color w:val="auto"/>
              </w:rPr>
              <w:t>47-4903308</w:t>
            </w:r>
          </w:p>
        </w:tc>
        <w:tc>
          <w:tcPr>
            <w:tcW w:w="0" w:type="dxa"/>
            <w:vAlign w:val="bottom"/>
          </w:tcPr>
          <w:p>
            <w:pPr>
              <w:spacing w:after="0"/>
              <w:rPr>
                <w:sz w:val="1"/>
                <w:szCs w:val="1"/>
                <w:color w:val="auto"/>
              </w:rPr>
            </w:pPr>
          </w:p>
        </w:tc>
      </w:tr>
      <w:tr>
        <w:trPr>
          <w:trHeight w:val="279"/>
        </w:trPr>
        <w:tc>
          <w:tcPr>
            <w:tcW w:w="38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800" w:type="dxa"/>
            <w:vAlign w:val="bottom"/>
          </w:tcPr>
          <w:p>
            <w:pPr>
              <w:jc w:val="center"/>
              <w:ind w:left="52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60" w:type="dxa"/>
            <w:vAlign w:val="bottom"/>
          </w:tcPr>
          <w:p>
            <w:pPr>
              <w:jc w:val="center"/>
              <w:ind w:right="106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800" w:type="dxa"/>
            <w:vAlign w:val="bottom"/>
          </w:tcPr>
          <w:p>
            <w:pPr>
              <w:jc w:val="center"/>
              <w:ind w:left="52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00" w:type="dxa"/>
            <w:vAlign w:val="bottom"/>
          </w:tcPr>
          <w:p>
            <w:pPr>
              <w:spacing w:after="0"/>
              <w:rPr>
                <w:sz w:val="16"/>
                <w:szCs w:val="16"/>
                <w:color w:val="auto"/>
              </w:rPr>
            </w:pPr>
          </w:p>
        </w:tc>
        <w:tc>
          <w:tcPr>
            <w:tcW w:w="3380" w:type="dxa"/>
            <w:vAlign w:val="bottom"/>
            <w:gridSpan w:val="6"/>
            <w:vMerge w:val="restart"/>
          </w:tcPr>
          <w:p>
            <w:pPr>
              <w:jc w:val="center"/>
              <w:ind w:right="960"/>
              <w:spacing w:after="0"/>
              <w:rPr>
                <w:sz w:val="20"/>
                <w:szCs w:val="20"/>
                <w:color w:val="auto"/>
              </w:rPr>
            </w:pPr>
            <w:r>
              <w:rPr>
                <w:rFonts w:ascii="Times New Roman" w:cs="Times New Roman" w:eastAsia="Times New Roman" w:hAnsi="Times New Roman"/>
                <w:sz w:val="15"/>
                <w:szCs w:val="15"/>
                <w:b w:val="1"/>
                <w:bCs w:val="1"/>
                <w:color w:val="auto"/>
              </w:rPr>
              <w:t>600 West Chicago Avenue, Suite 510</w:t>
            </w:r>
          </w:p>
        </w:tc>
        <w:tc>
          <w:tcPr>
            <w:tcW w:w="3460" w:type="dxa"/>
            <w:vAlign w:val="bottom"/>
          </w:tcPr>
          <w:p>
            <w:pPr>
              <w:jc w:val="center"/>
              <w:ind w:right="1067"/>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51"/>
        </w:trPr>
        <w:tc>
          <w:tcPr>
            <w:tcW w:w="3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380" w:type="dxa"/>
            <w:vAlign w:val="bottom"/>
            <w:gridSpan w:val="6"/>
            <w:vMerge w:val="continue"/>
          </w:tcPr>
          <w:p>
            <w:pPr>
              <w:spacing w:after="0"/>
              <w:rPr>
                <w:sz w:val="13"/>
                <w:szCs w:val="13"/>
                <w:color w:val="auto"/>
              </w:rPr>
            </w:pP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gridSpan w:val="4"/>
          </w:tcPr>
          <w:p>
            <w:pPr>
              <w:jc w:val="center"/>
              <w:ind w:right="1100"/>
              <w:spacing w:after="0" w:line="159" w:lineRule="exact"/>
              <w:rPr>
                <w:sz w:val="20"/>
                <w:szCs w:val="20"/>
                <w:color w:val="auto"/>
              </w:rPr>
            </w:pPr>
            <w:r>
              <w:rPr>
                <w:rFonts w:ascii="Times New Roman" w:cs="Times New Roman" w:eastAsia="Times New Roman" w:hAnsi="Times New Roman"/>
                <w:sz w:val="15"/>
                <w:szCs w:val="15"/>
                <w:b w:val="1"/>
                <w:bCs w:val="1"/>
                <w:color w:val="auto"/>
              </w:rPr>
              <w:t>Chicago, IL 60654</w:t>
            </w: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398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3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3"/>
                <w:szCs w:val="13"/>
                <w:color w:val="auto"/>
              </w:rPr>
            </w:pPr>
          </w:p>
        </w:tc>
        <w:tc>
          <w:tcPr>
            <w:tcW w:w="2940" w:type="dxa"/>
            <w:vAlign w:val="bottom"/>
            <w:gridSpan w:val="4"/>
          </w:tcPr>
          <w:p>
            <w:pPr>
              <w:jc w:val="center"/>
              <w:ind w:left="564"/>
              <w:spacing w:after="0" w:line="161" w:lineRule="exact"/>
              <w:rPr>
                <w:sz w:val="20"/>
                <w:szCs w:val="20"/>
                <w:color w:val="auto"/>
              </w:rPr>
            </w:pPr>
            <w:r>
              <w:rPr>
                <w:rFonts w:ascii="Times New Roman" w:cs="Times New Roman" w:eastAsia="Times New Roman" w:hAnsi="Times New Roman"/>
                <w:sz w:val="15"/>
                <w:szCs w:val="15"/>
                <w:b w:val="1"/>
                <w:bCs w:val="1"/>
                <w:color w:val="auto"/>
              </w:rPr>
              <w:t>(800) 976-5448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398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gridSpan w:val="4"/>
          </w:tcPr>
          <w:p>
            <w:pPr>
              <w:jc w:val="center"/>
              <w:ind w:right="1080"/>
              <w:spacing w:after="0" w:line="161" w:lineRule="exact"/>
              <w:rPr>
                <w:sz w:val="20"/>
                <w:szCs w:val="20"/>
                <w:color w:val="auto"/>
              </w:rPr>
            </w:pPr>
            <w:r>
              <w:rPr>
                <w:rFonts w:ascii="Times New Roman" w:cs="Times New Roman" w:eastAsia="Times New Roman" w:hAnsi="Times New Roman"/>
                <w:sz w:val="15"/>
                <w:szCs w:val="15"/>
                <w:b w:val="1"/>
                <w:bCs w:val="1"/>
                <w:color w:val="auto"/>
              </w:rPr>
              <w:t>N/A</w:t>
            </w: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104"/>
        </w:trPr>
        <w:tc>
          <w:tcPr>
            <w:tcW w:w="440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7780" w:type="dxa"/>
            <w:vAlign w:val="bottom"/>
            <w:gridSpan w:val="8"/>
          </w:tcPr>
          <w:p>
            <w:pPr>
              <w:jc w:val="center"/>
              <w:ind w:left="3366"/>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0" w:type="dxa"/>
            <w:vAlign w:val="bottom"/>
            <w:vMerge w:val="restart"/>
          </w:tcPr>
          <w:p>
            <w:pPr>
              <w:jc w:val="center"/>
              <w:ind w:left="52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60" w:type="dxa"/>
            <w:vAlign w:val="bottom"/>
            <w:gridSpan w:val="4"/>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460" w:type="dxa"/>
            <w:vAlign w:val="bottom"/>
          </w:tcPr>
          <w:p>
            <w:pPr>
              <w:jc w:val="center"/>
              <w:ind w:right="827"/>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380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60" w:type="dxa"/>
            <w:vAlign w:val="bottom"/>
            <w:gridSpan w:val="4"/>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460" w:type="dxa"/>
            <w:vAlign w:val="bottom"/>
          </w:tcPr>
          <w:p>
            <w:pPr>
              <w:jc w:val="center"/>
              <w:ind w:right="867"/>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2"/>
        </w:trPr>
        <w:tc>
          <w:tcPr>
            <w:tcW w:w="3800" w:type="dxa"/>
            <w:vAlign w:val="bottom"/>
            <w:tcBorders>
              <w:top w:val="single" w:sz="8" w:color="auto"/>
            </w:tcBorders>
          </w:tcPr>
          <w:p>
            <w:pPr>
              <w:jc w:val="center"/>
              <w:ind w:left="526"/>
              <w:spacing w:after="0"/>
              <w:rPr>
                <w:sz w:val="20"/>
                <w:szCs w:val="20"/>
                <w:color w:val="auto"/>
              </w:rPr>
            </w:pPr>
            <w:r>
              <w:rPr>
                <w:rFonts w:ascii="Times New Roman" w:cs="Times New Roman" w:eastAsia="Times New Roman" w:hAnsi="Times New Roman"/>
                <w:sz w:val="15"/>
                <w:szCs w:val="15"/>
                <w:color w:val="auto"/>
              </w:rPr>
              <w:t>Class A common stock, $0.0001 par value per share</w:t>
            </w: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TEM</w:t>
            </w: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460" w:type="dxa"/>
            <w:vAlign w:val="bottom"/>
            <w:tcBorders>
              <w:top w:val="single" w:sz="8" w:color="auto"/>
            </w:tcBorders>
          </w:tcPr>
          <w:p>
            <w:pPr>
              <w:jc w:val="center"/>
              <w:ind w:right="847"/>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7" w:lineRule="exact"/>
        <w:rPr>
          <w:sz w:val="20"/>
          <w:szCs w:val="20"/>
          <w:color w:val="auto"/>
        </w:rPr>
      </w:pPr>
    </w:p>
    <w:p>
      <w:pPr>
        <w:ind w:right="440"/>
        <w:spacing w:after="0" w:line="199" w:lineRule="exact"/>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r>
        <w:rPr>
          <w:rFonts w:ascii="MS PGothic" w:cs="MS PGothic" w:eastAsia="MS PGothic" w:hAnsi="MS PGothic"/>
          <w:sz w:val="15"/>
          <w:szCs w:val="15"/>
          <w:color w:val="auto"/>
        </w:rPr>
        <w:t>☐</w:t>
      </w:r>
    </w:p>
    <w:p>
      <w:pPr>
        <w:spacing w:after="0" w:line="62" w:lineRule="exact"/>
        <w:rPr>
          <w:sz w:val="20"/>
          <w:szCs w:val="20"/>
          <w:color w:val="auto"/>
        </w:rPr>
      </w:pPr>
    </w:p>
    <w:p>
      <w:pPr>
        <w:ind w:right="180"/>
        <w:spacing w:after="0" w:line="199" w:lineRule="exact"/>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r>
        <w:rPr>
          <w:rFonts w:ascii="MS PGothic" w:cs="MS PGothic" w:eastAsia="MS PGothic" w:hAnsi="MS PGothic"/>
          <w:sz w:val="15"/>
          <w:szCs w:val="15"/>
          <w:color w:val="auto"/>
        </w:rPr>
        <w: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73" w:lineRule="exact"/>
        <w:rPr>
          <w:sz w:val="20"/>
          <w:szCs w:val="20"/>
          <w:color w:val="auto"/>
        </w:rPr>
      </w:pPr>
    </w:p>
    <w:p>
      <w:pPr>
        <w:spacing w:after="0" w:line="173" w:lineRule="exact"/>
        <w:tabs>
          <w:tab w:leader="none" w:pos="2020" w:val="left"/>
          <w:tab w:leader="none" w:pos="8200" w:val="left"/>
        </w:tabs>
        <w:rPr>
          <w:sz w:val="20"/>
          <w:szCs w:val="20"/>
          <w:color w:val="auto"/>
        </w:rPr>
      </w:pPr>
      <w:r>
        <w:rPr>
          <w:rFonts w:ascii="Times New Roman" w:cs="Times New Roman" w:eastAsia="Times New Roman" w:hAnsi="Times New Roman"/>
          <w:sz w:val="15"/>
          <w:szCs w:val="15"/>
          <w:color w:val="auto"/>
        </w:rPr>
        <w:t>Large 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Accelerated filer</w:t>
      </w:r>
    </w:p>
    <w:p>
      <w:pPr>
        <w:spacing w:after="0" w:line="85" w:lineRule="exact"/>
        <w:rPr>
          <w:sz w:val="20"/>
          <w:szCs w:val="20"/>
          <w:color w:val="auto"/>
        </w:rPr>
      </w:pPr>
    </w:p>
    <w:p>
      <w:pPr>
        <w:spacing w:after="0" w:line="173" w:lineRule="exact"/>
        <w:tabs>
          <w:tab w:leader="none" w:pos="2020" w:val="left"/>
          <w:tab w:leader="none" w:pos="8200" w:val="left"/>
        </w:tabs>
        <w:rPr>
          <w:sz w:val="20"/>
          <w:szCs w:val="20"/>
          <w:color w:val="auto"/>
        </w:rPr>
      </w:pPr>
      <w:r>
        <w:rPr>
          <w:rFonts w:ascii="Times New Roman" w:cs="Times New Roman" w:eastAsia="Times New Roman" w:hAnsi="Times New Roman"/>
          <w:sz w:val="15"/>
          <w:szCs w:val="15"/>
          <w:color w:val="auto"/>
        </w:rPr>
        <w:t>Non-accelerated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Smaller reporting company</w:t>
      </w:r>
    </w:p>
    <w:p>
      <w:pPr>
        <w:spacing w:after="0" w:line="78"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5"/>
          <w:szCs w:val="15"/>
          <w:color w:val="auto"/>
        </w:rPr>
        <w:t>Emerging growth company</w:t>
      </w:r>
    </w:p>
    <w:p>
      <w:pPr>
        <w:spacing w:after="0" w:line="111" w:lineRule="exact"/>
        <w:rPr>
          <w:sz w:val="20"/>
          <w:szCs w:val="20"/>
          <w:color w:val="auto"/>
        </w:rPr>
      </w:pPr>
    </w:p>
    <w:p>
      <w:pPr>
        <w:spacing w:after="0" w:line="199" w:lineRule="exact"/>
        <w:rPr>
          <w:sz w:val="20"/>
          <w:szCs w:val="20"/>
          <w:color w:val="auto"/>
        </w:rPr>
      </w:pPr>
      <w:r>
        <w:rPr>
          <w:rFonts w:ascii="Times New Roman" w:cs="Times New Roman" w:eastAsia="Times New Roman" w:hAnsi="Times New Roman"/>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5"/>
          <w:szCs w:val="15"/>
          <w:color w:val="auto"/>
        </w:rPr>
        <w:t>☐</w:t>
      </w:r>
    </w:p>
    <w:p>
      <w:pPr>
        <w:spacing w:after="0" w:line="40"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 Yes</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8"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9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920" w:lineRule="exact"/>
        <w:rPr>
          <w:sz w:val="20"/>
          <w:szCs w:val="20"/>
          <w:color w:val="auto"/>
        </w:rPr>
      </w:pPr>
    </w:p>
    <w:p>
      <w:pPr>
        <w:sectPr>
          <w:pgSz w:w="11900" w:h="16838" w:orient="portrait"/>
          <w:cols w:equalWidth="0" w:num="2">
            <w:col w:w="10640" w:space="280"/>
            <w:col w:w="32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As of May 2, 2025, there were 168,072,456 shares of Class A common stock and 5,043,789 shares of Class B common stock, each with a par value of $0.0001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917575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45"/>
        </w:trPr>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97"/>
        </w:trPr>
        <w:tc>
          <w:tcPr>
            <w:tcW w:w="52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b w:val="1"/>
                <w:bCs w:val="1"/>
                <w:color w:val="0000FF"/>
              </w:rPr>
              <w:t>Part I – Condensed Consolidated Financial Statements (unaudited)</w:t>
            </w:r>
          </w:p>
        </w:tc>
        <w:tc>
          <w:tcPr>
            <w:tcW w:w="5400" w:type="dxa"/>
            <w:vAlign w:val="bottom"/>
            <w:gridSpan w:val="8"/>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50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Quarterly Financial Statements (Unaudited)</w:t>
            </w:r>
          </w:p>
        </w:tc>
        <w:tc>
          <w:tcPr>
            <w:tcW w:w="462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8"/>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6260" w:type="dxa"/>
            <w:vAlign w:val="bottom"/>
            <w:gridSpan w:val="10"/>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18"/>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366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18"/>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5480" w:type="dxa"/>
            <w:vAlign w:val="bottom"/>
            <w:gridSpan w:val="9"/>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9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Redeemable Convertible Preferred Stock, Common Stock and Stockholders’ Equity</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(Deficit)</w:t>
            </w:r>
          </w:p>
        </w:tc>
        <w:tc>
          <w:tcPr>
            <w:tcW w:w="8580" w:type="dxa"/>
            <w:vAlign w:val="bottom"/>
            <w:gridSpan w:val="16"/>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318"/>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520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17"/>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6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1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200" w:type="dxa"/>
            <w:vAlign w:val="bottom"/>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1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360" w:type="dxa"/>
            <w:vAlign w:val="bottom"/>
            <w:gridSpan w:val="7"/>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18"/>
        </w:trPr>
        <w:tc>
          <w:tcPr>
            <w:tcW w:w="22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8400" w:type="dxa"/>
            <w:vAlign w:val="bottom"/>
            <w:gridSpan w:val="15"/>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17"/>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320" w:type="dxa"/>
            <w:vAlign w:val="bottom"/>
            <w:gridSpan w:val="13"/>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1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6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17"/>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6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1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320" w:type="dxa"/>
            <w:vAlign w:val="bottom"/>
            <w:gridSpan w:val="6"/>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1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340" w:type="dxa"/>
            <w:vAlign w:val="bottom"/>
            <w:gridSpan w:val="11"/>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1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4"/>
                <w:szCs w:val="24"/>
                <w:color w:val="auto"/>
              </w:rPr>
            </w:pPr>
          </w:p>
        </w:tc>
        <w:tc>
          <w:tcPr>
            <w:tcW w:w="7900" w:type="dxa"/>
            <w:vAlign w:val="bottom"/>
            <w:gridSpan w:val="12"/>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1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6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1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1431"/>
        </w:trPr>
        <w:tc>
          <w:tcPr>
            <w:tcW w:w="82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Condensed Consolidated Quarterly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81" w:right="1440"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151,603</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340,954</w:t>
            </w:r>
          </w:p>
        </w:tc>
        <w:tc>
          <w:tcPr>
            <w:tcW w:w="100" w:type="dxa"/>
            <w:vAlign w:val="bottom"/>
            <w:shd w:val="clear" w:color="auto" w:fill="CFF0FC"/>
          </w:tcPr>
          <w:p>
            <w:pPr>
              <w:spacing w:after="0"/>
              <w:rPr>
                <w:sz w:val="18"/>
                <w:szCs w:val="18"/>
                <w:color w:val="auto"/>
              </w:rPr>
            </w:pPr>
          </w:p>
        </w:tc>
      </w:tr>
      <w:tr>
        <w:trPr>
          <w:trHeight w:val="198"/>
        </w:trPr>
        <w:tc>
          <w:tcPr>
            <w:tcW w:w="79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allowances of $1,477 and $1,141 at March 31, 2025 and December 31,</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2024, respectively</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262,613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154,819</w:t>
            </w:r>
          </w:p>
        </w:tc>
        <w:tc>
          <w:tcPr>
            <w:tcW w:w="100" w:type="dxa"/>
            <w:vAlign w:val="bottom"/>
          </w:tcPr>
          <w:p>
            <w:pPr>
              <w:spacing w:after="0"/>
              <w:rPr>
                <w:sz w:val="20"/>
                <w:szCs w:val="20"/>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50,485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38,386</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26,135</w:t>
            </w:r>
          </w:p>
        </w:tc>
        <w:tc>
          <w:tcPr>
            <w:tcW w:w="100" w:type="dxa"/>
            <w:vAlign w:val="bottom"/>
          </w:tcPr>
          <w:p>
            <w:pPr>
              <w:spacing w:after="0"/>
              <w:rPr>
                <w:sz w:val="18"/>
                <w:szCs w:val="18"/>
                <w:color w:val="auto"/>
              </w:rPr>
            </w:pPr>
          </w:p>
        </w:tc>
      </w:tr>
      <w:tr>
        <w:trPr>
          <w:trHeight w:val="216"/>
        </w:trPr>
        <w:tc>
          <w:tcPr>
            <w:tcW w:w="79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67,183</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573,970</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667,603</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93,536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58,056</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325,774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73,343</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399,544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11,716</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94,153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91,450</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14,762</w:t>
            </w:r>
          </w:p>
        </w:tc>
        <w:tc>
          <w:tcPr>
            <w:tcW w:w="100" w:type="dxa"/>
            <w:vAlign w:val="bottom"/>
          </w:tcPr>
          <w:p>
            <w:pPr>
              <w:spacing w:after="0"/>
              <w:rPr>
                <w:sz w:val="18"/>
                <w:szCs w:val="18"/>
                <w:color w:val="auto"/>
              </w:rPr>
            </w:pPr>
          </w:p>
        </w:tc>
      </w:tr>
      <w:tr>
        <w:trPr>
          <w:trHeight w:val="216"/>
        </w:trPr>
        <w:tc>
          <w:tcPr>
            <w:tcW w:w="79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1,543,137</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926,116</w:t>
            </w:r>
          </w:p>
        </w:tc>
        <w:tc>
          <w:tcPr>
            <w:tcW w:w="10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redeemable preferred stock, and Stockholders' equity</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88,732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53,804</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129,238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130,407</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73,431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75,981</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other income</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15,955</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6,964</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8"/>
                <w:szCs w:val="18"/>
                <w:color w:val="auto"/>
              </w:rPr>
            </w:pPr>
          </w:p>
        </w:tc>
      </w:tr>
      <w:tr>
        <w:trPr>
          <w:trHeight w:val="210"/>
        </w:trPr>
        <w:tc>
          <w:tcPr>
            <w:tcW w:w="79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336,470</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291,070</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26,199</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233,620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168,192</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15,980</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payable</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70,450</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Long-term debt, net</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467,144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267,244</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other income, less current portion</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23,932</w:t>
            </w:r>
          </w:p>
        </w:tc>
        <w:tc>
          <w:tcPr>
            <w:tcW w:w="100" w:type="dxa"/>
            <w:vAlign w:val="bottom"/>
          </w:tcPr>
          <w:p>
            <w:pPr>
              <w:spacing w:after="0"/>
              <w:rPr>
                <w:sz w:val="18"/>
                <w:szCs w:val="18"/>
                <w:color w:val="auto"/>
              </w:rPr>
            </w:pPr>
          </w:p>
        </w:tc>
      </w:tr>
      <w:tr>
        <w:trPr>
          <w:trHeight w:val="216"/>
        </w:trPr>
        <w:tc>
          <w:tcPr>
            <w:tcW w:w="79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1,216,943</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869,777</w:t>
            </w:r>
          </w:p>
        </w:tc>
        <w:tc>
          <w:tcPr>
            <w:tcW w:w="10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-4062730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-4062730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-2957195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-2957195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-170815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9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Convertible redeemable preferred stock, $0.0001 par value, 20,000,000 shares authorized at March 31,</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2025 and December 31, 2024, respectively, no shares issued and outstanding at March 31, 2025 and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2024; aggregate liquidation preference of $0 at March 31, 2025 and December 31, 2024,</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9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Class A Voting Common Stock, $0.0001 par value, 1,000,000,000 shares authorized at March 31, 2025</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December 31, 2024, respectively; 167,989,074 and 157,076,972 shares issued and outstanding at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March 31, 2025 and December 31, 2024, respectively</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r>
      <w:tr>
        <w:trPr>
          <w:trHeight w:val="198"/>
        </w:trPr>
        <w:tc>
          <w:tcPr>
            <w:tcW w:w="790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Class B Voting Common Stock, $0.0001 par value, 5,500,000 shares authorized at March 31, 2025 and</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December 31, 2024, respectively; 5,043,789 issued and outstanding at March 31, 2025 and December</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31, 2024, respectively</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0"/>
                <w:szCs w:val="20"/>
                <w:color w:val="auto"/>
              </w:rPr>
            </w:pPr>
          </w:p>
        </w:tc>
      </w:tr>
      <w:tr>
        <w:trPr>
          <w:trHeight w:val="198"/>
        </w:trPr>
        <w:tc>
          <w:tcPr>
            <w:tcW w:w="79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Non-voting Common Stock, $0.0001 par value, no shares authorized at March 31, 2025 and December</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 2024, respectively; no shares issued and outstanding at March 31, 2025, and December 31, 2024,</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Treasury Stock, 145,466 shares at March 31, 2025 and December 31, 2024, at cost</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(3,602)</w:t>
            </w:r>
          </w:p>
        </w:tc>
        <w:tc>
          <w:tcPr>
            <w:tcW w:w="4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(3,602)</w:t>
            </w: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2,543,957</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2,210,664</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(2,218,871)</w:t>
            </w:r>
          </w:p>
        </w:tc>
        <w:tc>
          <w:tcPr>
            <w:tcW w:w="4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(2,150,834)</w:t>
            </w:r>
          </w:p>
        </w:tc>
      </w:tr>
      <w:tr>
        <w:trPr>
          <w:trHeight w:val="209"/>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326,194</w:t>
            </w:r>
          </w:p>
        </w:tc>
        <w:tc>
          <w:tcPr>
            <w:tcW w:w="2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Convertible redeemable preferred stock, and Stockholders' equity</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1,543,137</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926,116</w:t>
            </w:r>
          </w:p>
        </w:tc>
        <w:tc>
          <w:tcPr>
            <w:tcW w:w="10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-170815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Genomics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193,804</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Data and services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61,933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43,251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net revenue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255,737</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324,426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199,094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(68,689)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(53,274)</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(13,238)</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(27,455)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before benefit from (provision for) income taxes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(112,334)</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(64,732)</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46,180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(68,037)</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(64,743)</w:t>
            </w: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Dividends on Series A, B, B-1, B-2, C, D, E, F, G, G-3, and G-4 preferred shares</w:t>
            </w:r>
          </w:p>
        </w:tc>
        <w:tc>
          <w:tcPr>
            <w:tcW w:w="3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(27,807)</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(68,037)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(93,056)</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98"/>
        </w:trPr>
        <w:tc>
          <w:tcPr>
            <w:tcW w:w="77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Weighted-average shares outstanding used to compute net loss per share, basic and</w:t>
            </w:r>
          </w:p>
        </w:tc>
        <w:tc>
          <w:tcPr>
            <w:tcW w:w="3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170,506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63,430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70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Comprehensive Loss, net of tax</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(68,037)</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(64,743)</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(63,439)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(64,799)</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-3660140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-3660140</wp:posOffset>
            </wp:positionV>
            <wp:extent cx="77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-2553970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-2553970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-1988185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-1988185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-1422400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-1405255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-1422400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-1405255</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-1122045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-1122045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-153670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00" w:type="dxa"/>
            <w:vAlign w:val="bottom"/>
          </w:tcPr>
          <w:p>
            <w:pPr>
              <w:spacing w:after="0"/>
              <w:rPr>
                <w:sz w:val="15"/>
                <w:szCs w:val="15"/>
                <w:color w:val="auto"/>
              </w:rPr>
            </w:pPr>
          </w:p>
        </w:tc>
        <w:tc>
          <w:tcPr>
            <w:tcW w:w="21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9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(68,037)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(64,743)</w:t>
            </w:r>
          </w:p>
        </w:tc>
      </w:tr>
      <w:tr>
        <w:trPr>
          <w:trHeight w:val="216"/>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on marketable equity securities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(6,246)</w:t>
            </w:r>
          </w:p>
        </w:tc>
      </w:tr>
      <w:tr>
        <w:trPr>
          <w:trHeight w:val="216"/>
        </w:trPr>
        <w:tc>
          <w:tcPr>
            <w:tcW w:w="9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(46,216)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original issue discount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holdback liability</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warrant contract asset</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for bad debt expense</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asset</w:t>
            </w:r>
          </w:p>
        </w:tc>
        <w:tc>
          <w:tcPr>
            <w:tcW w:w="180" w:type="dxa"/>
            <w:vAlign w:val="bottom"/>
          </w:tcPr>
          <w:p>
            <w:pPr>
              <w:spacing w:after="0"/>
              <w:rPr>
                <w:sz w:val="18"/>
                <w:szCs w:val="18"/>
                <w:color w:val="auto"/>
              </w:rPr>
            </w:pPr>
          </w:p>
        </w:tc>
        <w:tc>
          <w:tcPr>
            <w:tcW w:w="8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Non-cash operating lease costs</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Minimum accretion expense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PIK interest added to principal</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(45,175)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(13,552)</w:t>
            </w:r>
          </w:p>
        </w:tc>
      </w:tr>
      <w:tr>
        <w:trPr>
          <w:trHeight w:val="216"/>
        </w:trPr>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(1,284)</w:t>
            </w:r>
          </w:p>
        </w:tc>
      </w:tr>
      <w:tr>
        <w:trPr>
          <w:trHeight w:val="216"/>
        </w:trPr>
        <w:tc>
          <w:tcPr>
            <w:tcW w:w="91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(5,798)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(5,729)</w:t>
            </w:r>
          </w:p>
        </w:tc>
      </w:tr>
      <w:tr>
        <w:trPr>
          <w:trHeight w:val="216"/>
        </w:trPr>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1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(12,057)</w:t>
            </w:r>
          </w:p>
        </w:tc>
      </w:tr>
      <w:tr>
        <w:trPr>
          <w:trHeight w:val="216"/>
        </w:trPr>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(12,377)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(15,974)</w:t>
            </w:r>
          </w:p>
        </w:tc>
      </w:tr>
      <w:tr>
        <w:trPr>
          <w:trHeight w:val="216"/>
        </w:trPr>
        <w:tc>
          <w:tcPr>
            <w:tcW w:w="91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Deferred other income</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1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(2,750)</w:t>
            </w:r>
          </w:p>
        </w:tc>
      </w:tr>
      <w:tr>
        <w:trPr>
          <w:trHeight w:val="216"/>
        </w:trPr>
        <w:tc>
          <w:tcPr>
            <w:tcW w:w="91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Accrued expenses &amp; other</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(27,606)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(2,353)</w:t>
            </w:r>
          </w:p>
        </w:tc>
      </w:tr>
      <w:tr>
        <w:trPr>
          <w:trHeight w:val="216"/>
        </w:trPr>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payable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(2,339)</w:t>
            </w:r>
          </w:p>
        </w:tc>
      </w:tr>
      <w:tr>
        <w:trPr>
          <w:trHeight w:val="20"/>
        </w:trPr>
        <w:tc>
          <w:tcPr>
            <w:tcW w:w="9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(105,624)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(101,378)</w:t>
            </w:r>
          </w:p>
        </w:tc>
      </w:tr>
      <w:tr>
        <w:trPr>
          <w:trHeight w:val="210"/>
        </w:trPr>
        <w:tc>
          <w:tcPr>
            <w:tcW w:w="9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(2,074)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(6,108)</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marketable equity securities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23,098</w:t>
            </w: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combinations, net of cash acquired (Note 4)</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(380,762)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capitalized software</w:t>
            </w:r>
          </w:p>
        </w:tc>
        <w:tc>
          <w:tcPr>
            <w:tcW w:w="1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100" w:type="dxa"/>
            <w:vAlign w:val="bottom"/>
            <w:tcBorders>
              <w:top w:val="single" w:sz="8" w:color="CFF0FC"/>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(375,818</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6356985</wp:posOffset>
            </wp:positionH>
            <wp:positionV relativeFrom="paragraph">
              <wp:posOffset>-1130935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6344285</wp:posOffset>
            </wp:positionH>
            <wp:positionV relativeFrom="paragraph">
              <wp:posOffset>-166370</wp:posOffset>
            </wp:positionV>
            <wp:extent cx="10287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-166370</wp:posOffset>
            </wp:positionV>
            <wp:extent cx="9398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revolving credit facility, net of original issue discount</w:t>
            </w: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debt, net of original issue discount</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deferred financing fees</w:t>
            </w:r>
          </w:p>
        </w:tc>
        <w:tc>
          <w:tcPr>
            <w:tcW w:w="3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Payment of indemnity holdback related to acquisition</w:t>
            </w:r>
          </w:p>
        </w:tc>
        <w:tc>
          <w:tcPr>
            <w:tcW w:w="3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FF0FC"/>
              <w:bottom w:val="single" w:sz="8" w:color="CFF0FC"/>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80" w:type="dxa"/>
            <w:vAlign w:val="bottom"/>
            <w:tcBorders>
              <w:top w:val="single" w:sz="8" w:color="auto"/>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293,042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foreign exchange rates on cash</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50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(188,509)</w:t>
            </w:r>
          </w:p>
        </w:tc>
        <w:tc>
          <w:tcPr>
            <w:tcW w:w="50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(85,815)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153,326</w:t>
            </w:r>
          </w:p>
        </w:tc>
        <w:tc>
          <w:tcPr>
            <w:tcW w:w="1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are Comprised of:</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151,603</w:t>
            </w:r>
          </w:p>
        </w:tc>
        <w:tc>
          <w:tcPr>
            <w:tcW w:w="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153,326</w:t>
            </w:r>
          </w:p>
        </w:tc>
        <w:tc>
          <w:tcPr>
            <w:tcW w:w="1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98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12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Cash paid for income taxes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payable</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right w:val="single" w:sz="8" w:color="CFF0FC"/>
            </w:tcBorders>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Purchases of property and equipment, accrued but not paid</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7,003</w:t>
            </w:r>
          </w:p>
        </w:tc>
        <w:tc>
          <w:tcPr>
            <w:tcW w:w="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1,379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Deferred offering costs, accrued but not yet paid</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4,071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right w:val="single" w:sz="8" w:color="CFF0FC"/>
            </w:tcBorders>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Redemption of convertible promissory note</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7,060</w:t>
            </w:r>
          </w:p>
        </w:tc>
        <w:tc>
          <w:tcPr>
            <w:tcW w:w="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6,391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Non-voting common stock issued in connection with business combinations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tcBorders>
              <w:right w:val="single" w:sz="8" w:color="CFF0FC"/>
            </w:tcBorders>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Class A Voting Common Stock issued in connection with business combinations</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310,320</w:t>
            </w:r>
          </w:p>
        </w:tc>
        <w:tc>
          <w:tcPr>
            <w:tcW w:w="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Issuance of Series G-3 Preferred Stock</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tcBorders>
              <w:right w:val="single" w:sz="8" w:color="CFF0FC"/>
            </w:tcBorders>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Issuance of Series G-4 Preferred Stock</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Convertible promissory note principal reset due to amendment</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72,488</w:t>
            </w:r>
          </w:p>
        </w:tc>
        <w:tc>
          <w:tcPr>
            <w:tcW w:w="120" w:type="dxa"/>
            <w:vAlign w:val="bottom"/>
          </w:tcPr>
          <w:p>
            <w:pPr>
              <w:spacing w:after="0"/>
              <w:rPr>
                <w:sz w:val="17"/>
                <w:szCs w:val="17"/>
                <w:color w:val="auto"/>
              </w:rPr>
            </w:pPr>
          </w:p>
        </w:tc>
        <w:tc>
          <w:tcPr>
            <w:tcW w:w="500" w:type="dxa"/>
            <w:vAlign w:val="bottom"/>
            <w:gridSpan w:val="2"/>
          </w:tcPr>
          <w:p>
            <w:pPr>
              <w:jc w:val="right"/>
              <w:ind w:right="2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5916930</wp:posOffset>
            </wp:positionH>
            <wp:positionV relativeFrom="paragraph">
              <wp:posOffset>-3955415</wp:posOffset>
            </wp:positionV>
            <wp:extent cx="9398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6911340</wp:posOffset>
            </wp:positionH>
            <wp:positionV relativeFrom="paragraph">
              <wp:posOffset>-3955415</wp:posOffset>
            </wp:positionV>
            <wp:extent cx="93980"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-3085465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-3068320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-3085465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-3068320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-2365375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-2348230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-2365375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-2348230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-1927860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-1910715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-1927860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-1910715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-1165225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-1148080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-1165225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-1148080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-839470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-822325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-839470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-822325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-513715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-496570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-513715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-496570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-187960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-170815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-187960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-170815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981" w:right="4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20"/>
        <w:spacing w:after="0" w:line="250" w:lineRule="auto"/>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COMMON STOCK AND STOCKHOLDERS’ EQUITY (DEFICIT) (Unaudited)</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6"/>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Voting Common Stock</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6"/>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gridSpan w:val="6"/>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w w:val="99"/>
              </w:rPr>
              <w:t>Treasury Stock</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4"/>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330"/>
              <w:spacing w:after="0" w:line="124"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420"/>
              <w:spacing w:after="0" w:line="124"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5"/>
        </w:trPr>
        <w:tc>
          <w:tcPr>
            <w:tcW w:w="1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4"/>
              </w:rPr>
              <w:t>Class A</w:t>
            </w: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gridSpan w:val="3"/>
          </w:tcPr>
          <w:p>
            <w:pPr>
              <w:spacing w:after="0" w:line="115" w:lineRule="exact"/>
              <w:rPr>
                <w:sz w:val="20"/>
                <w:szCs w:val="20"/>
                <w:color w:val="auto"/>
              </w:rPr>
            </w:pPr>
            <w:r>
              <w:rPr>
                <w:rFonts w:ascii="Times New Roman" w:cs="Times New Roman" w:eastAsia="Times New Roman" w:hAnsi="Times New Roman"/>
                <w:sz w:val="11"/>
                <w:szCs w:val="11"/>
                <w:b w:val="1"/>
                <w:bCs w:val="1"/>
                <w:color w:val="auto"/>
                <w:w w:val="90"/>
              </w:rPr>
              <w:t>Class B</w:t>
            </w: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6"/>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3"/>
          </w:tcPr>
          <w:p>
            <w:pPr>
              <w:jc w:val="right"/>
              <w:ind w:right="186"/>
              <w:spacing w:after="0" w:line="115"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120" w:type="dxa"/>
            <w:vAlign w:val="bottom"/>
          </w:tcPr>
          <w:p>
            <w:pPr>
              <w:spacing w:after="0"/>
              <w:rPr>
                <w:sz w:val="10"/>
                <w:szCs w:val="10"/>
                <w:color w:val="auto"/>
              </w:rPr>
            </w:pPr>
          </w:p>
        </w:tc>
        <w:tc>
          <w:tcPr>
            <w:tcW w:w="820" w:type="dxa"/>
            <w:vAlign w:val="bottom"/>
            <w:gridSpan w:val="3"/>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tcPr>
          <w:p>
            <w:pPr>
              <w:jc w:val="center"/>
              <w:ind w:right="300"/>
              <w:spacing w:after="0" w:line="115" w:lineRule="exact"/>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115"/>
        </w:trPr>
        <w:tc>
          <w:tcPr>
            <w:tcW w:w="1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Borders>
              <w:bottom w:val="single" w:sz="8" w:color="auto"/>
            </w:tcBorders>
            <w:gridSpan w:val="3"/>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Units</w:t>
            </w:r>
          </w:p>
        </w:tc>
        <w:tc>
          <w:tcPr>
            <w:tcW w:w="3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Borders>
              <w:bottom w:val="single" w:sz="8" w:color="auto"/>
            </w:tcBorders>
            <w:gridSpan w:val="3"/>
          </w:tcPr>
          <w:p>
            <w:pPr>
              <w:jc w:val="right"/>
              <w:ind w:right="26"/>
              <w:spacing w:after="0" w:line="115"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100" w:type="dxa"/>
            <w:vAlign w:val="bottom"/>
          </w:tcPr>
          <w:p>
            <w:pPr>
              <w:spacing w:after="0"/>
              <w:rPr>
                <w:sz w:val="10"/>
                <w:szCs w:val="10"/>
                <w:color w:val="auto"/>
              </w:rPr>
            </w:pPr>
          </w:p>
        </w:tc>
        <w:tc>
          <w:tcPr>
            <w:tcW w:w="5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Units</w:t>
            </w: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auto"/>
            </w:tcBorders>
            <w:gridSpan w:val="3"/>
          </w:tcPr>
          <w:p>
            <w:pPr>
              <w:jc w:val="right"/>
              <w:ind w:right="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0"/>
                <w:szCs w:val="10"/>
                <w:color w:val="auto"/>
              </w:rPr>
            </w:pPr>
          </w:p>
        </w:tc>
        <w:tc>
          <w:tcPr>
            <w:tcW w:w="620" w:type="dxa"/>
            <w:vAlign w:val="bottom"/>
            <w:tcBorders>
              <w:bottom w:val="single" w:sz="8" w:color="auto"/>
            </w:tcBorders>
            <w:gridSpan w:val="3"/>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Units</w:t>
            </w:r>
          </w:p>
        </w:tc>
        <w:tc>
          <w:tcPr>
            <w:tcW w:w="1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bottom w:val="single" w:sz="8" w:color="auto"/>
            </w:tcBorders>
            <w:gridSpan w:val="2"/>
          </w:tcPr>
          <w:p>
            <w:pPr>
              <w:jc w:val="right"/>
              <w:ind w:right="4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3"/>
          </w:tcPr>
          <w:p>
            <w:pPr>
              <w:jc w:val="right"/>
              <w:ind w:right="186"/>
              <w:spacing w:after="0" w:line="115"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0"/>
                <w:szCs w:val="10"/>
                <w:color w:val="auto"/>
              </w:rPr>
            </w:pPr>
          </w:p>
        </w:tc>
        <w:tc>
          <w:tcPr>
            <w:tcW w:w="820" w:type="dxa"/>
            <w:vAlign w:val="bottom"/>
            <w:tcBorders>
              <w:bottom w:val="single" w:sz="8" w:color="auto"/>
            </w:tcBorders>
            <w:gridSpan w:val="3"/>
          </w:tcPr>
          <w:p>
            <w:pPr>
              <w:jc w:val="right"/>
              <w:ind w:right="126"/>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1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Borders>
              <w:bottom w:val="single" w:sz="8" w:color="auto"/>
            </w:tcBorders>
            <w:gridSpan w:val="3"/>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(Loss) Income</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226"/>
              <w:spacing w:after="0" w:line="115" w:lineRule="exact"/>
              <w:rPr>
                <w:sz w:val="20"/>
                <w:szCs w:val="20"/>
                <w:color w:val="auto"/>
              </w:rPr>
            </w:pPr>
            <w:r>
              <w:rPr>
                <w:rFonts w:ascii="Times New Roman" w:cs="Times New Roman" w:eastAsia="Times New Roman" w:hAnsi="Times New Roman"/>
                <w:sz w:val="11"/>
                <w:szCs w:val="11"/>
                <w:b w:val="1"/>
                <w:bCs w:val="1"/>
                <w:color w:val="auto"/>
                <w:w w:val="96"/>
              </w:rPr>
              <w:t>Deficit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2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1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540" w:type="dxa"/>
            <w:vAlign w:val="bottom"/>
            <w:gridSpan w:val="3"/>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94"/>
              </w:rPr>
              <w:t>157,076,972</w:t>
            </w:r>
          </w:p>
        </w:tc>
        <w:tc>
          <w:tcPr>
            <w:tcW w:w="180" w:type="dxa"/>
            <w:vAlign w:val="bottom"/>
            <w:tcBorders>
              <w:left w:val="single" w:sz="8" w:color="CFF0FC"/>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3"/>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16</w:t>
            </w:r>
          </w:p>
        </w:tc>
        <w:tc>
          <w:tcPr>
            <w:tcW w:w="860" w:type="dxa"/>
            <w:vAlign w:val="bottom"/>
            <w:gridSpan w:val="4"/>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5,043,789</w:t>
            </w:r>
          </w:p>
        </w:tc>
        <w:tc>
          <w:tcPr>
            <w:tcW w:w="1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500" w:type="dxa"/>
            <w:vAlign w:val="bottom"/>
            <w:gridSpan w:val="4"/>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(145,466)</w:t>
            </w:r>
          </w:p>
        </w:tc>
        <w:tc>
          <w:tcPr>
            <w:tcW w:w="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jc w:val="right"/>
              <w:ind w:right="124"/>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right w:val="single" w:sz="8" w:color="CFF0FC"/>
            </w:tcBorders>
            <w:gridSpan w:val="2"/>
            <w:shd w:val="clear" w:color="auto" w:fill="CFF0FC"/>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rPr>
              <w:t>(3,602)</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gridSpan w:val="3"/>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2,210,664</w:t>
            </w:r>
          </w:p>
        </w:tc>
        <w:tc>
          <w:tcPr>
            <w:tcW w:w="540" w:type="dxa"/>
            <w:vAlign w:val="bottom"/>
            <w:gridSpan w:val="2"/>
            <w:shd w:val="clear" w:color="auto" w:fill="CFF0FC"/>
          </w:tcPr>
          <w:p>
            <w:pPr>
              <w:jc w:val="right"/>
              <w:ind w:right="30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right w:val="single" w:sz="8" w:color="CFF0FC"/>
            </w:tcBorders>
            <w:gridSpan w:val="4"/>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(2,150,834)</w:t>
            </w:r>
          </w:p>
        </w:tc>
        <w:tc>
          <w:tcPr>
            <w:tcW w:w="2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5"/>
                <w:szCs w:val="5"/>
                <w:color w:val="auto"/>
                <w:w w:val="78"/>
              </w:rPr>
              <w:t>$</w:t>
            </w: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94</w:t>
            </w:r>
          </w:p>
        </w:tc>
        <w:tc>
          <w:tcPr>
            <w:tcW w:w="180" w:type="dxa"/>
            <w:vAlign w:val="bottom"/>
            <w:tcBorders>
              <w:left w:val="single" w:sz="8" w:color="CFF0FC"/>
            </w:tcBorders>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56,339</w:t>
            </w:r>
          </w:p>
        </w:tc>
        <w:tc>
          <w:tcPr>
            <w:tcW w:w="120" w:type="dxa"/>
            <w:vAlign w:val="bottom"/>
            <w:tcBorders>
              <w:left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2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w w:val="99"/>
              </w:rPr>
              <w:t>Issuance of common stock upon settlement of</w:t>
            </w: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restricted stock units, net</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5,799,686</w:t>
            </w:r>
          </w:p>
        </w:tc>
        <w:tc>
          <w:tcPr>
            <w:tcW w:w="180" w:type="dxa"/>
            <w:vAlign w:val="bottom"/>
          </w:tcPr>
          <w:p>
            <w:pPr>
              <w:spacing w:after="0"/>
              <w:rPr>
                <w:sz w:val="11"/>
                <w:szCs w:val="11"/>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58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20" w:type="dxa"/>
            <w:vAlign w:val="bottom"/>
            <w:gridSpan w:val="4"/>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020" w:type="dxa"/>
            <w:vAlign w:val="bottom"/>
            <w:gridSpan w:val="2"/>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w w:val="99"/>
              </w:rPr>
              <w:t>Issuance of common stock in connection with</w:t>
            </w:r>
          </w:p>
        </w:tc>
        <w:tc>
          <w:tcPr>
            <w:tcW w:w="18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80" w:type="dxa"/>
            <w:vAlign w:val="bottom"/>
            <w:tcBorders>
              <w:left w:val="single" w:sz="8" w:color="CFF0FC"/>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tcBorders>
              <w:lef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business combinations</w:t>
            </w:r>
          </w:p>
        </w:tc>
        <w:tc>
          <w:tcPr>
            <w:tcW w:w="1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5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5,112,416</w:t>
            </w:r>
          </w:p>
        </w:tc>
        <w:tc>
          <w:tcPr>
            <w:tcW w:w="180" w:type="dxa"/>
            <w:vAlign w:val="bottom"/>
            <w:tcBorders>
              <w:left w:val="single" w:sz="8" w:color="CFF0FC"/>
              <w:right w:val="single" w:sz="8" w:color="CFF0FC"/>
            </w:tcBorders>
            <w:shd w:val="clear" w:color="auto" w:fill="CFF0FC"/>
          </w:tcPr>
          <w:p>
            <w:pPr>
              <w:spacing w:after="0"/>
              <w:rPr>
                <w:sz w:val="11"/>
                <w:szCs w:val="11"/>
                <w:color w:val="auto"/>
              </w:rPr>
            </w:pPr>
          </w:p>
        </w:tc>
        <w:tc>
          <w:tcPr>
            <w:tcW w:w="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left w:val="single" w:sz="8" w:color="CFF0FC"/>
            </w:tcBorders>
            <w:shd w:val="clear" w:color="auto" w:fill="CFF0FC"/>
          </w:tcPr>
          <w:p>
            <w:pPr>
              <w:spacing w:after="0"/>
              <w:rPr>
                <w:sz w:val="11"/>
                <w:szCs w:val="11"/>
                <w:color w:val="auto"/>
              </w:rPr>
            </w:pPr>
          </w:p>
        </w:tc>
        <w:tc>
          <w:tcPr>
            <w:tcW w:w="5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310,320</w:t>
            </w: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310,320</w:t>
            </w:r>
          </w:p>
        </w:tc>
        <w:tc>
          <w:tcPr>
            <w:tcW w:w="120" w:type="dxa"/>
            <w:vAlign w:val="bottom"/>
            <w:tcBorders>
              <w:lef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580" w:type="dxa"/>
            <w:vAlign w:val="bottom"/>
            <w:gridSpan w:val="3"/>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22,974</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22,974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1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left w:val="single" w:sz="8" w:color="CFF0FC"/>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gridSpan w:val="3"/>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left w:val="single" w:sz="8" w:color="CFF0FC"/>
            </w:tcBorders>
            <w:shd w:val="clear" w:color="auto" w:fill="CFF0FC"/>
          </w:tcPr>
          <w:p>
            <w:pPr>
              <w:spacing w:after="0"/>
              <w:rPr>
                <w:sz w:val="10"/>
                <w:szCs w:val="10"/>
                <w:color w:val="auto"/>
              </w:rPr>
            </w:pPr>
          </w:p>
        </w:tc>
        <w:tc>
          <w:tcPr>
            <w:tcW w:w="580" w:type="dxa"/>
            <w:vAlign w:val="bottom"/>
            <w:gridSpan w:val="3"/>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80" w:type="dxa"/>
            <w:vAlign w:val="bottom"/>
            <w:tcBorders>
              <w:right w:val="single" w:sz="8" w:color="CFF0FC"/>
            </w:tcBorders>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4,598</w:t>
            </w:r>
          </w:p>
        </w:tc>
        <w:tc>
          <w:tcPr>
            <w:tcW w:w="10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4,598</w:t>
            </w:r>
          </w:p>
        </w:tc>
        <w:tc>
          <w:tcPr>
            <w:tcW w:w="120" w:type="dxa"/>
            <w:vAlign w:val="bottom"/>
            <w:tcBorders>
              <w:left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gridSpan w:val="4"/>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(68,037)</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(68,037)</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2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March 31, 2025</w:t>
            </w:r>
          </w:p>
        </w:tc>
        <w:tc>
          <w:tcPr>
            <w:tcW w:w="1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540" w:type="dxa"/>
            <w:vAlign w:val="bottom"/>
            <w:gridSpan w:val="3"/>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94"/>
              </w:rPr>
              <w:t>167,989,074</w:t>
            </w:r>
          </w:p>
        </w:tc>
        <w:tc>
          <w:tcPr>
            <w:tcW w:w="180" w:type="dxa"/>
            <w:vAlign w:val="bottom"/>
            <w:tcBorders>
              <w:left w:val="single" w:sz="8" w:color="CFF0FC"/>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3"/>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17</w:t>
            </w:r>
          </w:p>
        </w:tc>
        <w:tc>
          <w:tcPr>
            <w:tcW w:w="860" w:type="dxa"/>
            <w:vAlign w:val="bottom"/>
            <w:gridSpan w:val="4"/>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5,043,789</w:t>
            </w:r>
          </w:p>
        </w:tc>
        <w:tc>
          <w:tcPr>
            <w:tcW w:w="1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00" w:type="dxa"/>
            <w:vAlign w:val="bottom"/>
            <w:gridSpan w:val="4"/>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(145,466)</w:t>
            </w:r>
          </w:p>
        </w:tc>
        <w:tc>
          <w:tcPr>
            <w:tcW w:w="80" w:type="dxa"/>
            <w:vAlign w:val="bottom"/>
            <w:shd w:val="clear" w:color="auto" w:fill="CFF0FC"/>
          </w:tcPr>
          <w:p>
            <w:pPr>
              <w:spacing w:after="0"/>
              <w:rPr>
                <w:sz w:val="11"/>
                <w:szCs w:val="11"/>
                <w:color w:val="auto"/>
              </w:rPr>
            </w:pPr>
          </w:p>
        </w:tc>
        <w:tc>
          <w:tcPr>
            <w:tcW w:w="200" w:type="dxa"/>
            <w:vAlign w:val="bottom"/>
            <w:tcBorders>
              <w:left w:val="single" w:sz="8" w:color="CFF0FC"/>
            </w:tcBorders>
            <w:shd w:val="clear" w:color="auto" w:fill="CFF0FC"/>
          </w:tcPr>
          <w:p>
            <w:pPr>
              <w:jc w:val="right"/>
              <w:ind w:right="124"/>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gridSpan w:val="3"/>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(3,602 )  $</w:t>
            </w:r>
          </w:p>
        </w:tc>
        <w:tc>
          <w:tcPr>
            <w:tcW w:w="60" w:type="dxa"/>
            <w:vAlign w:val="bottom"/>
            <w:shd w:val="clear" w:color="auto" w:fill="CFF0FC"/>
          </w:tcPr>
          <w:p>
            <w:pPr>
              <w:spacing w:after="0"/>
              <w:rPr>
                <w:sz w:val="11"/>
                <w:szCs w:val="11"/>
                <w:color w:val="auto"/>
              </w:rPr>
            </w:pPr>
          </w:p>
        </w:tc>
        <w:tc>
          <w:tcPr>
            <w:tcW w:w="600" w:type="dxa"/>
            <w:vAlign w:val="bottom"/>
            <w:gridSpan w:val="3"/>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2,543,957</w:t>
            </w:r>
          </w:p>
        </w:tc>
        <w:tc>
          <w:tcPr>
            <w:tcW w:w="540" w:type="dxa"/>
            <w:vAlign w:val="bottom"/>
            <w:gridSpan w:val="2"/>
            <w:shd w:val="clear" w:color="auto" w:fill="CFF0FC"/>
          </w:tcPr>
          <w:p>
            <w:pPr>
              <w:jc w:val="right"/>
              <w:ind w:right="30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right w:val="single" w:sz="8" w:color="CFF0FC"/>
            </w:tcBorders>
            <w:gridSpan w:val="4"/>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(2,218,871)</w:t>
            </w:r>
          </w:p>
        </w:tc>
        <w:tc>
          <w:tcPr>
            <w:tcW w:w="2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5"/>
                <w:szCs w:val="5"/>
                <w:color w:val="auto"/>
                <w:w w:val="78"/>
              </w:rPr>
              <w:t>$</w:t>
            </w: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4,692</w:t>
            </w:r>
          </w:p>
        </w:tc>
        <w:tc>
          <w:tcPr>
            <w:tcW w:w="180" w:type="dxa"/>
            <w:vAlign w:val="bottom"/>
            <w:tcBorders>
              <w:left w:val="single" w:sz="8" w:color="CFF0FC"/>
            </w:tcBorders>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326,194</w:t>
            </w:r>
          </w:p>
        </w:tc>
        <w:tc>
          <w:tcPr>
            <w:tcW w:w="120" w:type="dxa"/>
            <w:vAlign w:val="bottom"/>
            <w:tcBorders>
              <w:lef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4"/>
            <w:vMerge w:val="restart"/>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7"/>
              </w:rPr>
              <w:t>Redeemable</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vMerge w:val="restart"/>
          </w:tcPr>
          <w:p>
            <w:pPr>
              <w:jc w:val="center"/>
              <w:ind w:left="7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5"/>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Convertible Preferred</w:t>
            </w:r>
          </w:p>
        </w:tc>
        <w:tc>
          <w:tcPr>
            <w:tcW w:w="1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4"/>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Non-Voting</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tcPr>
          <w:p>
            <w:pPr>
              <w:jc w:val="right"/>
              <w:ind w:right="46"/>
              <w:spacing w:after="0" w:line="122"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left="9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7"/>
        </w:trPr>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3"/>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7"/>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Voting Common Stock</w:t>
            </w:r>
          </w:p>
        </w:tc>
        <w:tc>
          <w:tcPr>
            <w:tcW w:w="120" w:type="dxa"/>
            <w:vAlign w:val="bottom"/>
          </w:tcPr>
          <w:p>
            <w:pPr>
              <w:spacing w:after="0"/>
              <w:rPr>
                <w:sz w:val="11"/>
                <w:szCs w:val="11"/>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7"/>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54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100" w:type="dxa"/>
            <w:vAlign w:val="bottom"/>
          </w:tcPr>
          <w:p>
            <w:pPr>
              <w:spacing w:after="0"/>
              <w:rPr>
                <w:sz w:val="11"/>
                <w:szCs w:val="11"/>
                <w:color w:val="auto"/>
              </w:rPr>
            </w:pPr>
          </w:p>
        </w:tc>
        <w:tc>
          <w:tcPr>
            <w:tcW w:w="940" w:type="dxa"/>
            <w:vAlign w:val="bottom"/>
            <w:gridSpan w:val="5"/>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2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11"/>
                <w:szCs w:val="11"/>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Stockholders'</w:t>
            </w:r>
          </w:p>
        </w:tc>
        <w:tc>
          <w:tcPr>
            <w:tcW w:w="0" w:type="dxa"/>
            <w:vAlign w:val="bottom"/>
          </w:tcPr>
          <w:p>
            <w:pPr>
              <w:spacing w:after="0"/>
              <w:rPr>
                <w:sz w:val="1"/>
                <w:szCs w:val="1"/>
                <w:color w:val="auto"/>
              </w:rPr>
            </w:pPr>
          </w:p>
        </w:tc>
      </w:tr>
      <w:tr>
        <w:trPr>
          <w:trHeight w:val="115"/>
        </w:trPr>
        <w:tc>
          <w:tcPr>
            <w:tcW w:w="184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gridSpan w:val="2"/>
          </w:tcPr>
          <w:p>
            <w:pPr>
              <w:jc w:val="right"/>
              <w:ind w:right="186"/>
              <w:spacing w:after="0" w:line="115" w:lineRule="exact"/>
              <w:rPr>
                <w:sz w:val="20"/>
                <w:szCs w:val="20"/>
                <w:color w:val="auto"/>
              </w:rPr>
            </w:pPr>
            <w:r>
              <w:rPr>
                <w:rFonts w:ascii="Times New Roman" w:cs="Times New Roman" w:eastAsia="Times New Roman" w:hAnsi="Times New Roman"/>
                <w:sz w:val="11"/>
                <w:szCs w:val="11"/>
                <w:b w:val="1"/>
                <w:bCs w:val="1"/>
                <w:color w:val="auto"/>
              </w:rPr>
              <w:t>Units</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180" w:type="dxa"/>
            <w:vAlign w:val="bottom"/>
            <w:tcBorders>
              <w:top w:val="single" w:sz="8" w:color="auto"/>
              <w:bottom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206"/>
              <w:spacing w:after="0" w:line="115" w:lineRule="exact"/>
              <w:rPr>
                <w:sz w:val="20"/>
                <w:szCs w:val="20"/>
                <w:color w:val="auto"/>
              </w:rPr>
            </w:pPr>
            <w:r>
              <w:rPr>
                <w:rFonts w:ascii="Times New Roman" w:cs="Times New Roman" w:eastAsia="Times New Roman" w:hAnsi="Times New Roman"/>
                <w:sz w:val="11"/>
                <w:szCs w:val="11"/>
                <w:b w:val="1"/>
                <w:bCs w:val="1"/>
                <w:color w:val="auto"/>
                <w:w w:val="95"/>
              </w:rPr>
              <w:t>Units</w:t>
            </w: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bottom w:val="single" w:sz="8" w:color="auto"/>
            </w:tcBorders>
            <w:gridSpan w:val="3"/>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10"/>
                <w:szCs w:val="10"/>
                <w:color w:val="auto"/>
              </w:rPr>
            </w:pPr>
          </w:p>
        </w:tc>
        <w:tc>
          <w:tcPr>
            <w:tcW w:w="640" w:type="dxa"/>
            <w:vAlign w:val="bottom"/>
            <w:tcBorders>
              <w:top w:val="single" w:sz="8" w:color="auto"/>
              <w:bottom w:val="single" w:sz="8" w:color="auto"/>
            </w:tcBorders>
            <w:gridSpan w:val="3"/>
          </w:tcPr>
          <w:p>
            <w:pPr>
              <w:jc w:val="right"/>
              <w:ind w:right="166"/>
              <w:spacing w:after="0" w:line="115" w:lineRule="exact"/>
              <w:rPr>
                <w:sz w:val="20"/>
                <w:szCs w:val="20"/>
                <w:color w:val="auto"/>
              </w:rPr>
            </w:pPr>
            <w:r>
              <w:rPr>
                <w:rFonts w:ascii="Times New Roman" w:cs="Times New Roman" w:eastAsia="Times New Roman" w:hAnsi="Times New Roman"/>
                <w:sz w:val="11"/>
                <w:szCs w:val="11"/>
                <w:b w:val="1"/>
                <w:bCs w:val="1"/>
                <w:color w:val="auto"/>
              </w:rPr>
              <w:t>Units</w:t>
            </w: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bottom w:val="single" w:sz="8" w:color="auto"/>
            </w:tcBorders>
            <w:gridSpan w:val="3"/>
          </w:tcPr>
          <w:p>
            <w:pPr>
              <w:spacing w:after="0" w:line="115"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gridSpan w:val="2"/>
          </w:tcPr>
          <w:p>
            <w:pPr>
              <w:jc w:val="right"/>
              <w:ind w:right="146"/>
              <w:spacing w:after="0" w:line="115" w:lineRule="exact"/>
              <w:rPr>
                <w:sz w:val="20"/>
                <w:szCs w:val="20"/>
                <w:color w:val="auto"/>
              </w:rPr>
            </w:pPr>
            <w:r>
              <w:rPr>
                <w:rFonts w:ascii="Times New Roman" w:cs="Times New Roman" w:eastAsia="Times New Roman" w:hAnsi="Times New Roman"/>
                <w:sz w:val="11"/>
                <w:szCs w:val="11"/>
                <w:b w:val="1"/>
                <w:bCs w:val="1"/>
                <w:color w:val="auto"/>
                <w:w w:val="95"/>
              </w:rPr>
              <w:t>Units</w:t>
            </w: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bottom w:val="single" w:sz="8" w:color="auto"/>
            </w:tcBorders>
            <w:gridSpan w:val="2"/>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2"/>
          </w:tcPr>
          <w:p>
            <w:pPr>
              <w:jc w:val="right"/>
              <w:ind w:right="126"/>
              <w:spacing w:after="0" w:line="115"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0"/>
                <w:szCs w:val="10"/>
                <w:color w:val="auto"/>
              </w:rPr>
            </w:pPr>
          </w:p>
        </w:tc>
        <w:tc>
          <w:tcPr>
            <w:tcW w:w="580" w:type="dxa"/>
            <w:vAlign w:val="bottom"/>
            <w:tcBorders>
              <w:bottom w:val="single" w:sz="8" w:color="auto"/>
            </w:tcBorders>
            <w:gridSpan w:val="3"/>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2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bottom w:val="single" w:sz="8" w:color="auto"/>
            </w:tcBorders>
            <w:gridSpan w:val="3"/>
          </w:tcPr>
          <w:p>
            <w:pPr>
              <w:jc w:val="center"/>
              <w:ind w:right="20"/>
              <w:spacing w:after="0" w:line="115" w:lineRule="exact"/>
              <w:rPr>
                <w:sz w:val="20"/>
                <w:szCs w:val="20"/>
                <w:color w:val="auto"/>
              </w:rPr>
            </w:pPr>
            <w:r>
              <w:rPr>
                <w:rFonts w:ascii="Times New Roman" w:cs="Times New Roman" w:eastAsia="Times New Roman" w:hAnsi="Times New Roman"/>
                <w:sz w:val="11"/>
                <w:szCs w:val="11"/>
                <w:b w:val="1"/>
                <w:bCs w:val="1"/>
                <w:color w:val="auto"/>
                <w:w w:val="99"/>
              </w:rPr>
              <w:t>(Loss) Income</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46"/>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2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52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96"/>
              </w:rPr>
              <w:t>63,525,953</w:t>
            </w:r>
          </w:p>
        </w:tc>
        <w:tc>
          <w:tcPr>
            <w:tcW w:w="220" w:type="dxa"/>
            <w:vAlign w:val="bottom"/>
            <w:gridSpan w:val="2"/>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right w:val="single" w:sz="8" w:color="CFF0FC"/>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1,105,543</w:t>
            </w: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58,367,961</w:t>
            </w:r>
          </w:p>
        </w:tc>
        <w:tc>
          <w:tcPr>
            <w:tcW w:w="240" w:type="dxa"/>
            <w:vAlign w:val="bottom"/>
            <w:gridSpan w:val="2"/>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w:t>
            </w:r>
          </w:p>
        </w:tc>
        <w:tc>
          <w:tcPr>
            <w:tcW w:w="760" w:type="dxa"/>
            <w:vAlign w:val="bottom"/>
            <w:gridSpan w:val="4"/>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5,205,802</w:t>
            </w:r>
          </w:p>
        </w:tc>
        <w:tc>
          <w:tcPr>
            <w:tcW w:w="320" w:type="dxa"/>
            <w:vAlign w:val="bottom"/>
            <w:gridSpan w:val="2"/>
            <w:shd w:val="clear" w:color="auto" w:fill="CFF0FC"/>
          </w:tcPr>
          <w:p>
            <w:pPr>
              <w:ind w:left="1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580" w:type="dxa"/>
            <w:vAlign w:val="bottom"/>
            <w:gridSpan w:val="3"/>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(145,466)</w:t>
            </w:r>
          </w:p>
        </w:tc>
        <w:tc>
          <w:tcPr>
            <w:tcW w:w="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(3,602)</w:t>
            </w:r>
          </w:p>
        </w:tc>
        <w:tc>
          <w:tcPr>
            <w:tcW w:w="12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18,345</w:t>
            </w:r>
          </w:p>
        </w:tc>
        <w:tc>
          <w:tcPr>
            <w:tcW w:w="400" w:type="dxa"/>
            <w:vAlign w:val="bottom"/>
            <w:gridSpan w:val="2"/>
            <w:shd w:val="clear" w:color="auto" w:fill="CFF0FC"/>
          </w:tcPr>
          <w:p>
            <w:pPr>
              <w:jc w:val="right"/>
              <w:ind w:right="18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4"/>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(1,396,917)</w:t>
            </w:r>
          </w:p>
        </w:tc>
        <w:tc>
          <w:tcPr>
            <w:tcW w:w="74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5"/>
                <w:szCs w:val="5"/>
                <w:color w:val="auto"/>
                <w:w w:val="78"/>
              </w:rPr>
              <w:t>$</w:t>
            </w:r>
          </w:p>
        </w:tc>
        <w:tc>
          <w:tcPr>
            <w:tcW w:w="180" w:type="dxa"/>
            <w:vAlign w:val="bottom"/>
            <w:tcBorders>
              <w:left w:val="single" w:sz="8" w:color="CFF0FC"/>
            </w:tcBorders>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(1,382,163)</w:t>
            </w:r>
          </w:p>
        </w:tc>
        <w:tc>
          <w:tcPr>
            <w:tcW w:w="0" w:type="dxa"/>
            <w:vAlign w:val="bottom"/>
          </w:tcPr>
          <w:p>
            <w:pPr>
              <w:spacing w:after="0"/>
              <w:rPr>
                <w:sz w:val="1"/>
                <w:szCs w:val="1"/>
                <w:color w:val="auto"/>
              </w:rPr>
            </w:pPr>
          </w:p>
        </w:tc>
      </w:tr>
      <w:tr>
        <w:trPr>
          <w:trHeight w:val="121"/>
        </w:trPr>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Issuance of Series G-3 Preferred Stock</w:t>
            </w:r>
          </w:p>
        </w:tc>
        <w:tc>
          <w:tcPr>
            <w:tcW w:w="5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66,465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3,809</w:t>
            </w: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gridSpan w:val="3"/>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0"/>
                <w:szCs w:val="10"/>
                <w:color w:val="auto"/>
              </w:rPr>
            </w:pPr>
          </w:p>
        </w:tc>
        <w:tc>
          <w:tcPr>
            <w:tcW w:w="600" w:type="dxa"/>
            <w:vAlign w:val="bottom"/>
            <w:gridSpan w:val="3"/>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spacing w:after="0"/>
              <w:rPr>
                <w:sz w:val="10"/>
                <w:szCs w:val="10"/>
                <w:color w:val="auto"/>
              </w:rPr>
            </w:pPr>
          </w:p>
        </w:tc>
        <w:tc>
          <w:tcPr>
            <w:tcW w:w="2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9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0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Issuance of Series G-4 Preferred Stock</w:t>
            </w:r>
          </w:p>
        </w:tc>
        <w:tc>
          <w:tcPr>
            <w:tcW w:w="52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10,666</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tcBorders>
              <w:right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611</w:t>
            </w: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gridSpan w:val="3"/>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left w:val="single" w:sz="8" w:color="CFF0FC"/>
            </w:tcBorders>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60" w:type="dxa"/>
            <w:vAlign w:val="bottom"/>
            <w:shd w:val="clear" w:color="auto" w:fill="CFF0FC"/>
          </w:tcPr>
          <w:p>
            <w:pPr>
              <w:spacing w:after="0"/>
              <w:rPr>
                <w:sz w:val="10"/>
                <w:szCs w:val="10"/>
                <w:color w:val="auto"/>
              </w:rPr>
            </w:pPr>
          </w:p>
        </w:tc>
        <w:tc>
          <w:tcPr>
            <w:tcW w:w="600" w:type="dxa"/>
            <w:vAlign w:val="bottom"/>
            <w:gridSpan w:val="3"/>
            <w:shd w:val="clear" w:color="auto" w:fill="CFF0FC"/>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3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spacing w:after="0"/>
              <w:rPr>
                <w:sz w:val="10"/>
                <w:szCs w:val="10"/>
                <w:color w:val="auto"/>
              </w:rPr>
            </w:pPr>
          </w:p>
        </w:tc>
        <w:tc>
          <w:tcPr>
            <w:tcW w:w="280" w:type="dxa"/>
            <w:vAlign w:val="bottom"/>
            <w:tcBorders>
              <w:left w:val="single" w:sz="8" w:color="CFF0FC"/>
            </w:tcBorders>
            <w:gridSpan w:val="3"/>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18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gridSpan w:val="3"/>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0"/>
                <w:szCs w:val="10"/>
                <w:color w:val="auto"/>
              </w:rPr>
            </w:pPr>
          </w:p>
        </w:tc>
        <w:tc>
          <w:tcPr>
            <w:tcW w:w="600" w:type="dxa"/>
            <w:vAlign w:val="bottom"/>
            <w:gridSpan w:val="3"/>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spacing w:after="0"/>
              <w:rPr>
                <w:sz w:val="10"/>
                <w:szCs w:val="10"/>
                <w:color w:val="auto"/>
              </w:rPr>
            </w:pPr>
          </w:p>
        </w:tc>
        <w:tc>
          <w:tcPr>
            <w:tcW w:w="280" w:type="dxa"/>
            <w:vAlign w:val="bottom"/>
            <w:gridSpan w:val="3"/>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w w:val="97"/>
              </w:rPr>
              <w:t>(56)</w:t>
            </w:r>
          </w:p>
        </w:tc>
        <w:tc>
          <w:tcPr>
            <w:tcW w:w="100" w:type="dxa"/>
            <w:vAlign w:val="bottom"/>
          </w:tcPr>
          <w:p>
            <w:pPr>
              <w:spacing w:after="0"/>
              <w:rPr>
                <w:sz w:val="10"/>
                <w:szCs w:val="10"/>
                <w:color w:val="auto"/>
              </w:rPr>
            </w:pPr>
          </w:p>
        </w:tc>
        <w:tc>
          <w:tcPr>
            <w:tcW w:w="9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(56)</w:t>
            </w:r>
          </w:p>
        </w:tc>
        <w:tc>
          <w:tcPr>
            <w:tcW w:w="0" w:type="dxa"/>
            <w:vAlign w:val="bottom"/>
          </w:tcPr>
          <w:p>
            <w:pPr>
              <w:spacing w:after="0"/>
              <w:rPr>
                <w:sz w:val="1"/>
                <w:szCs w:val="1"/>
                <w:color w:val="auto"/>
              </w:rPr>
            </w:pPr>
          </w:p>
        </w:tc>
      </w:tr>
      <w:tr>
        <w:trPr>
          <w:trHeight w:val="122"/>
        </w:trPr>
        <w:tc>
          <w:tcPr>
            <w:tcW w:w="20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Dividends</w:t>
            </w:r>
          </w:p>
        </w:tc>
        <w:tc>
          <w:tcPr>
            <w:tcW w:w="18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tcBorders>
              <w:right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24,839</w:t>
            </w: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gridSpan w:val="3"/>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left w:val="single" w:sz="8" w:color="CFF0FC"/>
            </w:tcBorders>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60" w:type="dxa"/>
            <w:vAlign w:val="bottom"/>
            <w:shd w:val="clear" w:color="auto" w:fill="CFF0FC"/>
          </w:tcPr>
          <w:p>
            <w:pPr>
              <w:spacing w:after="0"/>
              <w:rPr>
                <w:sz w:val="10"/>
                <w:szCs w:val="10"/>
                <w:color w:val="auto"/>
              </w:rPr>
            </w:pPr>
          </w:p>
        </w:tc>
        <w:tc>
          <w:tcPr>
            <w:tcW w:w="600" w:type="dxa"/>
            <w:vAlign w:val="bottom"/>
            <w:gridSpan w:val="3"/>
            <w:shd w:val="clear" w:color="auto" w:fill="CFF0FC"/>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gridSpan w:val="4"/>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(27,807)</w:t>
            </w:r>
          </w:p>
        </w:tc>
        <w:tc>
          <w:tcPr>
            <w:tcW w:w="740" w:type="dxa"/>
            <w:vAlign w:val="bottom"/>
            <w:shd w:val="clear" w:color="auto" w:fill="CFF0FC"/>
          </w:tcPr>
          <w:p>
            <w:pPr>
              <w:spacing w:after="0"/>
              <w:rPr>
                <w:sz w:val="10"/>
                <w:szCs w:val="10"/>
                <w:color w:val="auto"/>
              </w:rPr>
            </w:pPr>
          </w:p>
        </w:tc>
        <w:tc>
          <w:tcPr>
            <w:tcW w:w="280" w:type="dxa"/>
            <w:vAlign w:val="bottom"/>
            <w:tcBorders>
              <w:left w:val="single" w:sz="8" w:color="CFF0FC"/>
            </w:tcBorders>
            <w:gridSpan w:val="3"/>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(27,807)</w:t>
            </w:r>
          </w:p>
        </w:tc>
        <w:tc>
          <w:tcPr>
            <w:tcW w:w="0" w:type="dxa"/>
            <w:vAlign w:val="bottom"/>
          </w:tcPr>
          <w:p>
            <w:pPr>
              <w:spacing w:after="0"/>
              <w:rPr>
                <w:sz w:val="1"/>
                <w:szCs w:val="1"/>
                <w:color w:val="auto"/>
              </w:rPr>
            </w:pPr>
          </w:p>
        </w:tc>
      </w:tr>
      <w:tr>
        <w:trPr>
          <w:trHeight w:val="108"/>
        </w:trPr>
        <w:tc>
          <w:tcPr>
            <w:tcW w:w="202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rPr>
              <w:t>Common stock issued in connection with</w:t>
            </w: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business combinations</w:t>
            </w:r>
          </w:p>
        </w:tc>
        <w:tc>
          <w:tcPr>
            <w:tcW w:w="18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9,141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1"/>
                <w:szCs w:val="11"/>
                <w:color w:val="auto"/>
              </w:rPr>
            </w:pPr>
          </w:p>
        </w:tc>
        <w:tc>
          <w:tcPr>
            <w:tcW w:w="600" w:type="dxa"/>
            <w:vAlign w:val="bottom"/>
            <w:gridSpan w:val="3"/>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344</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spacing w:after="0"/>
              <w:rPr>
                <w:sz w:val="11"/>
                <w:szCs w:val="11"/>
                <w:color w:val="auto"/>
              </w:rPr>
            </w:pP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1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80" w:type="dxa"/>
            <w:vAlign w:val="bottom"/>
            <w:tcBorders>
              <w:left w:val="single" w:sz="8" w:color="CFF0FC"/>
              <w:right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gridSpan w:val="4"/>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(64,743)</w:t>
            </w:r>
          </w:p>
        </w:tc>
        <w:tc>
          <w:tcPr>
            <w:tcW w:w="740" w:type="dxa"/>
            <w:vAlign w:val="bottom"/>
            <w:shd w:val="clear" w:color="auto" w:fill="CFF0FC"/>
          </w:tcPr>
          <w:p>
            <w:pPr>
              <w:spacing w:after="0"/>
              <w:rPr>
                <w:sz w:val="10"/>
                <w:szCs w:val="10"/>
                <w:color w:val="auto"/>
              </w:rPr>
            </w:pPr>
          </w:p>
        </w:tc>
        <w:tc>
          <w:tcPr>
            <w:tcW w:w="280" w:type="dxa"/>
            <w:vAlign w:val="bottom"/>
            <w:tcBorders>
              <w:left w:val="single" w:sz="8" w:color="CFF0FC"/>
            </w:tcBorders>
            <w:gridSpan w:val="3"/>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(64,743)</w:t>
            </w:r>
          </w:p>
        </w:tc>
        <w:tc>
          <w:tcPr>
            <w:tcW w:w="0" w:type="dxa"/>
            <w:vAlign w:val="bottom"/>
          </w:tcPr>
          <w:p>
            <w:pPr>
              <w:spacing w:after="0"/>
              <w:rPr>
                <w:sz w:val="1"/>
                <w:szCs w:val="1"/>
                <w:color w:val="auto"/>
              </w:rPr>
            </w:pPr>
          </w:p>
        </w:tc>
      </w:tr>
      <w:tr>
        <w:trPr>
          <w:trHeight w:val="20"/>
        </w:trPr>
        <w:tc>
          <w:tcPr>
            <w:tcW w:w="18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tcBorders>
              <w:left w:val="single" w:sz="8" w:color="CFF0FC"/>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84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March 31, 2024</w:t>
            </w:r>
          </w:p>
        </w:tc>
        <w:tc>
          <w:tcPr>
            <w:tcW w:w="180" w:type="dxa"/>
            <w:vAlign w:val="bottom"/>
          </w:tcPr>
          <w:p>
            <w:pPr>
              <w:spacing w:after="0"/>
              <w:rPr>
                <w:sz w:val="10"/>
                <w:szCs w:val="10"/>
                <w:color w:val="auto"/>
              </w:rPr>
            </w:pPr>
          </w:p>
        </w:tc>
        <w:tc>
          <w:tcPr>
            <w:tcW w:w="52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w w:val="96"/>
              </w:rPr>
              <w:t>63,603,084</w:t>
            </w:r>
          </w:p>
        </w:tc>
        <w:tc>
          <w:tcPr>
            <w:tcW w:w="100" w:type="dxa"/>
            <w:vAlign w:val="bottom"/>
          </w:tcPr>
          <w:p>
            <w:pPr>
              <w:spacing w:after="0"/>
              <w:rPr>
                <w:sz w:val="10"/>
                <w:szCs w:val="10"/>
                <w:color w:val="auto"/>
              </w:rPr>
            </w:pPr>
          </w:p>
        </w:tc>
        <w:tc>
          <w:tcPr>
            <w:tcW w:w="12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1,134,802</w:t>
            </w: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58,367,961</w:t>
            </w:r>
          </w:p>
        </w:tc>
        <w:tc>
          <w:tcPr>
            <w:tcW w:w="100" w:type="dxa"/>
            <w:vAlign w:val="bottom"/>
          </w:tcPr>
          <w:p>
            <w:pPr>
              <w:spacing w:after="0"/>
              <w:rPr>
                <w:sz w:val="10"/>
                <w:szCs w:val="10"/>
                <w:color w:val="auto"/>
              </w:rPr>
            </w:pPr>
          </w:p>
        </w:tc>
        <w:tc>
          <w:tcPr>
            <w:tcW w:w="140" w:type="dxa"/>
            <w:vAlign w:val="bottom"/>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10"/>
                <w:szCs w:val="10"/>
                <w:color w:val="auto"/>
              </w:rPr>
            </w:pPr>
          </w:p>
        </w:tc>
        <w:tc>
          <w:tcPr>
            <w:tcW w:w="1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10"/>
                <w:szCs w:val="10"/>
                <w:color w:val="auto"/>
              </w:rPr>
            </w:pPr>
          </w:p>
        </w:tc>
        <w:tc>
          <w:tcPr>
            <w:tcW w:w="640" w:type="dxa"/>
            <w:vAlign w:val="bottom"/>
            <w:gridSpan w:val="3"/>
          </w:tcPr>
          <w:p>
            <w:pPr>
              <w:jc w:val="right"/>
              <w:spacing w:after="0" w:line="115" w:lineRule="exact"/>
              <w:rPr>
                <w:sz w:val="20"/>
                <w:szCs w:val="20"/>
                <w:color w:val="auto"/>
              </w:rPr>
            </w:pPr>
            <w:r>
              <w:rPr>
                <w:rFonts w:ascii="Times New Roman" w:cs="Times New Roman" w:eastAsia="Times New Roman" w:hAnsi="Times New Roman"/>
                <w:sz w:val="11"/>
                <w:szCs w:val="11"/>
                <w:color w:val="auto"/>
              </w:rPr>
              <w:t>5,214,943</w:t>
            </w:r>
          </w:p>
        </w:tc>
        <w:tc>
          <w:tcPr>
            <w:tcW w:w="32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3"/>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(145,466)</w:t>
            </w:r>
          </w:p>
        </w:tc>
        <w:tc>
          <w:tcPr>
            <w:tcW w:w="6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3"/>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(3,602 )  $</w:t>
            </w:r>
          </w:p>
        </w:tc>
        <w:tc>
          <w:tcPr>
            <w:tcW w:w="54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18,689</w:t>
            </w:r>
          </w:p>
        </w:tc>
        <w:tc>
          <w:tcPr>
            <w:tcW w:w="400" w:type="dxa"/>
            <w:vAlign w:val="bottom"/>
            <w:gridSpan w:val="2"/>
          </w:tcPr>
          <w:p>
            <w:pPr>
              <w:jc w:val="right"/>
              <w:ind w:right="18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4"/>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(1,489,467)</w:t>
            </w:r>
          </w:p>
        </w:tc>
        <w:tc>
          <w:tcPr>
            <w:tcW w:w="740" w:type="dxa"/>
            <w:vAlign w:val="bottom"/>
          </w:tcPr>
          <w:p>
            <w:pPr>
              <w:jc w:val="right"/>
              <w:ind w:right="650"/>
              <w:spacing w:after="0"/>
              <w:rPr>
                <w:sz w:val="20"/>
                <w:szCs w:val="20"/>
                <w:color w:val="auto"/>
              </w:rPr>
            </w:pPr>
            <w:r>
              <w:rPr>
                <w:rFonts w:ascii="Times New Roman" w:cs="Times New Roman" w:eastAsia="Times New Roman" w:hAnsi="Times New Roman"/>
                <w:sz w:val="5"/>
                <w:szCs w:val="5"/>
                <w:color w:val="auto"/>
                <w:w w:val="78"/>
              </w:rPr>
              <w:t>$</w:t>
            </w:r>
          </w:p>
        </w:tc>
        <w:tc>
          <w:tcPr>
            <w:tcW w:w="280" w:type="dxa"/>
            <w:vAlign w:val="bottom"/>
            <w:gridSpan w:val="3"/>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w w:val="97"/>
              </w:rPr>
              <w:t>(51)</w:t>
            </w: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(1,474,425)</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-1353820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-1336675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-1353820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-1336675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-1353820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-1336675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-1353820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-1336675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-1353820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-1336675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-1353820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-1336675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-1353820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-1336675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-1353820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-1336675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-1353820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-1336675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-1353820</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-1336675</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-111125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-111125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-111125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-111125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-111125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-111125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-111125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-111125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-111125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-111125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-111125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-111125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520" w:right="8240" w:hanging="512"/>
        <w:spacing w:after="0" w:line="400" w:lineRule="auto"/>
        <w:tabs>
          <w:tab w:leader="none" w:pos="52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BUSINESS Company Information</w:t>
      </w: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Tempus AI, Inc., together with the subsidiaries through which it conducts business (the “Company”), is a healthcare technology company focused on bringing artificial intelligence and machine learning to healthcare in order to improve the care of patients across multiple diseases. The Company combines the results of laboratory tests with other multimodal datasets to improve patient care by supporting all parties in the healthcare ecosystem, including physicians, researchers, payers, and pharmaceutical companies. The Company primarily derives revenue from selling comprehensive genetic testing to physicians and large academic research institutions, licensing data to third parties, matching patients to clinical trials, and related services.</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based in Chicago, Illinois, was founded by Eric P. Lefkofsky, the Company’s CEO and Executive Chairman, and evolved from a business Mr. Lefkofsky founded called Bioin. Bioin originally was established as a limited liability company. Effective September 21, 2015, Bioin converted its legal form to a corporation organized and existing under the General Corporation Law of the State of Delaware. Bioin subsequently changed its legal name to Tempus Health, Inc. in September 2015, to Tempus Labs, Inc. in October 2016 and to Tempus AI, Inc. in December 2023.</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 operates as one operating and reportable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w:t>
      </w:r>
    </w:p>
    <w:p>
      <w:pPr>
        <w:spacing w:after="0" w:line="176"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The CODM assesses performance and decides how to allocate resources based on consolidated net loss that is reported on the consolidated statements of operations and comprehensive loss. The CODM uses consolidated net loss to evaluate income generated from segment assets. Net loss is used to monitor budget versus actual results.</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Outside of the expenses reported on the consolidated statements of operations and comprehensive loss, the CODM regularly reviews personnel costs and cloud costs within selling, general, and administrative expenses, which the Company has identified as significant segment expenses.</w:t>
      </w:r>
    </w:p>
    <w:p>
      <w:pPr>
        <w:spacing w:after="0" w:line="162"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following summarizes the significant segment expenses reconciled to total selling, general and administrative expenses shown on the consolidated statements of operations and comprehensive loss. Other selling, general, and administrative expenses include facilities, professional fees, marketing, travel and entertainment, depreciation and amortization, and stock-based compensation (see Note 12).</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66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702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payroll</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61,427</w:t>
            </w:r>
          </w:p>
        </w:tc>
        <w:tc>
          <w:tcPr>
            <w:tcW w:w="116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37,588</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Cloud and software</w:t>
            </w: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24,866</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23,361</w:t>
            </w:r>
          </w:p>
        </w:tc>
        <w:tc>
          <w:tcPr>
            <w:tcW w:w="100" w:type="dxa"/>
            <w:vAlign w:val="bottom"/>
          </w:tcPr>
          <w:p>
            <w:pPr>
              <w:spacing w:after="0"/>
              <w:rPr>
                <w:sz w:val="18"/>
                <w:szCs w:val="18"/>
                <w:color w:val="auto"/>
              </w:rPr>
            </w:pPr>
          </w:p>
        </w:tc>
      </w:tr>
      <w:tr>
        <w:trPr>
          <w:trHeight w:val="216"/>
        </w:trPr>
        <w:tc>
          <w:tcPr>
            <w:tcW w:w="7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8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68,334</w:t>
            </w: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154,627</w:t>
            </w:r>
          </w:p>
        </w:tc>
        <w:tc>
          <w:tcPr>
            <w:tcW w:w="116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79,564</w:t>
            </w:r>
          </w:p>
        </w:tc>
        <w:tc>
          <w:tcPr>
            <w:tcW w:w="10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-170815</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-170815</wp:posOffset>
            </wp:positionV>
            <wp:extent cx="596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22" w:lineRule="exact"/>
        <w:rPr>
          <w:sz w:val="20"/>
          <w:szCs w:val="20"/>
          <w:color w:val="auto"/>
        </w:rPr>
      </w:pPr>
    </w:p>
    <w:p>
      <w:pPr>
        <w:ind w:left="520" w:right="6000" w:hanging="512"/>
        <w:spacing w:after="0" w:line="450" w:lineRule="auto"/>
        <w:tabs>
          <w:tab w:leader="none" w:pos="52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Principles of Consolidation and Basis of Presentation</w:t>
      </w:r>
    </w:p>
    <w:p>
      <w:pPr>
        <w:spacing w:after="0" w:line="2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Tempus AI, Inc. and its wholly owned subsidiaries. All intercompany accounts and transactions have been eliminated in consolidation. The condensed consolidated financial statements and accompanying notes were prepared in accordance with accounting principles generally accepted in the United States of America (“GAAP”) and applicable rules and regulations of the U.S. Securities and Exchange Commission (the “SEC”) regarding interim financial information and include the assets, liabilities, revenue and expenses of all wholly owned subsidiaries. Investments in unconsolidated entities in which the Company does not have a controlling financial interest, but has the ability to exercise significant influence, are accounted for under the equity method of accounting. Investments in unconsolidated entities in which the Company is not able to exercise significant influence are accounted for under the cost method of accounting. Certain information and disclosures normally included in the annual consolidated financial statements prepared in accordance with GAAP have been omitted.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sectPr>
      </w:pPr>
    </w:p>
    <w:bookmarkStart w:id="11" w:name="page12"/>
    <w:bookmarkEnd w:id="11"/>
    <w:p>
      <w:pPr>
        <w:ind w:right="40"/>
        <w:spacing w:after="0" w:line="258" w:lineRule="auto"/>
        <w:rPr>
          <w:sz w:val="20"/>
          <w:szCs w:val="20"/>
          <w:color w:val="auto"/>
        </w:rPr>
      </w:pPr>
      <w:r>
        <w:rPr>
          <w:rFonts w:ascii="Times New Roman" w:cs="Times New Roman" w:eastAsia="Times New Roman" w:hAnsi="Times New Roman"/>
          <w:sz w:val="18"/>
          <w:szCs w:val="18"/>
          <w:color w:val="auto"/>
        </w:rPr>
        <w:t>Accordingly, the unaudited interim condensed consolidated financial statements should be read in conjunction with the audited consolidated financial statements and notes included in the Company’s Form 10-K for the year ended December 31, 2024. The unaudited interim condensed consolidated financial statements have been prepared on the same basis as the audited consolidated financial statements and reflect, in management’s opinion, all the adjustments of a normal, recurring nature that are necessary for the fair statement of the Company’s financial position, results of operations, and cash flows for the interim periods, but are not necessarily indicative of the results expected for the full year or any other period.</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the opinion of the Company, the accompanying unaudited condensed consolidated financial statements contain all adjustments, consisting of only normal recurring adjustments, necessary for a fair statement of its financial position as of March 31, 2025 and its results of operations for the three months ended March 31, 2025 and 2024, and cash flows for the three months ended March 31, 2025 and 2024. The condensed consolidated balance sheet at December 31, 2024, was derived from audited annual financial statements but does not contain all of the footnote disclosures from the annual financial statements.</w:t>
      </w:r>
    </w:p>
    <w:p>
      <w:pPr>
        <w:spacing w:after="0" w:line="18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 believes that its existing cash and cash equivalents and marketable equity securities at March 31, 2025 will be sufficient to allow the Company to fund its current operating plan through at least a period of one year from the date of issuance of this Quarterly Report on Form 10-Q. As the Company continues to incur losses, its transition to profitability is dependent upon a level of revenues adequate to support the Company’s cost structure. Future capital requirements will depend on many factors, including the timing and extent of spending on research and development activities and growth related expenditures.</w:t>
      </w:r>
    </w:p>
    <w:p>
      <w:pPr>
        <w:spacing w:after="0" w:line="183"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Other than described in Note 4, there have been no changes to the Company’s significant accounting policies described in the “Notes to the Consolidated Financial Statements” included in the Company’s Annual Report on Form 10-K for the year ended December 31, 2024 that have had a material impact on the Company’s consolidated financial statements and accompanying notes.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GAAP requires management to make estimates and assumptions that affect the reported amounts and classifications of assets and liabilities, revenue and expenses, and the related disclosures of contingent assets and liabilities in the condensed consolidated financial statements and accompanying notes. The most significant estimates are related to revenue, accounts receivable, stock-based compensation, operating lease liabilities, the useful lives of property, equipment and intangible assets, and the cash flows used in determining the fair value of acquired intangible assets. Actual results could differ from those estimates.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 to Income Tax Disclosures.” ASU 2023-09 requires additional disclosures aimed at enhancing the transparency and decision usefulness of income tax disclosures. This ASU is effective for fiscal years beginning after December 15, 2024. The Company does not expect this ASU to have a material impact on the Company's disclosures. The Company plans to adopt the guidance for the fiscal year ending December 31, 2025 on a prospective basis.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22222"/>
        </w:rPr>
        <w:t>In November 2024, the FASB issued ASU 2024-03, “Income Statement—Reporting Comprehensive Income (Topic 220): Disaggregation of Income Statement Expenses.” ASU 2024-03 requires additional disclosures aimed at enhancing the transparency and decision usefulness of income statement expenses. This ASU is effective for fiscal years beginning after December 15, 2026 as well as interim periods beginning after December 15, 2027 and requires retrospective application to all prior periods presented in the financial statements. The Company is currently evaluating the impact of the guidance on the related disclosures.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231F20"/>
        </w:rPr>
        <w:t>Concentration of Credit Risk</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231F20"/>
        </w:rPr>
        <w:t>Financial instruments that potentially expose the Company to concentrations of credit risk are primarily cash, cash equivalents, restricted cash and accounts receivable. The Company maintains cash balances that may exceed the insured limits by the Federal Deposit Insurance Corporation. The Company has not experienced any losses on its deposits of cash.</w:t>
      </w:r>
    </w:p>
    <w:p>
      <w:pPr>
        <w:spacing w:after="0" w:line="17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231F20"/>
        </w:rPr>
        <w:t>The Company has credit risk regarding trade accounts receivable as the Company generally does not require collateral, and a limited number of customers have accounted for a large part of the Company’s revenue and accounts receivable to date. Allowances are maintained for potential credit losses.</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231F20"/>
        </w:rPr>
        <w:t xml:space="preserve">There were no customers that represented a significant portion of the Company's revenues for the three months ended March 31, 2025 and 2024, respectively. One customer accounted for approximately $13.2 million, or 12.3%, of accounts receivable as of </w:t>
      </w:r>
      <w:r>
        <w:rPr>
          <w:rFonts w:ascii="Times New Roman" w:cs="Times New Roman" w:eastAsia="Times New Roman" w:hAnsi="Times New Roman"/>
          <w:sz w:val="18"/>
          <w:szCs w:val="18"/>
          <w:color w:val="000000"/>
        </w:rPr>
        <w:t>March 31, 2024. The amount due from this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customer was not material as of </w:t>
      </w:r>
      <w:r>
        <w:rPr>
          <w:rFonts w:ascii="Times New Roman" w:cs="Times New Roman" w:eastAsia="Times New Roman" w:hAnsi="Times New Roman"/>
          <w:sz w:val="18"/>
          <w:szCs w:val="18"/>
          <w:color w:val="231F20"/>
        </w:rPr>
        <w:t>March 31, 2025.</w:t>
      </w:r>
    </w:p>
    <w:p>
      <w:pPr>
        <w:spacing w:after="0" w:line="280"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derives revenue from selling lab services (“Genomics”) to physicians, genetic counselors, academic research institutions, and other parties. The Company also derives revenue from the commercialization of data generated in the lab (“Data and services”) through the licensing of de-identified datasets to third parties and by providing clinical trial support, such as matching patients to clinical trials enrolled in its clinical trial network, and related services. The majority of the Company’s revenue is generated in North America.</w:t>
      </w:r>
    </w:p>
    <w:p>
      <w:pPr>
        <w:spacing w:after="0" w:line="178"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revenue in accordance with Financial Accounting Standards Board (“FASB”)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(“ASC 606”). The Company commences revenue recognition when control of these products is transferred to customers in an amount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reflects the consideration the Company expects to be entitled to in exchange for such products. This principle is achieved by applying the five-step approach: (i) the Company accounts for a contract when it has approval and commitment from both parties, (ii) the rights of the parties are identified, (iii) payment terms are identified, (iv) the contract has commercial substance and (v) collectability of consideration is probable. Revenues and any contract assets are not recognized until such time that the required conditions are met.</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provides disaggregation of revenue based on Genomics and Data and services on the condensed consolidated statements of operations and comprehensive loss, as it believes these best depict how the nature, amount, timing and uncertainty of revenue and cash flows are affected by economic factors.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Genomics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generally recognizes revenue for its Genomics product offering when it has met its performance obligation relating to an order. The Company has determined its sole performance obligation to be the delivery of the testing results to the ordering party. The Company receives payments from Medicare, Medicaid, and commercial insurance for clinical orders and directly from research institutions, pharmaceutical companies or other third parties for direct bill orders. The Company recognized Genomics revenue of $193.8 million and $102.6 million for the three months ended March 31, 2025 and 2024, respectively.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3" w:name="page14"/>
    <w:bookmarkEnd w:id="13"/>
    <w:p>
      <w:pPr>
        <w:ind w:firstLine="509"/>
        <w:spacing w:after="0" w:line="254" w:lineRule="auto"/>
        <w:rPr>
          <w:sz w:val="20"/>
          <w:szCs w:val="20"/>
          <w:color w:val="auto"/>
        </w:rPr>
      </w:pPr>
      <w:r>
        <w:rPr>
          <w:rFonts w:ascii="Times New Roman" w:cs="Times New Roman" w:eastAsia="Times New Roman" w:hAnsi="Times New Roman"/>
          <w:sz w:val="18"/>
          <w:szCs w:val="18"/>
          <w:color w:val="auto"/>
        </w:rPr>
        <w:t>For clinical orders from Medicare, Medicaid, and commercial insurance, the Company determines transaction price by reducing the standard charge by the estimated effects of any variable consideration, such as contractual allowance and implicit price concessions. The Company estimates the contractual allowances and implicit price concessions based on historical collections in relation to established rates, as well as known current or anticipated reimbursement trends not reflected in the historical data. Estimates are inclusive of the consideration to which the Company will be entitled at an amount for which it is probable that a reversal of cumulative consideration will not occur. The Company monitors the estimated amount to be collected at each reporting period based on actual cash collections in order to assess whether a revision to the estimate is required. Payment is typically due after the claim has been processed by the payer, generally 30-120 days from date of service. While management believes that the estimates are accurate, actual results could differ and the potential impact on the financial statements could be significant. The Company recognized revenue for clinical orders of $181.5 million and $93.4 million for the three months ended March 31, 2025 and 2024, respectively.</w:t>
      </w:r>
    </w:p>
    <w:p>
      <w:pPr>
        <w:spacing w:after="0" w:line="18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For direct bill orders from research institutions, pharmaceutical companies, or other third parties, the Company determines the transaction prices based on established contractual rates with the customer, net of any applicable discounts. Payment is typically due between 30 and 60 days following the date of invoice. The Company recognized Genomics revenue for direct bill orders of $12.3 million and $9.2 million for the three months ended March 31, 2025 and 2024, respectively.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Data and services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Data and services revenue primarily represents data licensing and clinical trial services that the Company provides to pharmaceutical and biotechnology companies. The Company’s arrangements with these customers often have terms that span multiple years. However, these contracts generally also include customer opt-in or early termination clauses after twelve months without contractual penalty. The customer’s option to renew is generally not viewed as a material right, and as a result, the Company’s contract period for these agreements is generally considered less than one year. The Company determines the transaction price based on established contractual rates with the customer, net of any applicable discounts. The Company recognizes revenue for its Data and services product offering when it has met its performance obligation under the terms of the agreement with the customer. The Company’s two product offerings are as follows:</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Insights</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Company’s Insights product consists primarily of licensing and analysis of de-identified records. Each Insights contract is unique and may include multiple promises, including the delivery of licensed de-identified records, including refreshes, analytical services or access to the Company’s enhanced Lens application. The Company evaluates each contract to determine which performance obligations are capable of being distinct and separately identifiable from other promises in the contract and, therefore, represent distinct performance obligations. The actual timing of data deliveries can be based on a variety of factors, including, but not limited to, the customer’s requirement and/or the Company’s technological, operational, and human capital capacity; in addition, management assesses relevant contractual terms in contracts with customers and applies significant judgment in identifying and accounting for all terms and conditions in certain contracts. The transaction price is allocated to the distinct performance obligations and revenue is recognized once the performance obligation has been fulfilled. The standalone selling prices are based on the Company’s normal pricing practices when sold separately with consideration of market conditions and other factors, including customer demographics.</w:t>
      </w:r>
    </w:p>
    <w:p>
      <w:pPr>
        <w:spacing w:after="0" w:line="18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has determined that the delivery of de-identified records and, when applicable, analytical services, and access to its enhanced Lens application are separate and distinct performance obligations. The primary Insights contract types are as follows:</w:t>
      </w:r>
    </w:p>
    <w:p>
      <w:pPr>
        <w:spacing w:after="0" w:line="52" w:lineRule="exact"/>
        <w:rPr>
          <w:sz w:val="20"/>
          <w:szCs w:val="20"/>
          <w:color w:val="auto"/>
        </w:rPr>
      </w:pPr>
    </w:p>
    <w:p>
      <w:pPr>
        <w:ind w:left="1020" w:right="32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licensing on a one-time or limited duration basis </w:t>
      </w:r>
      <w:r>
        <w:rPr>
          <w:rFonts w:ascii="Times New Roman" w:cs="Times New Roman" w:eastAsia="Times New Roman" w:hAnsi="Times New Roman"/>
          <w:sz w:val="18"/>
          <w:szCs w:val="18"/>
          <w:color w:val="auto"/>
        </w:rPr>
        <w:t>– Customer licenses a specific dataset of records, and the Company accounts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licensed data records as a right to use license. Revenue is typically recognized upon delivery of the data to the customer, as the Company’s obligations for an individual record is complete once the data has been delivered, and the customer is able to benefit from the provision of data as it is received.</w:t>
      </w:r>
    </w:p>
    <w:p>
      <w:pPr>
        <w:spacing w:after="0" w:line="71" w:lineRule="exact"/>
        <w:rPr>
          <w:rFonts w:ascii="Times New Roman" w:cs="Times New Roman" w:eastAsia="Times New Roman" w:hAnsi="Times New Roman"/>
          <w:sz w:val="18"/>
          <w:szCs w:val="18"/>
          <w:color w:val="auto"/>
        </w:rPr>
      </w:pPr>
    </w:p>
    <w:p>
      <w:pPr>
        <w:jc w:val="both"/>
        <w:ind w:left="1020" w:right="40" w:hanging="503"/>
        <w:spacing w:after="0" w:line="267"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Multi-year data subscriptions </w:t>
      </w:r>
      <w:r>
        <w:rPr>
          <w:rFonts w:ascii="Times New Roman" w:cs="Times New Roman" w:eastAsia="Times New Roman" w:hAnsi="Times New Roman"/>
          <w:sz w:val="18"/>
          <w:szCs w:val="18"/>
          <w:color w:val="auto"/>
        </w:rPr>
        <w:t>– Customer licenses an interchangeable maximum number of de-identified records, and the Company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service as a right to access license and one performance obligation. Revenue is recognized as access to the dataset is provided, ratably over-time, with the measure of progress time-based.</w:t>
      </w:r>
    </w:p>
    <w:p>
      <w:pPr>
        <w:spacing w:after="0" w:line="65" w:lineRule="exact"/>
        <w:rPr>
          <w:rFonts w:ascii="Times New Roman" w:cs="Times New Roman" w:eastAsia="Times New Roman" w:hAnsi="Times New Roman"/>
          <w:sz w:val="18"/>
          <w:szCs w:val="18"/>
          <w:color w:val="auto"/>
        </w:rPr>
      </w:pPr>
    </w:p>
    <w:p>
      <w:pPr>
        <w:ind w:left="1020" w:right="360" w:hanging="503"/>
        <w:spacing w:after="0" w:line="267"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Analytical services and other services </w:t>
      </w:r>
      <w:r>
        <w:rPr>
          <w:rFonts w:ascii="Times New Roman" w:cs="Times New Roman" w:eastAsia="Times New Roman" w:hAnsi="Times New Roman"/>
          <w:sz w:val="18"/>
          <w:szCs w:val="18"/>
          <w:color w:val="auto"/>
        </w:rPr>
        <w:t>– Services typically involve data analysis and research performed on behalf of the customer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resulting delivery of data, or a report addressing a series of questions and analytical results, is considered a single performance obligation. Revenue is generally recognized upon the delivery of these services, as defined by the contract.</w:t>
      </w:r>
    </w:p>
    <w:p>
      <w:pPr>
        <w:spacing w:after="0" w:line="65" w:lineRule="exact"/>
        <w:rPr>
          <w:rFonts w:ascii="Times New Roman" w:cs="Times New Roman" w:eastAsia="Times New Roman" w:hAnsi="Times New Roman"/>
          <w:sz w:val="18"/>
          <w:szCs w:val="18"/>
          <w:color w:val="auto"/>
        </w:rPr>
      </w:pPr>
    </w:p>
    <w:p>
      <w:pPr>
        <w:ind w:left="1020" w:right="100" w:hanging="503"/>
        <w:spacing w:after="0" w:line="25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Enhanced Lens application subscription services </w:t>
      </w:r>
      <w:r>
        <w:rPr>
          <w:rFonts w:ascii="Times New Roman" w:cs="Times New Roman" w:eastAsia="Times New Roman" w:hAnsi="Times New Roman"/>
          <w:sz w:val="18"/>
          <w:szCs w:val="18"/>
          <w:color w:val="auto"/>
        </w:rPr>
        <w:t>– Customer licenses access to the Company’s enhanced Lens application under a software-as-a-service model. Customers do not have the right to take possession of the Lens platform application, and the online software product is fully functional once a customer has access. Lens subscription revenues are recognized ratably over the contract terms beginning on the date the Company’s service is made available to the customer. For the periods presented, revenue from Lens subscription services are not material.</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4" w:name="page15"/>
    <w:bookmarkEnd w:id="14"/>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revenue from Insights products of $49.5 million and $31.3 million for the three months ended March 31, 2025 and 2024, respectively.</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Trials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Trials product includes TIME clinical trial matching services and other clinical trial services.</w:t>
      </w:r>
    </w:p>
    <w:p>
      <w:pPr>
        <w:spacing w:after="0" w:line="22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TIME consists primarily of matching patients to clinical trial sponsors of a potential match. To the extent the contract requires, the Company may also assist in opening the clinical trial site and enrolling the patient in the clinical trial. The Company has determined that, depending on the type of agreement, the performance obligation of these contracts is the delivery of a notification or the enrollment of a patient in a clinical trial. As such, revenue is recognized upon one of the following: delivery of a notification to the physician alerting them to a clinical trial match, or once a patient is enrolled in a trial. Concurrently, the customer, which is the clinical trial sponsor, also receives notification from the Company to establish the performance obligations delivered or fulfilled for the billing period.</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TIME, the Company provides other clinical trial services conducting or supporting studies. Tempus Compass LLC, a subsidiary of the Company, is a contract research organization ("CRO"), which manages and executes early and late-stage clinical trials, primarily in oncology. Contracts for clinical trial services can take the form of fee-for-service or fixed-price contracts. Fee-for-service contracts are typically priced based on time and materials, and revenue is recognized based on hours and materials used as the services are provided. Fixed-price contracts generally represent a single performance obligation and are recognized over-time using a cost-based input method. Progress on the performance obligation is measured by the proportion of actual costs incurred to the total costs expected to complete the contract. This cost-based method of revenue recognition requires the Company to make estimates of costs to complete its projects on an ongoing basis. Contract costs principally include direct labor and reimbursable out-of-pocket costs.</w:t>
      </w:r>
    </w:p>
    <w:p>
      <w:pPr>
        <w:spacing w:after="0" w:line="18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revenue from Trials products of $9.7 million and $11.3 million for the three months ended March 31, 2025 and 2024, respectively.</w:t>
      </w:r>
    </w:p>
    <w:p>
      <w:pPr>
        <w:spacing w:after="0" w:line="16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For Insights and Trials arrangements, pricing is fixed and the Company may be compensated through a combination of an upfront payment and performance-based, non-refundable payments due upon completion of the stated performance obligation(s). Payment is generally due 60 to 90 days after the date of service. The Company has no significant obligations for refunds, warranties, or similar obligations for Data and services product offerings. The Company has elected the practical expedient, which allows the Company to not disclose remaining performance obligations for contracts with original terms of twelve months or less. Cancelable contracted revenue is not considered a remaining performance obligation. The Company recognized Data and other revenue from pharmaceutical companies, non-for-profits, and researchers of $61.9 million and $43.3 million for the three months ended March 31, 2025 and 2024, respectively.</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Multi-year Contract Performance Obligations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has limited multi-year contracts that do not contain early termination or customer opt-in clauses. These contracts contained defined, noncancelable performance obligations that will be fulfilled in future years. The Company’s remaining performance obligations related to multi-year contracts was $194.3 million as of March 31, 2025, of which the Company expects to recognize approximately 59% as revenue over the next year, and the remaining 29% and 12% of its remaining performance obligations as revenue in years two and three, respectively.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Contract Assets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Certain performance obligations may require payment before delivery of the service to the customer. The Company recognizes contract assets when the Company has an unconditional right to payment, and when revenues earned on a contract exceeds the billings. Contract assets are presented under accounts receivable, net. Accounts receivable as of March 31, 2025 and December 31, 2024 included contract assets of $5.2 million and $4.1 million, respectively.</w:t>
      </w:r>
    </w:p>
    <w:p>
      <w:pPr>
        <w:spacing w:after="0" w:line="18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During the fourth quarter of 2021, and in conjunction with the signing of a November 2021 Master Services Agreement (“the MSA”) with customer AstraZeneca AB (“AstraZeneca”), the Company recognized a contract asset for consideration payable concurrent with the issuance of the common stock warrant in accordance with ASC 606. The contract asset was initially measured equal to the initial fair value of the warrant liability based on the authoritative guidance under FASB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As revenue is recognized over the period of the contractual commitment of the MSA, the associated contract asset amortization is recorded as reduction of revenue. At each reporting period, the short-term portion of the warrant asset is adjusted based on the financial commitment and reclassified to Prepaid expenses and other current assets. The warrant was terminated for no consideration on December 31, 2024.</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5" w:name="page16"/>
    <w:bookmarkEnd w:id="15"/>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November 2023, the Company entered into a Commercialization and Reference Laboratory Agreement with Personalis, Inc. (“Personalis”), which was subsequently amended in August 2024. The Company will pay up to $12.0 million to Personalis over three years as certain milestones are met, $10.0 million of which has been paid as of March 31, 2025. These payments are treated as contract assets and amortized into revenue over the life of the contract. Contract asset balances are offset by deferred revenue generated from receipt of warrants for Personalis common stock (see Note 16). As of March 31, 2025 and December 31, 2024, there was $3.8 million and $3.0 million, respectively, of net contract assets related to this agreement recorded in Prepaid expenses and other current assets,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Deferred revenue consists of billings or cash received for services in advance of revenue recognition and is recognized as revenue when all the Company’s revenue recognition criteria are met. The deferred revenue balance is influenced primarily by upfront contractual payments from the Company’s Data and Services product offerings and timing of delivery of the Company’s de-identified licensed data and clinical test results. The portion of deferred revenue that is anticipated to be recognized as revenue during the succeeding twelve-month period is recorded as deferred revenue, current and any remaining portion is recorded as deferred revenue, non-current. The Company recognized $26.9 million and $11.1 million during the three months ended March 31, 2025 and 2024, respectively, that was included in the corresponding deferred revenue balance at the beginning of the periods.</w:t>
      </w:r>
    </w:p>
    <w:p>
      <w:pPr>
        <w:spacing w:after="0" w:line="291" w:lineRule="exact"/>
        <w:rPr>
          <w:sz w:val="20"/>
          <w:szCs w:val="20"/>
          <w:color w:val="auto"/>
        </w:rPr>
      </w:pPr>
    </w:p>
    <w:p>
      <w:pPr>
        <w:ind w:left="520" w:right="8340" w:hanging="512"/>
        <w:spacing w:after="0" w:line="377" w:lineRule="auto"/>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 Ambry</w:t>
      </w:r>
    </w:p>
    <w:p>
      <w:pPr>
        <w:spacing w:after="0" w:line="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February 3, 2025 (the "Closing Date"), the Company completed its acquisition (the "Ambry Acquisition") of Ambry Genetics Corporation, a Delaware corporation ("Ambry"), pursuant to a Securities Purchase Agreement (the "Purchase Agreement") entered into on November 4, 2024 with Realm, IDX, Inc., a Delaware corporation (the "Seller") and the Seller's ultimate parent, Konica Minolta, Inc., a Japanese corporation, as guarantor.</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acquired all of the issued and outstanding shares of capital stock of Ambry. Consideration for the acquisition consisted of $375.0 million in cash, subject to adjustment for cash, unpaid indebtedness, unpaid transaction expenses and net working capital of Ambry, plus the issuance of an aggregate of 4,843,136 shares of the Company's Class A common stock (the "Stock Consideration"). Stock Consideration was valued at $61.54 per share, which was the closing price of the Company's Class A common stock on the Closing Date. Pursuant to the terms of the Purchase Agreement, 2,152,505 shares issued as Stock Consideration are subject to a lock-up for a period of one year following the Closing Date. The Company was an Ambry customer prior to the acquisition and, pursuant to that preexisting relationship, owed $3.8 million to Ambry as of the Closing Date. This balance was effectively settled upon the Ambry Acquisition and was treated as a reduction to consideration transferred.</w:t>
      </w:r>
    </w:p>
    <w:p>
      <w:pPr>
        <w:spacing w:after="0" w:line="18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Ambry is a leader in hereditary cancer screening. The Ambry Acquisition provides the Company with expanded testing capabilities for inherited cancer risk. In addition, the Ambry Acquisition complements the Company's strategy of using data to advance clinical and scientific innovation. Ambry's extensive product offerings will allow the Company to expand into new disease categories, including pediatrics, rare disease, immunology, women's reproductive health, and cardiology.</w:t>
      </w:r>
    </w:p>
    <w:p>
      <w:pPr>
        <w:spacing w:after="0" w:line="180"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Company incurred $5.7 million of transaction costs related to the Ambry Acquisition, of which $3.0 million were recorded within Selling, general and administrative expense in the consolidated statement of operations during the three months ended March 31, 2025.</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8" w:right="35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allocation of the aggregate purchase price of the Ambry Acquisition (in thousands):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7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w:t>
            </w:r>
          </w:p>
        </w:tc>
        <w:tc>
          <w:tcPr>
            <w:tcW w:w="3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Accounts receivable</w:t>
            </w:r>
          </w:p>
        </w:tc>
        <w:tc>
          <w:tcPr>
            <w:tcW w:w="27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Inventory</w:t>
            </w:r>
          </w:p>
        </w:tc>
        <w:tc>
          <w:tcPr>
            <w:tcW w:w="2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7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3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7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27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 relationships</w:t>
            </w:r>
          </w:p>
        </w:tc>
        <w:tc>
          <w:tcPr>
            <w:tcW w:w="2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Trade names</w:t>
            </w:r>
          </w:p>
        </w:tc>
        <w:tc>
          <w:tcPr>
            <w:tcW w:w="27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Developed technology - software</w:t>
            </w:r>
          </w:p>
        </w:tc>
        <w:tc>
          <w:tcPr>
            <w:tcW w:w="2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Developed technology - biotech</w:t>
            </w:r>
          </w:p>
        </w:tc>
        <w:tc>
          <w:tcPr>
            <w:tcW w:w="27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Goodwill</w:t>
            </w:r>
          </w:p>
        </w:tc>
        <w:tc>
          <w:tcPr>
            <w:tcW w:w="27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31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799,961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7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Accounts payable</w:t>
            </w:r>
          </w:p>
        </w:tc>
        <w:tc>
          <w:tcPr>
            <w:tcW w:w="3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Accrued expenses</w:t>
            </w:r>
          </w:p>
        </w:tc>
        <w:tc>
          <w:tcPr>
            <w:tcW w:w="27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Deferred revenue</w:t>
            </w:r>
          </w:p>
        </w:tc>
        <w:tc>
          <w:tcPr>
            <w:tcW w:w="27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27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7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7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31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104,618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18"/>
                <w:szCs w:val="18"/>
                <w:color w:val="auto"/>
              </w:rPr>
            </w:pPr>
          </w:p>
        </w:tc>
        <w:tc>
          <w:tcPr>
            <w:tcW w:w="27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assets acquired and liabilities assumed</w:t>
            </w:r>
          </w:p>
        </w:tc>
        <w:tc>
          <w:tcPr>
            <w:tcW w:w="31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695,343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060" w:type="dxa"/>
            <w:vAlign w:val="bottom"/>
            <w:tcBorders>
              <w:top w:val="single" w:sz="8" w:color="CFF0FC"/>
            </w:tcBorders>
          </w:tcPr>
          <w:p>
            <w:pPr>
              <w:spacing w:after="0"/>
              <w:rPr>
                <w:sz w:val="17"/>
                <w:szCs w:val="17"/>
                <w:color w:val="auto"/>
              </w:rPr>
            </w:pPr>
          </w:p>
        </w:tc>
        <w:tc>
          <w:tcPr>
            <w:tcW w:w="2700" w:type="dxa"/>
            <w:vAlign w:val="bottom"/>
            <w:tcBorders>
              <w:top w:val="single" w:sz="8" w:color="CFF0F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31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397,296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Stock consideration</w:t>
            </w:r>
          </w:p>
        </w:tc>
        <w:tc>
          <w:tcPr>
            <w:tcW w:w="27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acquisition price</w:t>
            </w:r>
          </w:p>
        </w:tc>
        <w:tc>
          <w:tcPr>
            <w:tcW w:w="31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695,343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FF0FC"/>
            </w:tcBorders>
            <w:shd w:val="clear" w:color="auto" w:fill="CFF0FC"/>
          </w:tcPr>
          <w:p>
            <w:pPr>
              <w:spacing w:after="0" w:line="20" w:lineRule="exact"/>
              <w:rPr>
                <w:sz w:val="1"/>
                <w:szCs w:val="1"/>
                <w:color w:val="auto"/>
              </w:rPr>
            </w:pPr>
          </w:p>
        </w:tc>
        <w:tc>
          <w:tcPr>
            <w:tcW w:w="27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-3942715</wp:posOffset>
            </wp:positionV>
            <wp:extent cx="596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-1731010</wp:posOffset>
            </wp:positionV>
            <wp:extent cx="596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-607695</wp:posOffset>
            </wp:positionV>
            <wp:extent cx="59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-591185</wp:posOffset>
            </wp:positionV>
            <wp:extent cx="596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-24765</wp:posOffset>
            </wp:positionV>
            <wp:extent cx="5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-7620</wp:posOffset>
            </wp:positionV>
            <wp:extent cx="596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the net assets acquired was recorded as goodwill, which is primarily attributed to the assembled workforce of the acquired company and expected growth from the horizontal integration of Ambry's genomics testing. $0.6 million of goodwill is expected to be deductible for tax purposes. The identifiable intangible assets acquired consisted of customer relationships, developed technology - biotech, developed technology - software, and trade names.</w:t>
      </w:r>
    </w:p>
    <w:p>
      <w:pPr>
        <w:spacing w:after="0" w:line="26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fair value of customer relationships was estimated using the multi period excess earnings method, which isolates the net earnings attributable to the asset being measured. Significant assumptions used in the valuation of customer relationships included forecasted revenue and expenses, customer attrition, and discount rate.</w:t>
      </w:r>
    </w:p>
    <w:p>
      <w:pPr>
        <w:spacing w:after="0" w:line="243"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fair values of developed technology - biotech, developed technology - software, and trade names were estimated using the relief from royalty method, which considers the market-based royalty a company would pay to enjoy the benefits of the trade name or technology in lieu of actual ownership of the trade name or technology. Significant assumptions used in the valuation of these assets included forecasted revenue and expenses, royalty rate, and discount rate. In addition, the valuation of developed technology assets included assumed obsolescence rates.</w:t>
      </w:r>
    </w:p>
    <w:p>
      <w:pPr>
        <w:spacing w:after="0" w:line="180"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As described, the valuation of identifiable intangible assets acquired required various estimates and assumptions. Accordingly, the purchase price adjustments are preliminary and are subject to further adjustments as additional information becomes available and additional analyses are performed, and such further adjustments may be material. The Company's management believes the fair values recognized for the assets acquired and liabilities assumed are based on reasonable estimates and assumptions.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8" w:right="399" w:bottom="1440" w:gutter="0" w:footer="0" w:header="0"/>
        </w:sectPr>
      </w:pPr>
    </w:p>
    <w:bookmarkStart w:id="17" w:name="page18"/>
    <w:bookmarkEnd w:id="17"/>
    <w:p>
      <w:pPr>
        <w:spacing w:after="0" w:line="32"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8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Estimated useful lives of the identifiable intangible assets acquired are as follows:</w:t>
            </w:r>
          </w:p>
        </w:tc>
        <w:tc>
          <w:tcPr>
            <w:tcW w:w="1580" w:type="dxa"/>
            <w:vAlign w:val="bottom"/>
          </w:tcPr>
          <w:p>
            <w:pPr>
              <w:spacing w:after="0"/>
              <w:rPr>
                <w:sz w:val="20"/>
                <w:szCs w:val="20"/>
                <w:color w:val="auto"/>
              </w:rPr>
            </w:pPr>
          </w:p>
        </w:tc>
      </w:tr>
      <w:tr>
        <w:trPr>
          <w:trHeight w:val="432"/>
        </w:trPr>
        <w:tc>
          <w:tcPr>
            <w:tcW w:w="876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r>
      <w:tr>
        <w:trPr>
          <w:trHeight w:val="209"/>
        </w:trPr>
        <w:tc>
          <w:tcPr>
            <w:tcW w:w="8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 years</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years</w:t>
            </w:r>
          </w:p>
        </w:tc>
      </w:tr>
      <w:tr>
        <w:trPr>
          <w:trHeight w:val="216"/>
        </w:trPr>
        <w:tc>
          <w:tcPr>
            <w:tcW w:w="8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 - software</w:t>
            </w: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 - biotech</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260" w:lineRule="exact"/>
        <w:rPr>
          <w:sz w:val="20"/>
          <w:szCs w:val="20"/>
          <w:color w:val="auto"/>
        </w:rPr>
      </w:pPr>
    </w:p>
    <w:p>
      <w:pPr>
        <w:jc w:val="both"/>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information shows the results of the Company's operations as though the acquisition had occurred as of the beginning of the comparable period, January 1, 2024 (in thousands):</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85"/>
        </w:trPr>
        <w:tc>
          <w:tcPr>
            <w:tcW w:w="40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r>
      <w:tr>
        <w:trPr>
          <w:trHeight w:val="21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3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288,660</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202,179</w:t>
            </w:r>
          </w:p>
        </w:tc>
        <w:tc>
          <w:tcPr>
            <w:tcW w:w="120" w:type="dxa"/>
            <w:vAlign w:val="bottom"/>
            <w:shd w:val="clear" w:color="auto" w:fill="CFF0FC"/>
          </w:tcPr>
          <w:p>
            <w:pPr>
              <w:spacing w:after="0"/>
              <w:rPr>
                <w:sz w:val="18"/>
                <w:szCs w:val="18"/>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(124,344)</w:t>
            </w:r>
          </w:p>
        </w:tc>
        <w:tc>
          <w:tcPr>
            <w:tcW w:w="4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(51,508)</w:t>
            </w:r>
          </w:p>
        </w:tc>
      </w:tr>
    </w:tbl>
    <w:p>
      <w:pPr>
        <w:spacing w:after="0" w:line="260"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pro forma amounts have been calculated after applying the Company's accounting policies and adjusting the results of Ambry to reflect the additional depreciation and amortization that would have been charged assuming the fair value adjustments to property and equipment, net and intangible assets had been applied from January 1, 2024. The unaudited pro forma financial information for the three months ended March 31, 2024 combines the Company's financial results and the historical results of Ambry for the three months ended March 31, 2025 and March 31, 2024. Included in these adjustments is a $46.2 million tax benefit from the release of a portion of the valuation allowance attributable to estimated deferred tax liabilities as of the opening balance sheet. The pro forma results have been prepared for comparative purposes only and are not necessarily indicative of the actual results of operations had the acquisition taken place as of the beginning of the period presented, or the results that may occur in the future.</w:t>
      </w:r>
    </w:p>
    <w:p>
      <w:pPr>
        <w:spacing w:after="0" w:line="189"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Ambry contributed $63.5 million in net revenue within Genomics revenue and $5.5 million of net income to the consolidated Tempus results.</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Pursuant to ASC 805, Business Combinations ("ASC 805"), the Company accounted for the Ambry Acquisition as a business combination under the acquisition method of accounting. The valuation of assets acquired and liabilities assumed has not been finalized as of March 31, 2025. While all amounts remain subject to adjustments, the areas subject to the most significant potential adjustments are intangible assets and deferred income taxes. As a result, the Company recorded preliminary estimates for the fair value of assets acquired and liabilities assumed as of the Closing Date.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Deep 6</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March 11, 2025, the Company acquired all of the issued and outstanding interests of Deep 6 AI, Inc. ("Deep 6"), a Delaware corporation, that enables healthcare organizations to de-risk clinical trials, accelerate recruitment, and generate real-world evidence with speed and precision. Deep 6's AI-powered software matches patients to clinical trials by mining real-time structured and unstructured electronic medical record data across a broad ecosystem.</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acquisition resulted in goodwill of $21.1 million. The aggregate acquisition date fair value of consideration for the Deep 6 acquisition totaled $17.4 million. Consideration consisted of $4.3 million of cash and $13.1 million of Class A common stock. In accordance with the terms of the agreement, $0.8 million in equity consideration was held back and is payable within five business days of March 11, 2026. The $0.8 million holdback liability is recognized within Other current liabilities.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SEngine</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October 3, 2023, the Company acquired all of the issued and outstanding interests of SEngine Precision Medicine LLC (“SEngine”), a Delaware limited liability company. The acquisition gives the Company access to SEngine’s meaningful organoid repository, advanced bioinformatics capabilities, and PARIS test platform.</w:t>
      </w:r>
    </w:p>
    <w:p>
      <w:pPr>
        <w:spacing w:after="0" w:line="176"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acquisition resulted in goodwill of $9.6 million. The aggregate acquisition date fair value of consideration for the SEngine acquisition totaled $9.9 million. Consideration consisted of $2.8 million of cash and $6.3 million of non-voting common stock. The transaction also includes contingent consideration of up to 35,000 additional shares of non-voting common stock if a liquidity event is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ind w:right="20"/>
        <w:spacing w:after="0" w:line="261" w:lineRule="auto"/>
        <w:rPr>
          <w:sz w:val="20"/>
          <w:szCs w:val="20"/>
          <w:color w:val="auto"/>
        </w:rPr>
      </w:pPr>
      <w:r>
        <w:rPr>
          <w:rFonts w:ascii="Times New Roman" w:cs="Times New Roman" w:eastAsia="Times New Roman" w:hAnsi="Times New Roman"/>
          <w:sz w:val="18"/>
          <w:szCs w:val="18"/>
          <w:color w:val="auto"/>
        </w:rPr>
        <w:t>completed prior to December 31, 2027. The contingent consideration liability is remeasured at fair value in each period following the closing within selling, general and administrative expense. In accordance with the terms of the agreement, $1.4 million in equity was held back and is payable on October 3, 2024, which is net of a net working capital adjustment less than $0.1 million. The Company issued 429 shares of non-voting common stock to the selling corporation in February 2024 related to the net working capital adjustment.</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Mpirik</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March 8, 2023, the Company acquired all of the issued and outstanding interests of Mpirik, Inc. (“Mpirik”), a cardiology-focused healthcare technology company specializing in data-driven patient screening, automated care coordination, and clinical research. Mpirik’s platform adds to the Company’s existing portfolio to address the way heart disease is detected, diagnosed, and treated, further expanding Tempus’s cardiology business. The acquisition resulted in goodwill of $10.6 million. The aggregate acquisition date fair value of consideration for the Mpirik acquisition totaled $9.7 million. Consideration was made up of $4.6 million of non-voting common stock, $4.7 million of cash, and contingent consideration payable in cash with an acquisition date fair value of $0.4 million. In accordance with the terms of the agreement, $0.8 million in cash consideration and $0.3 million in equity consideration was held back and paid on March 11, 2024. In accordance with the equity consideration held back, the Company issued 8,724 shares of non-voting common stock to Mpirik shareholders in March 2024.</w:t>
      </w:r>
    </w:p>
    <w:p>
      <w:pPr>
        <w:spacing w:after="0" w:line="296" w:lineRule="exact"/>
        <w:rPr>
          <w:sz w:val="20"/>
          <w:szCs w:val="20"/>
          <w:color w:val="auto"/>
        </w:rPr>
      </w:pPr>
    </w:p>
    <w:p>
      <w:pPr>
        <w:ind w:left="520" w:right="7860" w:hanging="512"/>
        <w:spacing w:after="0" w:line="400" w:lineRule="auto"/>
        <w:tabs>
          <w:tab w:leader="none" w:pos="52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BALANCE SHEET COMPONENTS Property and Equipment, Net</w:t>
      </w:r>
    </w:p>
    <w:p>
      <w:pPr>
        <w:ind w:left="5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following summarizes property and equipment, net as of March 31, 2025 and December 31, 2024 (in thousands):</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09"/>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128,902</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110,011</w:t>
            </w:r>
          </w:p>
        </w:tc>
        <w:tc>
          <w:tcPr>
            <w:tcW w:w="120" w:type="dxa"/>
            <w:vAlign w:val="bottom"/>
            <w:shd w:val="clear" w:color="auto" w:fill="CFF0FC"/>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46,809</w:t>
            </w:r>
          </w:p>
        </w:tc>
        <w:tc>
          <w:tcPr>
            <w:tcW w:w="120" w:type="dxa"/>
            <w:vAlign w:val="bottom"/>
          </w:tcPr>
          <w:p>
            <w:pPr>
              <w:spacing w:after="0"/>
              <w:rPr>
                <w:sz w:val="18"/>
                <w:szCs w:val="18"/>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20" w:type="dxa"/>
            <w:vAlign w:val="bottom"/>
            <w:shd w:val="clear" w:color="auto" w:fill="CFF0FC"/>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10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206,816</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163,453</w:t>
            </w:r>
          </w:p>
        </w:tc>
        <w:tc>
          <w:tcPr>
            <w:tcW w:w="120" w:type="dxa"/>
            <w:vAlign w:val="bottom"/>
            <w:tcBorders>
              <w:top w:val="single" w:sz="8" w:color="CFF0FC"/>
            </w:tcBorders>
          </w:tcPr>
          <w:p>
            <w:pPr>
              <w:spacing w:after="0"/>
              <w:rPr>
                <w:sz w:val="18"/>
                <w:szCs w:val="18"/>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(113,280)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(105,397)</w:t>
            </w:r>
          </w:p>
        </w:tc>
      </w:tr>
      <w:tr>
        <w:trPr>
          <w:trHeight w:val="20"/>
        </w:trPr>
        <w:tc>
          <w:tcPr>
            <w:tcW w:w="6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93,536</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58,056</w:t>
            </w:r>
          </w:p>
        </w:tc>
        <w:tc>
          <w:tcPr>
            <w:tcW w:w="12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-453390</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-453390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-170815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on property and equipment is classified as follows in the accompanying condensed consolidated statements of operations for the three months ended March 31, 2025 and 2024 (in thousands):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80" w:type="dxa"/>
            <w:vAlign w:val="bottom"/>
            <w:tcBorders>
              <w:bottom w:val="single" w:sz="8" w:color="auto"/>
            </w:tcBorders>
            <w:gridSpan w:val="4"/>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Borders>
              <w:bottom w:val="single" w:sz="8" w:color="auto"/>
            </w:tcBorders>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Borders>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 genomics</w:t>
            </w:r>
          </w:p>
        </w:tc>
        <w:tc>
          <w:tcPr>
            <w:tcW w:w="1300" w:type="dxa"/>
            <w:vAlign w:val="bottom"/>
            <w:gridSpan w:val="2"/>
            <w:shd w:val="clear" w:color="auto" w:fill="CFF0FC"/>
          </w:tcPr>
          <w:p>
            <w:pPr>
              <w:jc w:val="right"/>
              <w:ind w:right="112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580" w:type="dxa"/>
            <w:vAlign w:val="bottom"/>
            <w:gridSpan w:val="2"/>
            <w:shd w:val="clear" w:color="auto" w:fill="CFF0FC"/>
          </w:tcPr>
          <w:p>
            <w:pPr>
              <w:jc w:val="right"/>
              <w:ind w:right="114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20" w:type="dxa"/>
            <w:vAlign w:val="bottom"/>
            <w:shd w:val="clear" w:color="auto" w:fill="CFF0FC"/>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data and services</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20" w:type="dxa"/>
            <w:vAlign w:val="bottom"/>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280" w:type="dxa"/>
            <w:vAlign w:val="bottom"/>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20" w:type="dxa"/>
            <w:vAlign w:val="bottom"/>
            <w:shd w:val="clear" w:color="auto" w:fill="CFF0FC"/>
          </w:tcPr>
          <w:p>
            <w:pPr>
              <w:spacing w:after="0"/>
              <w:rPr>
                <w:sz w:val="18"/>
                <w:szCs w:val="18"/>
                <w:color w:val="auto"/>
              </w:rPr>
            </w:pPr>
          </w:p>
        </w:tc>
      </w:tr>
      <w:tr>
        <w:trPr>
          <w:trHeight w:val="210"/>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depreciation</w:t>
            </w:r>
          </w:p>
        </w:tc>
        <w:tc>
          <w:tcPr>
            <w:tcW w:w="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2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280" w:type="dxa"/>
            <w:vAlign w:val="bottom"/>
          </w:tcPr>
          <w:p>
            <w:pPr>
              <w:spacing w:after="0"/>
              <w:rPr>
                <w:sz w:val="18"/>
                <w:szCs w:val="18"/>
                <w:color w:val="auto"/>
              </w:rPr>
            </w:pPr>
          </w:p>
        </w:tc>
        <w:tc>
          <w:tcPr>
            <w:tcW w:w="1300" w:type="dxa"/>
            <w:vAlign w:val="bottom"/>
            <w:tcBorders>
              <w:bottom w:val="single" w:sz="8" w:color="auto"/>
            </w:tcBorders>
          </w:tcPr>
          <w:p>
            <w:pPr>
              <w:jc w:val="right"/>
              <w:ind w:right="114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12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as of March 31, 2025 and December 31, 2024, consist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35,008</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24,767</w:t>
            </w:r>
          </w:p>
        </w:tc>
        <w:tc>
          <w:tcPr>
            <w:tcW w:w="12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employer payroll tax related to stock-based compensation</w:t>
            </w: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24,439</w:t>
            </w:r>
          </w:p>
        </w:tc>
        <w:tc>
          <w:tcPr>
            <w:tcW w:w="12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Accrued cloud storage costs</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accrued expenses</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129,238</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130,407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6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-1079500</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-1079500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9" w:name="page20"/>
    <w:bookmarkEnd w:id="19"/>
    <w:p>
      <w:pPr>
        <w:ind w:left="520" w:right="7960" w:hanging="512"/>
        <w:spacing w:after="0" w:line="377" w:lineRule="auto"/>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INTANGIBLES </w:t>
      </w:r>
      <w:r>
        <w:rPr>
          <w:rFonts w:ascii="Times New Roman" w:cs="Times New Roman" w:eastAsia="Times New Roman" w:hAnsi="Times New Roman"/>
          <w:sz w:val="18"/>
          <w:szCs w:val="18"/>
          <w:i w:val="1"/>
          <w:iCs w:val="1"/>
          <w:color w:val="auto"/>
        </w:rPr>
        <w:t>Goodwill</w:t>
      </w:r>
    </w:p>
    <w:p>
      <w:pPr>
        <w:spacing w:after="0" w:line="2"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tangible and intangible assets acquired. During the three months ended March 31, 2025, goodwill of $252.3 million was recorded in connection with the Ambry Acquisition and Deep 6 Acquisition. There were no goodwill additions for the three months ended March 31, 2024. The Company recorded no impairment loss during the three months ended March 31, 2025 and 2024.</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Intangible assets are initially recorded at their acquisition cost, or fair value if acquired as part of a business combination and amortized over their estimated useful lives. Intangible assets consist of a website domain, customer relationships and trade names acquired as part of a business combination, and licensed data acquired by entering into research collaboration agreements. In each license arrangement, the other party provides the Company with specified data, which currently is used primarily for research and development purposes but may also be licensed to third parties. The asset represents the Company’s right to use these datasets. The Company also recognizes a liability for the associated minimum payments that are presented within accrued data licensing fees.</w:t>
      </w:r>
    </w:p>
    <w:p>
      <w:pPr>
        <w:spacing w:after="0" w:line="18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recorded an additional $234.0 million in customer relationships, $114.0 million in developed technology - biotech, $33.0 million in trade names, $18.0 million in developed technology - software, and $1.3 million in capitalized software. During the three months ended March 31, 2024, the Company did not record any additions in intangible assets.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impairment charges recognized related to intangible assets during the three months ended March 31, 2025 and 2024, respectively.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intangible assets as of March 31, 2025 and December 31, 2024 (in thousands):</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ind w:right="234"/>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04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right"/>
              <w:ind w:right="254"/>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10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254,550</w:t>
            </w:r>
          </w:p>
        </w:tc>
        <w:tc>
          <w:tcPr>
            <w:tcW w:w="4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21,795</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232,755</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20,550</w:t>
            </w:r>
          </w:p>
        </w:tc>
        <w:tc>
          <w:tcPr>
            <w:tcW w:w="460" w:type="dxa"/>
            <w:vAlign w:val="bottom"/>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15,606</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Licensed data</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Website domain</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 - biotech</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 - software</w:t>
            </w: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448,877</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49,333</w:t>
            </w:r>
          </w:p>
        </w:tc>
        <w:tc>
          <w:tcPr>
            <w:tcW w:w="1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399,544</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48,579</w:t>
            </w:r>
          </w:p>
        </w:tc>
        <w:tc>
          <w:tcPr>
            <w:tcW w:w="46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36,863</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-170815</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-170815</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-170815</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-170815</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-170815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Amortization of intangible assets is recognized using the straight-line method over their estimated useful lives, which range from three to seven years. Amortization expense was $12.5 million and $2.9 million for the three months ended March 31, 2025 and 2024, respectively, and is recorded in cost of revenues, research and development, or selling, general and administrative expense, depending on use of the asset. The weighted average life of the Company’s intangibles is approximately six years.</w:t>
      </w:r>
    </w:p>
    <w:p>
      <w:pPr>
        <w:spacing w:after="0" w:line="2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2025, the estimated future amortization expense related to intangible assets is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5640" w:type="dxa"/>
            <w:vAlign w:val="bottom"/>
            <w:gridSpan w:val="2"/>
            <w:shd w:val="clear" w:color="auto" w:fill="CFF0FC"/>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71,707</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70,849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45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67,457</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45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57,403</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5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70,049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50"/>
        </w:trPr>
        <w:tc>
          <w:tcPr>
            <w:tcW w:w="460" w:type="dxa"/>
            <w:vAlign w:val="bottom"/>
          </w:tcPr>
          <w:p>
            <w:pPr>
              <w:spacing w:after="0"/>
              <w:rPr>
                <w:sz w:val="21"/>
                <w:szCs w:val="21"/>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5640" w:type="dxa"/>
            <w:vAlign w:val="bottom"/>
            <w:gridSpan w:val="2"/>
            <w:shd w:val="clear" w:color="auto" w:fill="CFF0FC"/>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399,525</w:t>
            </w:r>
          </w:p>
        </w:tc>
        <w:tc>
          <w:tcPr>
            <w:tcW w:w="100" w:type="dxa"/>
            <w:vAlign w:val="bottom"/>
            <w:shd w:val="clear" w:color="auto" w:fill="CFF0FC"/>
          </w:tcPr>
          <w:p>
            <w:pPr>
              <w:spacing w:after="0"/>
              <w:rPr>
                <w:sz w:val="21"/>
                <w:szCs w:val="21"/>
                <w:color w:val="auto"/>
              </w:rPr>
            </w:pPr>
          </w:p>
        </w:tc>
        <w:tc>
          <w:tcPr>
            <w:tcW w:w="440" w:type="dxa"/>
            <w:vAlign w:val="bottom"/>
          </w:tcPr>
          <w:p>
            <w:pPr>
              <w:spacing w:after="0"/>
              <w:rPr>
                <w:sz w:val="21"/>
                <w:szCs w:val="21"/>
                <w:color w:val="auto"/>
              </w:rPr>
            </w:pPr>
          </w:p>
        </w:tc>
      </w:tr>
      <w:tr>
        <w:trPr>
          <w:trHeight w:val="628"/>
        </w:trPr>
        <w:tc>
          <w:tcPr>
            <w:tcW w:w="460" w:type="dxa"/>
            <w:vAlign w:val="bottom"/>
          </w:tcPr>
          <w:p>
            <w:pPr>
              <w:spacing w:after="0"/>
              <w:rPr>
                <w:sz w:val="24"/>
                <w:szCs w:val="24"/>
                <w:color w:val="auto"/>
              </w:rPr>
            </w:pPr>
          </w:p>
        </w:tc>
        <w:tc>
          <w:tcPr>
            <w:tcW w:w="2920" w:type="dxa"/>
            <w:vAlign w:val="bottom"/>
            <w:tcBorders>
              <w:top w:val="single" w:sz="8" w:color="CFF0FC"/>
            </w:tcBorders>
          </w:tcPr>
          <w:p>
            <w:pPr>
              <w:spacing w:after="0"/>
              <w:rPr>
                <w:sz w:val="24"/>
                <w:szCs w:val="24"/>
                <w:color w:val="auto"/>
              </w:rPr>
            </w:pPr>
          </w:p>
        </w:tc>
        <w:tc>
          <w:tcPr>
            <w:tcW w:w="4500" w:type="dxa"/>
            <w:vAlign w:val="bottom"/>
            <w:tcBorders>
              <w:top w:val="single" w:sz="8" w:color="CFF0FC"/>
            </w:tcBorders>
          </w:tcPr>
          <w:p>
            <w:pPr>
              <w:jc w:val="right"/>
              <w:ind w:right="2070"/>
              <w:spacing w:after="0"/>
              <w:rPr>
                <w:sz w:val="20"/>
                <w:szCs w:val="20"/>
                <w:color w:val="auto"/>
              </w:rPr>
            </w:pPr>
            <w:r>
              <w:rPr>
                <w:rFonts w:ascii="Times New Roman" w:cs="Times New Roman" w:eastAsia="Times New Roman" w:hAnsi="Times New Roman"/>
                <w:sz w:val="18"/>
                <w:szCs w:val="18"/>
                <w:color w:val="auto"/>
              </w:rPr>
              <w:t>17</w:t>
            </w:r>
          </w:p>
        </w:tc>
        <w:tc>
          <w:tcPr>
            <w:tcW w:w="114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40" w:type="dxa"/>
            <w:vAlign w:val="bottom"/>
          </w:tcPr>
          <w:p>
            <w:pPr>
              <w:spacing w:after="0"/>
              <w:rPr>
                <w:sz w:val="24"/>
                <w:szCs w:val="24"/>
                <w:color w:val="auto"/>
              </w:rPr>
            </w:pPr>
          </w:p>
        </w:tc>
      </w:tr>
      <w:tr>
        <w:trPr>
          <w:trHeight w:val="763"/>
        </w:trPr>
        <w:tc>
          <w:tcPr>
            <w:tcW w:w="46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-933450</wp:posOffset>
            </wp:positionV>
            <wp:extent cx="596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-916305</wp:posOffset>
            </wp:positionV>
            <wp:extent cx="596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0" w:name="page21"/>
    <w:bookmarkEnd w:id="20"/>
    <w:p>
      <w:pPr>
        <w:ind w:left="520" w:right="9240" w:hanging="512"/>
        <w:spacing w:after="0" w:line="378" w:lineRule="auto"/>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JOINT VENTURE SB Tempus</w:t>
      </w: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May 18, 2024, the Company entered into a Joint Venture Agreement (the "Joint Venture Agreement") with SoftBank Group Corporation ("SoftBank") to form SB Tempus Corp. (the "Joint Venture" or "SB Tempus"). The Joint Venture closed on July 18, 2024, at which time the Company and SoftBank each contributed ¥15 billion ($95.2 million). Each party received 50% of SB Tempus's outstanding capital stock and board seats. SB Tempus will engage in certain business activities in Japan similar to those conducted by the Company in the United States, including performing clinical sequencing, organizing patient data, and building a real world data business in Japan.</w:t>
      </w:r>
    </w:p>
    <w:p>
      <w:pPr>
        <w:spacing w:after="0" w:line="183"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SB Tempus is considered a VIE as the Company does not have sufficient equity at risk and is entitled to receive residual returns of SB Tempus through its equity stake. Decisions that significantly impact the economic performance of SB Tempus require the consent of both the Company and SoftBank. Therefore, the Company concluded that neither party is deemed to have predominant control over SB Tempus, and the Company is not considered to be the primary beneficiary.</w:t>
      </w:r>
    </w:p>
    <w:p>
      <w:pPr>
        <w:spacing w:after="0" w:line="1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Company's maximum exposure to loss from SB Tempus is equal to the carrying value of the Company's investment. As of March 31, 2025, the carrying value of the investment in SB Tempus was $94.2 million. The Company's share of losses from SB Tempus are recorded in other (expense) income, net.</w:t>
      </w:r>
    </w:p>
    <w:p>
      <w:pPr>
        <w:spacing w:after="0" w:line="17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entering into the Joint Venture Agreement, the Company entered into a Data License Agreement (the "Data License Agreement"), under which the Company granted SB Tempus a limited, non-exclusive, transferable license with a limited right to sublicense certain de-identified data for certain specified uses solely in Japan. Under the Data License Agreement, SB Tempus paid the Company ¥7.5 billion ($47.9 million) in exchange for the license to an initial records batch, which is recorded in deferred revenue and will be recognized into data and services revenue over the term of the license subscription which ends on March 31, 2026. For the three months ended March 31, 2025, the Company recognized $6.2 million in Data and services revenue related to the Data License Agreement.</w:t>
      </w:r>
    </w:p>
    <w:p>
      <w:pPr>
        <w:spacing w:after="0" w:line="200" w:lineRule="exact"/>
        <w:rPr>
          <w:sz w:val="20"/>
          <w:szCs w:val="20"/>
          <w:color w:val="auto"/>
        </w:rPr>
      </w:pPr>
    </w:p>
    <w:p>
      <w:pPr>
        <w:spacing w:after="0" w:line="203"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In addition, on July 18, 2024, the Company and SB Tempus entered into an Intellectual Property Agreement (the "IP License Agreement") under which SB Tempus paid the Company an additional ¥7.5 billion ($47.9 million) in exchange for a non-exclusive license to certain of the Company's technologies for certain specified uses solely in Japan. The payment is recorded in deferred other income and will be amortized into other (expense) income, net over three years, based on the estimated time for SB Tempus' systems and technologies to diverge from the Company's. For the three months ended March 31, 2025, the Company recognized $4.0 million related to the IP License Agreement.</w:t>
      </w:r>
    </w:p>
    <w:p>
      <w:pPr>
        <w:spacing w:after="0" w:line="287" w:lineRule="exact"/>
        <w:rPr>
          <w:sz w:val="20"/>
          <w:szCs w:val="20"/>
          <w:color w:val="auto"/>
        </w:rPr>
      </w:pPr>
    </w:p>
    <w:p>
      <w:pPr>
        <w:ind w:left="520" w:right="7280" w:hanging="512"/>
        <w:spacing w:after="0" w:line="378" w:lineRule="auto"/>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Purchase Obligations</w:t>
      </w: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has entered into non-cancelable arrangements with third parties, primarily related to data licenses and cloud computing services. Where applicable, the Company calculates its obligation based on termination fees that can be paid to exit the contract. The data license agreements include committed payments for access to the data and additional payments contingent on the commercialization of such data. For the three months ended March 31, 2025 and 2024, the Company recognized data licensing and cloud computing expenses of $14.2 million and $10.8 million, respectively, related to non-cancelable arrangements.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2025, future payments under these contractual obligations were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49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57,667</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4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43,921</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44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24,067</w:t>
            </w: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Total purchase obligations</w:t>
            </w:r>
          </w:p>
        </w:tc>
        <w:tc>
          <w:tcPr>
            <w:tcW w:w="44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220,783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43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Less: Current portion of purchase obligations</w:t>
            </w:r>
          </w:p>
        </w:tc>
        <w:tc>
          <w:tcPr>
            <w:tcW w:w="44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57,667</w:t>
            </w: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long-term purchase obligations</w:t>
            </w:r>
          </w:p>
        </w:tc>
        <w:tc>
          <w:tcPr>
            <w:tcW w:w="4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163,116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480" w:type="dxa"/>
            <w:vAlign w:val="bottom"/>
            <w:vMerge w:val="restart"/>
          </w:tcPr>
          <w:p>
            <w:pPr>
              <w:jc w:val="right"/>
              <w:ind w:right="3430"/>
              <w:spacing w:after="0"/>
              <w:rPr>
                <w:sz w:val="20"/>
                <w:szCs w:val="20"/>
                <w:color w:val="auto"/>
              </w:rPr>
            </w:pPr>
            <w:r>
              <w:rPr>
                <w:rFonts w:ascii="Times New Roman" w:cs="Times New Roman" w:eastAsia="Times New Roman" w:hAnsi="Times New Roman"/>
                <w:sz w:val="18"/>
                <w:szCs w:val="18"/>
                <w:color w:val="auto"/>
              </w:rPr>
              <w:t>18</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-1370965</wp:posOffset>
            </wp:positionV>
            <wp:extent cx="596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-1079500</wp:posOffset>
            </wp:positionV>
            <wp:extent cx="596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in the normal course of business, the Company may be subject to various legal matters such as threatened or pending claims or proceedings. There were no material such matters as of and for the three months ended March 31, 2025 and 2024.</w:t>
      </w:r>
    </w:p>
    <w:p>
      <w:pPr>
        <w:spacing w:after="0" w:line="266"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entered into various non-cancelable operating lease agreements, primarily for the rent of office and lab space, with expirations at various dates through 2032. Lease cost is recognized on a straight-line basis over the lease term. Variable lease costs, which include items such as real estate taxes, common area maintenance, utilities, and storage are not included in the calculation of the right-of-use assets and are recognized as incurred.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total lease costs for the three months ended March 31, 2025 and 2024 are as follows (in thousands):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60" w:type="dxa"/>
            <w:vAlign w:val="bottom"/>
            <w:gridSpan w:val="9"/>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7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2,089</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425</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50"/>
        </w:trPr>
        <w:tc>
          <w:tcPr>
            <w:tcW w:w="71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4,115</w:t>
            </w: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40" w:type="dxa"/>
            <w:vAlign w:val="bottom"/>
            <w:tcBorders>
              <w:top w:val="single" w:sz="8" w:color="CFF0FC"/>
              <w:bottom w:val="single" w:sz="8" w:color="CFF0FC"/>
            </w:tcBorders>
            <w:shd w:val="clear" w:color="auto" w:fill="CFF0FC"/>
          </w:tcPr>
          <w:p>
            <w:pPr>
              <w:spacing w:after="0"/>
              <w:rPr>
                <w:sz w:val="21"/>
                <w:szCs w:val="21"/>
                <w:color w:val="auto"/>
              </w:rPr>
            </w:pPr>
          </w:p>
        </w:tc>
        <w:tc>
          <w:tcPr>
            <w:tcW w:w="40" w:type="dxa"/>
            <w:vAlign w:val="bottom"/>
            <w:tcBorders>
              <w:top w:val="single" w:sz="8" w:color="CFF0FC"/>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439"/>
        </w:trPr>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Lease term and discount rate as of March 31, 2025 and 2024 are as follows: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100" w:type="dxa"/>
            <w:vAlign w:val="bottom"/>
          </w:tcPr>
          <w:p>
            <w:pPr>
              <w:spacing w:after="0"/>
              <w:rPr>
                <w:sz w:val="24"/>
                <w:szCs w:val="24"/>
                <w:color w:val="auto"/>
              </w:rPr>
            </w:pPr>
          </w:p>
        </w:tc>
        <w:tc>
          <w:tcPr>
            <w:tcW w:w="176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8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r>
      <w:tr>
        <w:trPr>
          <w:trHeight w:val="21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7"/>
              </w:rPr>
              <w:t>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7"/>
              </w:rPr>
              <w:t>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-1176655</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-1159510</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-1322705</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-1176655</wp:posOffset>
            </wp:positionV>
            <wp:extent cx="596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-1159510</wp:posOffset>
            </wp:positionV>
            <wp:extent cx="596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-1322705</wp:posOffset>
            </wp:positionV>
            <wp:extent cx="596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As of March 31, 2025, the future payments under operating leases for each of the next five years and thereafter are as follows (in thousands):</w:t>
      </w:r>
    </w:p>
    <w:p>
      <w:pPr>
        <w:sectPr>
          <w:pgSz w:w="11900" w:h="16838" w:orient="portrait"/>
          <w:cols w:equalWidth="0" w:num="1">
            <w:col w:w="11140"/>
          </w:cols>
          <w:pgMar w:left="320" w:top="1400" w:right="4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-119380</wp:posOffset>
            </wp:positionV>
            <wp:extent cx="6557645"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557645" cy="13716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5715</wp:posOffset>
            </wp:positionV>
            <wp:extent cx="6557645"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57645" cy="137160"/>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2027</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5715</wp:posOffset>
            </wp:positionV>
            <wp:extent cx="6557645"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557645" cy="137160"/>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2029</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557645"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557645" cy="163195"/>
                    </a:xfrm>
                    <a:prstGeom prst="rect">
                      <a:avLst/>
                    </a:prstGeom>
                    <a:noFill/>
                  </pic:spPr>
                </pic:pic>
              </a:graphicData>
            </a:graphic>
          </wp:anchor>
        </w:drawing>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minimum lease payments</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Less: Amount representing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557645"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557645" cy="13716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Present value of net minimum lease payments</w:t>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Less: Current portion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557645" cy="162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557645" cy="162560"/>
                    </a:xfrm>
                    <a:prstGeom prst="rect">
                      <a:avLst/>
                    </a:prstGeom>
                    <a:noFill/>
                  </pic:spPr>
                </pic:pic>
              </a:graphicData>
            </a:graphic>
          </wp:anchor>
        </w:drawing>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long-term lease liabilities</w:t>
      </w:r>
    </w:p>
    <w:p>
      <w:pPr>
        <w:spacing w:after="0" w:line="370" w:lineRule="exact"/>
        <w:rPr>
          <w:sz w:val="20"/>
          <w:szCs w:val="20"/>
          <w:color w:val="auto"/>
        </w:rPr>
      </w:pPr>
    </w:p>
    <w:p>
      <w:pPr>
        <w:ind w:left="520" w:right="5392" w:hanging="512"/>
        <w:spacing w:after="0" w:line="378" w:lineRule="auto"/>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188"/>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11055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spacing w:after="0" w:line="11" w:lineRule="exact"/>
        <w:rPr>
          <w:sz w:val="20"/>
          <w:szCs w:val="20"/>
          <w:color w:val="auto"/>
        </w:rPr>
      </w:pPr>
    </w:p>
    <w:p>
      <w:pPr>
        <w:ind w:left="1228" w:hanging="1228"/>
        <w:spacing w:after="0"/>
        <w:tabs>
          <w:tab w:leader="none" w:pos="12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12,531</w:t>
      </w:r>
    </w:p>
    <w:p>
      <w:pPr>
        <w:spacing w:after="0" w:line="22"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11,393</w:t>
      </w:r>
    </w:p>
    <w:p>
      <w:pPr>
        <w:spacing w:after="0" w:line="9"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11,798</w:t>
      </w:r>
    </w:p>
    <w:p>
      <w:pPr>
        <w:spacing w:after="0" w:line="9"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12,207</w:t>
      </w:r>
    </w:p>
    <w:p>
      <w:pPr>
        <w:spacing w:after="0" w:line="9" w:lineRule="exact"/>
        <w:rPr>
          <w:rFonts w:ascii="Times New Roman" w:cs="Times New Roman" w:eastAsia="Times New Roman" w:hAnsi="Times New Roman"/>
          <w:sz w:val="18"/>
          <w:szCs w:val="18"/>
          <w:color w:val="auto"/>
        </w:rPr>
      </w:pPr>
    </w:p>
    <w:p>
      <w:pPr>
        <w:ind w:left="1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7,428</w:t>
      </w:r>
    </w:p>
    <w:p>
      <w:pPr>
        <w:spacing w:after="0" w:line="20"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12,193</w:t>
      </w:r>
    </w:p>
    <w:p>
      <w:pPr>
        <w:spacing w:after="0" w:line="9"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67,550</w:t>
      </w:r>
    </w:p>
    <w:p>
      <w:pPr>
        <w:spacing w:after="0" w:line="44"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10,563</w:t>
      </w:r>
    </w:p>
    <w:p>
      <w:pPr>
        <w:spacing w:after="0" w:line="27"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56,987</w:t>
      </w:r>
    </w:p>
    <w:p>
      <w:pPr>
        <w:spacing w:after="0" w:line="22" w:lineRule="exact"/>
        <w:rPr>
          <w:rFonts w:ascii="Times New Roman" w:cs="Times New Roman" w:eastAsia="Times New Roman" w:hAnsi="Times New Roman"/>
          <w:sz w:val="18"/>
          <w:szCs w:val="18"/>
          <w:color w:val="auto"/>
        </w:rPr>
      </w:pPr>
    </w:p>
    <w:p>
      <w:pPr>
        <w:ind w:left="1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9,420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-577850</wp:posOffset>
            </wp:positionV>
            <wp:extent cx="11055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-269240</wp:posOffset>
            </wp:positionV>
            <wp:extent cx="11055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0553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1055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spacing w:after="0" w:line="1" w:lineRule="exact"/>
        <w:rPr>
          <w:sz w:val="20"/>
          <w:szCs w:val="20"/>
          <w:color w:val="auto"/>
        </w:rPr>
      </w:pPr>
    </w:p>
    <w:p>
      <w:pPr>
        <w:ind w:left="1228" w:hanging="1228"/>
        <w:spacing w:after="0"/>
        <w:tabs>
          <w:tab w:leader="none" w:pos="12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47,567</w:t>
      </w:r>
    </w:p>
    <w:p>
      <w:pPr>
        <w:spacing w:after="0" w:line="1058" w:lineRule="exact"/>
        <w:rPr>
          <w:sz w:val="20"/>
          <w:szCs w:val="20"/>
          <w:color w:val="auto"/>
        </w:rPr>
      </w:pPr>
    </w:p>
    <w:p>
      <w:pPr>
        <w:sectPr>
          <w:pgSz w:w="11900" w:h="16838" w:orient="portrait"/>
          <w:cols w:equalWidth="0" w:num="2">
            <w:col w:w="8232" w:space="720"/>
            <w:col w:w="2188"/>
          </w:cols>
          <w:pgMar w:left="320" w:top="1400" w:right="439" w:bottom="1440" w:gutter="0" w:footer="0" w:header="0"/>
          <w:type w:val="continuous"/>
        </w:sect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Prior to the initial public offering of our Class A common stock ("IPO"), the Company had authorized two classes of common stock, voting and non-voting. In March 2021, the Company amended its certificate of incorporation to bifurcate the voting common stock into two classes, Class A common stock and Class B common stock. As of December 31, 2023, the Company had authorized 200,228,024 shares of Class A common stock, 5,374,899 shares of Class B common stock, and 66,946,627 shares of non-voting</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0" w:right="439" w:bottom="1440" w:gutter="0" w:footer="0" w:header="0"/>
          <w:type w:val="continuous"/>
        </w:sectPr>
      </w:pPr>
    </w:p>
    <w:bookmarkStart w:id="22" w:name="page23"/>
    <w:bookmarkEnd w:id="22"/>
    <w:p>
      <w:pPr>
        <w:ind w:right="120"/>
        <w:spacing w:after="0" w:line="261" w:lineRule="auto"/>
        <w:rPr>
          <w:sz w:val="20"/>
          <w:szCs w:val="20"/>
          <w:color w:val="auto"/>
        </w:rPr>
      </w:pPr>
      <w:r>
        <w:rPr>
          <w:rFonts w:ascii="Times New Roman" w:cs="Times New Roman" w:eastAsia="Times New Roman" w:hAnsi="Times New Roman"/>
          <w:sz w:val="18"/>
          <w:szCs w:val="18"/>
          <w:color w:val="auto"/>
        </w:rPr>
        <w:t>common stock. In April 2024, the Company increased the number of authorized shares of Class A common stock to 204,590,500 in conjunction with the Series G-5 Preferred stock financing (see Note 11, Redeemable Convertible Preferred Stock). In connection with the IPO, the Restated Certificate became effective, which authorized 1,000,000,000 shares of Class A common stock, 5,500,000 shares of Class B common stock, and 20,000,000 shares of preferred stock.</w:t>
      </w:r>
    </w:p>
    <w:p>
      <w:pPr>
        <w:spacing w:after="0" w:line="18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Class A common stock and Class B common stock are collectively referred to as “Common Stock” throughout the notes to these unaudited interim condensed consolidated financial statements unless otherwise noted.</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rights of the holders of Class A common stock and Class B common stock are identical, except with respect to voting. Each share of Class A common stock is entitled to one vote per share and each share of Class B common stock is entitled to thirty votes per share. Prior to the IPO, the Company also had shares of non-voting common stock authorized and outstanding, which were not entitled to any voting rights. Following the IPO, no shares of non-voting common stock are authorized or outstanding.</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w:t>
      </w:r>
    </w:p>
    <w:p>
      <w:pPr>
        <w:spacing w:after="0" w:line="225"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Under the Restated Certificate, 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indirectly, is controlled by, or is under common control with, the holder of such shares of Class B common stock;</w:t>
      </w:r>
    </w:p>
    <w:p>
      <w:pPr>
        <w:spacing w:after="0" w:line="1" w:lineRule="exact"/>
        <w:rPr>
          <w:sz w:val="20"/>
          <w:szCs w:val="20"/>
          <w:color w:val="auto"/>
        </w:rPr>
      </w:pPr>
    </w:p>
    <w:p>
      <w:pPr>
        <w:ind w:right="60" w:firstLine="8"/>
        <w:spacing w:after="0" w:line="253"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day that is no less than 90 days and no more than 150 days following the twenty-year anniversary of the filing of the Restated Certificate, which was filed with the Secretary of State of the State of Delaware on June 17, 2024; (3) the date on which Mr. Lefkofsky is no longer providing services to the Company as an executive officer or member of the board of directors; and (4) the trading day that is no less than 90 days and no more than 150 days following the date that Mr. Lefkofsky and his controlled entities hold, in the aggregate, fewer than 10,000,000 shares of the Company’s capital stock (as adjusted for stock splits, stock dividends, combinations, subdivisions and recapitalizations).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Once transferred and converted into Class A common stock, the Class B common stock may not be reissued.</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issues stock-based awards to its employees in the form of stock options, restricted stock units, performance stock units and restricted stock, all of which have the potential to increase the outstanding shares of common stock in the future (see Note 12, Stock-Based Compensation).</w:t>
      </w:r>
    </w:p>
    <w:p>
      <w:pPr>
        <w:spacing w:after="0" w:line="16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Upon any liquidation, dissolution, or winding-up, the holders of Class A common stock and Class B common stock will be 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Common Stock Warrant</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MSA with AstraZeneca, the Company granted AstraZeneca warrants to purchase $100 million in shares of the Company’s Class A common stock at an exercise price equal to the IPO price of $37.00 per share. The number of shares of Class A common stock issuable upon exercise of the warrant is 2,702,703, based on the IPO price of $37.00 per share.</w:t>
      </w:r>
    </w:p>
    <w:p>
      <w:pPr>
        <w:spacing w:after="0" w:line="176"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warrant was automatically cancelled and terminated for no consideration as AstraZeneca declined to extend its financial commitment before December 31, 2024. See Note 16 for further information.</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December 8, 2023, the Company issued Allen a warrant to purchase 150,000 shares of the Company’s Class A common stock at a price per share of $10.00. The warrant was issued as compensation for Allen’s assistance with the issuance of the Company’s Series G-4 preferred stock, and as such has been treated as an issuance cost and presented net of proceeds from Series G-4 preferred stock in Convertible redeemable preferred stock on the Company’s consolidated balance sheet. In connection with the IPO, the Company issued 109,459 shares of Class A common stock upon the net exercise of the warrant.</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21" w:lineRule="exact"/>
        <w:rPr>
          <w:sz w:val="20"/>
          <w:szCs w:val="20"/>
          <w:color w:val="auto"/>
        </w:rPr>
      </w:pPr>
    </w:p>
    <w:p>
      <w:pPr>
        <w:jc w:val="both"/>
        <w:ind w:right="320" w:firstLine="509"/>
        <w:spacing w:after="0" w:line="282" w:lineRule="auto"/>
        <w:rPr>
          <w:sz w:val="20"/>
          <w:szCs w:val="20"/>
          <w:color w:val="auto"/>
        </w:rPr>
      </w:pPr>
      <w:r>
        <w:rPr>
          <w:rFonts w:ascii="Times New Roman" w:cs="Times New Roman" w:eastAsia="Times New Roman" w:hAnsi="Times New Roman"/>
          <w:sz w:val="18"/>
          <w:szCs w:val="18"/>
          <w:color w:val="auto"/>
        </w:rPr>
        <w:t>In January 2023, the Company repurchased 145,466 shares of non-voting common stock previously issued to the former owners of AKESOgen, Inc., which the Company acquired in December 2019. These shares were accounted for as treasury stock. The Company records treasury stock at cost.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0" w:right="359" w:bottom="1440" w:gutter="0" w:footer="0" w:header="0"/>
        </w:sectPr>
      </w:pPr>
    </w:p>
    <w:bookmarkStart w:id="23" w:name="page24"/>
    <w:bookmarkEnd w:id="23"/>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October 2023, the Company issued 785,245 shares of Series G-4 convertible preferred stock (“Series G-4 Preferred”) for aggregate proceeds of $45.0 million. Each share had a par value of $0.0001. Under the terms of Series G-4 Preferred, holders receive an amount equal to 5% of the per share original issue price for each share of Series G-4 Preferred (the “G-4 Special Payment”), in the event that following an IPO, the average of the last trading price on each trading day during the ten day trading period beginning on the first day of trading of the Company’s Class A common stock is less than 110% of the price per share of Class A common stock sold in the IPO. Following the Company’s IPO, the average ten day trading price was less than 110% of the price per share of Class A common stock sold in the IPO. As such, holders of Series G-4 Preferred were owed an aggregate payment of $2.3 million, which was made in July 2024.</w:t>
      </w:r>
    </w:p>
    <w:p>
      <w:pPr>
        <w:spacing w:after="0" w:line="18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 January 2024, the Company issued 66,465 shares of Series G-3 convertible preferred stock and 10,666 shares of Series G-4 convertible preferred stock as payment of paid-in-kind dividends.</w:t>
      </w:r>
    </w:p>
    <w:p>
      <w:pPr>
        <w:spacing w:after="0" w:line="16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April 2024, the Company issued 3,489,981 shares of Series G-5 convertible preferred stock (“Series G-5 Preferred”) for aggregate proceeds of $200.0 million. Each share has a par value of $0.0001. The Company will use the proceeds for working capital and general corporate purposes.</w:t>
      </w:r>
    </w:p>
    <w:p>
      <w:pPr>
        <w:spacing w:after="0" w:line="16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IPO, all of the Company’s then-outstanding shares of redeemable convertible preferred stock and accrued but unpaid dividends were automatically converted into 71,976,178 shares of Class A voting common stock and 5,043,789 shares of Class B voting common stock.</w:t>
      </w:r>
    </w:p>
    <w:p>
      <w:pPr>
        <w:spacing w:after="0" w:line="306" w:lineRule="exact"/>
        <w:rPr>
          <w:sz w:val="20"/>
          <w:szCs w:val="20"/>
          <w:color w:val="auto"/>
        </w:rPr>
      </w:pPr>
    </w:p>
    <w:p>
      <w:pPr>
        <w:ind w:left="520" w:right="7900" w:hanging="512"/>
        <w:spacing w:after="0" w:line="377" w:lineRule="auto"/>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2015 Stock Plan</w:t>
      </w:r>
    </w:p>
    <w:p>
      <w:pPr>
        <w:spacing w:after="0" w:line="2"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 2015, the Company adopted the Tempus AI, Inc. 2015 Stock Plan (the “2015 Plan”), which has been amended and restated numerous times to increase the aggregate shares authorized to be issued to employees, consultants, and directors of the Company. As of December 31, 2023, there were 28,115,750 shares authorized under the 2015 Plan.</w:t>
      </w:r>
    </w:p>
    <w:p>
      <w:pPr>
        <w:spacing w:after="0" w:line="176"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On January 18, 2023, the Company approved a two-year extension of the expiration date of RSUs for then-current employees whose RSUs would otherwise expire in 2023 or 2024. The Company accounted for the extension as a stock compensation modification, which resulted in an increase in unrecognized compensation cost of $35.3 million at the time the extension was approved and an additional $12.2 million as the extensions occurred. The RSUs approved for the two-year extension were fully vested as of the IPO date. As such, the Company recognized the full impact of the expiration extension in stock-based compensation in the three months ended June 30, 2024.</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After the IPO, no further grants will be made under the 2015 Stock Plan.</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2024 Equity Incentive Plan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February 2024, the Company’s board of directors adopted, and in April 2024, the Company’s stockholders approved, the 2024 Equity Incentive Plan (the “2024 Plan”), which became effective in connection with the IPO in June 2024. The 2024 Plan provides for the grant of incentive stock options, (“ISOs”) nonstatutory stock options, stock appreciation rights, RSUs, restricted stock unit awards (“RSAs”), performance-based awards (“PSUs”) and other awards. The original maximum number of shares of Class A common stock that may be issued under the 2024 Plan was 7,430,000 shares of the Company’s Class A common stock and automatically increases on January 1 of each year, beginning on January 1, 2025 and continuing through and including January 1, 2034 in an amount equal to either (i) a number of shares of the Company’s Class A common stock (the “Evergreen Increase”), such that the sum of (x) the remaining number of shares available under the 2024 Plan and (y) the Evergreen Increase is equal to 5% of the total number of shares of common stock (both Class A and Class B) outstanding on December 31 of the preceding calendar year, or (ii) a lesser number of shares determined by the Company’s board of directors prior to the applicable January 1. The maximum number of shares that may be issued upon the exercise of ISOs under the 2024 Plan is 22,290,000 shares. As of March 31, 2025, there were 7,924,236 shares of the Company's Class A common stock that may be issued under the 2024 Plan,</w:t>
      </w:r>
    </w:p>
    <w:p>
      <w:pPr>
        <w:spacing w:after="0" w:line="30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granted 222,293 RSUs during the three months ended March 31, 2025. The Company granted 26,059 RSAs during the three months ended March 31, 2025, with a weighted-average grant date fair value of $45.58. Stock-based compensation on these awards is recognized on a straight-line basis over the requisite service periods of the awards. The Company recognized an immaterial amount of stock-based compensation related to the RSAs during the three months ended March 31, 2025.</w:t>
      </w:r>
    </w:p>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is classified as follows in the accompanying condensed consolidated statements of operations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2024 (in thousands):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24" w:name="page25"/>
    <w:bookmarkEnd w:id="24"/>
    <w:p>
      <w:pPr>
        <w:spacing w:after="0" w:line="2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tcBorders>
              <w:bottom w:val="single" w:sz="8" w:color="auto"/>
            </w:tcBorders>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04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46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16,027</w:t>
            </w:r>
          </w:p>
        </w:tc>
        <w:tc>
          <w:tcPr>
            <w:tcW w:w="26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40" w:type="dxa"/>
            <w:vAlign w:val="bottom"/>
            <w:gridSpan w:val="2"/>
          </w:tcPr>
          <w:p>
            <w:pPr>
              <w:jc w:val="right"/>
              <w:ind w:right="88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22,974</w:t>
            </w:r>
          </w:p>
        </w:tc>
        <w:tc>
          <w:tcPr>
            <w:tcW w:w="1460" w:type="dxa"/>
            <w:vAlign w:val="bottom"/>
            <w:gridSpan w:val="2"/>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-170815</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-170815</wp:posOffset>
            </wp:positionV>
            <wp:extent cx="596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22"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11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On September 22, 2022, the Company entered into a Credit Agreement (the “Original Credit Agreement”) with Ares Capital Corporation (“Ares”) for a senior secured loan (the “Term Loan Facility”), in an original principal amount of $175.0 million, less original issue discount of $4.4 million and deferred financing fees of $2.6 million. The Credit Agreement was amended on April 25, 2023 to, among other things, increase the original principal amount of the Term Loan Facility by $50.0 million, less original issue discount of $1.3 million, and was further amended on October 11, 2023 to, among other things, increase the original principal amount of the Term Loan Facility by $35.0 million, less original issue discount of $0.9 million. On February 3, 2025, the Company entered into the Amendment Agreement which, among other things, provided for an additional $200.0 million tranche of senior secured term loans (the “Additional Term Loan Facility”), and together with the Term Loan Facility, the “Term Loans”) and $100.0 million in priority revolving loan commitments (the “Revolving Credit Facility” and loans thereunder, the “Revolving Loans”). The Company received $194.0 million under the Additional Term Loan Facility, which is the aggregate principal amount of $200.0 million, less original issue discount of $4.0 million and $2.0 million in legal fees paid to third parties, and $97.1 million in revolving loans under the Revolving Credit Facility, which is the aggregate amount of $100.0 million, less original issue discount of $2.0 million and $0.9 million in legal fees paid to third parties, the proceeds of which were used to fund the cash consideration for the Ambry Acquisition and to pay related fees. The Additional Term Loan Facility and the Revolving Credit Facility mature on February 3, 2030. The Term Loan Facility matures in September 2027. The Term Loan Facilities and Revolving Credit Facility (together, the “Credit Facilities”) are subject to quarterly interest payments for Base Rate loans and at the end of the applicable interest rate period for Term Secured Overnight Financing Rate (“SOFR”) loans. The Amendment Agreement was accounted for as a debt modification.</w:t>
      </w:r>
    </w:p>
    <w:p>
      <w:pPr>
        <w:spacing w:after="0" w:line="196"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color w:val="auto"/>
        </w:rPr>
        <w:t>The Company has the option to convert the borrowing type to either a Base Rate Borrowing, which bears interest based on a Base Rate, defined as the greatest of the (a) the “Prime Rate” appearing the “Money Rates” section of the Wall Street Journal or another national publication selected by the Agent, (b) the Federal Funds Rate plus 0.50%, (c) Term SOFR for a one-month tenor in effect on such day plus 1.00% in each instance as of such day and</w:t>
      </w:r>
    </w:p>
    <w:p>
      <w:pPr>
        <w:spacing w:after="0" w:line="1" w:lineRule="exact"/>
        <w:rPr>
          <w:sz w:val="20"/>
          <w:szCs w:val="20"/>
          <w:color w:val="auto"/>
        </w:rPr>
      </w:pPr>
    </w:p>
    <w:p>
      <w:pPr>
        <w:ind w:firstLine="8"/>
        <w:spacing w:after="0" w:line="252"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2.00%, or a SOFR Borrowing, which bears interest based on Term SOFR. Additionally, the Company may make either a PIK election or a Cash election. Pursuant to the Original Credit Agreement, as amended by the Amendment Agreement (the “Credit Agreement”), through December 31, 2025, interest on the Term Loans accrues at a per annum rate as follows: (i) for any interest period for which the Company elects to pay interest in cash, the cash interest rate for Base Rate and Term SOFR borrowings will be the Base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6.25% and Term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7.25%, respectively, and (ii) for any interest period for which the Company elects to pay interest in kind, the cash interest rate for Base Rate and Term SOFR borrowings will be the Base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4% and Term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5%, respectively, and the paid-in-kind interest rate will be 3.25%.</w:t>
      </w:r>
    </w:p>
    <w:p>
      <w:pPr>
        <w:spacing w:after="0" w:line="19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 xml:space="preserve">From and after January 1, 2026, interest on the Term Loans accrues at a per annum rate as follows: (i) for any interest period for which the Company elects to pay interest in cash, the cash interest rate for Base Rate and Term SOFR borrowings will be the Base Rate </w:t>
      </w:r>
      <w:r>
        <w:rPr>
          <w:rFonts w:ascii="Times New Roman" w:cs="Times New Roman" w:eastAsia="Times New Roman" w:hAnsi="Times New Roman"/>
          <w:sz w:val="18"/>
          <w:szCs w:val="18"/>
          <w:i w:val="1"/>
          <w:iCs w:val="1"/>
          <w:color w:val="231F20"/>
        </w:rPr>
        <w:t>plus</w:t>
      </w:r>
      <w:r>
        <w:rPr>
          <w:rFonts w:ascii="Times New Roman" w:cs="Times New Roman" w:eastAsia="Times New Roman" w:hAnsi="Times New Roman"/>
          <w:sz w:val="18"/>
          <w:szCs w:val="18"/>
          <w:color w:val="231F20"/>
        </w:rPr>
        <w:t xml:space="preserve"> a margin ranging from 5.75% to 6.75% and Term SOFR </w:t>
      </w:r>
      <w:r>
        <w:rPr>
          <w:rFonts w:ascii="Times New Roman" w:cs="Times New Roman" w:eastAsia="Times New Roman" w:hAnsi="Times New Roman"/>
          <w:sz w:val="18"/>
          <w:szCs w:val="18"/>
          <w:i w:val="1"/>
          <w:iCs w:val="1"/>
          <w:color w:val="231F20"/>
        </w:rPr>
        <w:t>plus</w:t>
      </w:r>
      <w:r>
        <w:rPr>
          <w:rFonts w:ascii="Times New Roman" w:cs="Times New Roman" w:eastAsia="Times New Roman" w:hAnsi="Times New Roman"/>
          <w:sz w:val="18"/>
          <w:szCs w:val="18"/>
          <w:color w:val="231F20"/>
        </w:rPr>
        <w:t xml:space="preserve"> a margin ranging from 6.75% to 7.75%, respectively, and (ii) for any interest period for which we elect to pay interest in kind, the cash interest rate for Base Rate and Term SOFR borrowings will be the Base Rate </w:t>
      </w:r>
      <w:r>
        <w:rPr>
          <w:rFonts w:ascii="Times New Roman" w:cs="Times New Roman" w:eastAsia="Times New Roman" w:hAnsi="Times New Roman"/>
          <w:sz w:val="18"/>
          <w:szCs w:val="18"/>
          <w:i w:val="1"/>
          <w:iCs w:val="1"/>
          <w:color w:val="231F20"/>
        </w:rPr>
        <w:t>plus</w:t>
      </w:r>
      <w:r>
        <w:rPr>
          <w:rFonts w:ascii="Times New Roman" w:cs="Times New Roman" w:eastAsia="Times New Roman" w:hAnsi="Times New Roman"/>
          <w:sz w:val="18"/>
          <w:szCs w:val="18"/>
          <w:color w:val="231F20"/>
        </w:rPr>
        <w:t xml:space="preserve"> a margin of 4% or 4.5% and Term SOFR </w:t>
      </w:r>
      <w:r>
        <w:rPr>
          <w:rFonts w:ascii="Times New Roman" w:cs="Times New Roman" w:eastAsia="Times New Roman" w:hAnsi="Times New Roman"/>
          <w:sz w:val="18"/>
          <w:szCs w:val="18"/>
          <w:i w:val="1"/>
          <w:iCs w:val="1"/>
          <w:color w:val="231F20"/>
        </w:rPr>
        <w:t>plus</w:t>
      </w:r>
      <w:r>
        <w:rPr>
          <w:rFonts w:ascii="Times New Roman" w:cs="Times New Roman" w:eastAsia="Times New Roman" w:hAnsi="Times New Roman"/>
          <w:sz w:val="18"/>
          <w:szCs w:val="18"/>
          <w:color w:val="231F20"/>
        </w:rPr>
        <w:t xml:space="preserve"> a margin of 5% or 5.5%, respectively, and the paid-in-kind interest rate will be 3.25%. The applicable margin for any interest period for which the Company elects to pay interest in cash will be based on a consolidated first lien leverage ratio and whether the Company has satisfied certain junior capital raising requirements. The applicable margin for any interest period for which the Company elects to pay interest in kind will be based on whether the Company has satisfied certain junior capital raising requirements.</w:t>
      </w:r>
    </w:p>
    <w:p>
      <w:pPr>
        <w:spacing w:after="0" w:line="190" w:lineRule="exact"/>
        <w:rPr>
          <w:sz w:val="20"/>
          <w:szCs w:val="20"/>
          <w:color w:val="auto"/>
        </w:rPr>
      </w:pPr>
    </w:p>
    <w:p>
      <w:pPr>
        <w:ind w:right="3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Interest on the Revolving Loans accrues interest at a per annum rate equal to either, the Base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2.75% or Term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3.75% At all times prior to the termination of the Revolving Credit Facility, to the extent that, on any date, the outstanding</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5" w:name="page26"/>
    <w:bookmarkEnd w:id="25"/>
    <w:p>
      <w:pPr>
        <w:ind w:right="60"/>
        <w:spacing w:after="0" w:line="258" w:lineRule="auto"/>
        <w:rPr>
          <w:sz w:val="20"/>
          <w:szCs w:val="20"/>
          <w:color w:val="auto"/>
        </w:rPr>
      </w:pPr>
      <w:r>
        <w:rPr>
          <w:rFonts w:ascii="Times New Roman" w:cs="Times New Roman" w:eastAsia="Times New Roman" w:hAnsi="Times New Roman"/>
          <w:sz w:val="18"/>
          <w:szCs w:val="18"/>
          <w:color w:val="auto"/>
        </w:rPr>
        <w:t>aggregate principal amount of Revolving Credit Facility is less than the greater of (x) 50.0% of the revolving commitments and (y) $50.0 million, the amount of interest payable on the Revolving Loans shall be equal to the amount of interest that would be payable had the outstanding principal amount of Revolving Loans equaled the greater of (x) 50.0% of the revolving commitments and (y) $50.0 million (the “Minimum Revolving Interest Amount”). A commitment fee will accrue on the unused amount of the Revolving Credit Facility at a per annum rate of 0.50%; provided, however, that no such fee shall accrue to the extent the Company is being charged the Minimum Revolving Interest Amount.</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the Credit Agreement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The Company is required to maintain a minimum liquidity of at least $25 million and maintain specified amounts of consolidated revenues for the trailing twelve month period ending on the last day of each fiscal quarter. Minimum consolidated revenues shall equal either $1.0 billion for the immediately trailing twelve month period or $1.0 billion on a pro forma basis and for the fiscal quarters ending March 31, 2025 through December 31, 2025, and shall equal $1.1 billion for the fiscal quarters ending March 31, 2026 through December 31, 2026. The Credit Agreement also contains a maximum first lien leverage from and after the fiscal quarter ending March 31, 2027. The Company was in compliance with all covenants in the Credit Agreement as of March 31, 2025.</w:t>
      </w:r>
    </w:p>
    <w:p>
      <w:pPr>
        <w:spacing w:after="0" w:line="192"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The Company’s obligations under the Credit Agreement are guaranteed by certain of its subsidiaries and secured by substantially all of the Company’s and such subsidiaries’ assets.</w:t>
      </w:r>
    </w:p>
    <w:p>
      <w:pPr>
        <w:spacing w:after="0" w:line="16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original issue discount of $10.5 million and deferred financing fees of $2.6 million on the Term Loans are amortized over the term of the underlying debt and unamortized amounts have been offset against long-term debt in the consolidated balance sheets. As of March 31, 2025 and December 31, 2024, the unamortized original issue discount was $7.3 million and $3.8 million, respectively, and the unamortized deferred financing fees were $1.3 million and $1.4 million, respectively. The original issue discount of $2.0 million and deferred financing fees of $1.0 million on the Revolving Credit Facility are amortized over the term of the underlying debt and unamortized amounts are recorded in Investments and other assets in the consolidated balance sheets. As of March 31, 2025, the unamortized original issue discount and deferred financing fees on the Revolving Credit Facility was $1.9 million and $0.9 million, respectively.</w:t>
      </w:r>
    </w:p>
    <w:p>
      <w:pPr>
        <w:spacing w:after="0" w:line="18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Through March 31, 2025, the Company has not made any principal repayments on the Credit Facilities. During the three months ended March 31, 2025, the Company made $10.8 million in interest payments.</w:t>
      </w:r>
    </w:p>
    <w:p>
      <w:pPr>
        <w:spacing w:after="0" w:line="16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recognized interest expense of $12.5 million related to the Term Loans, which represented an effective interest rate of 3.1%, during the three months ended March 31, 2025. The Company recognized interest expense of $9.1 million related to the Term Loan Facility, which represented an effective interest rate of 3.4%, during the three months ended March 31, 2024. The Company recognized interest expense of $1.3 million related to the Revolving Credit Facility, which represented an effective interest rate of 1.3% during the three months ended March 31, 2025.</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February 22, 2025, the Company amended its convertible promissory note (the "Second Amended Note") with Google LLC ("Google"), originally entered into on June 22, 2020 (the "Note"), and subsequently amended on November 19, 2020 (the "Amended Note"). The amendment extended the maturity date of the Second Amended Note from March 22, 2026 to December 31, 2030. In addition, the amendment provides the Company the option upon maturity to repay up to 50% of the outstanding principal and accrued interest balance (the "Outstanding Amount") in shares of the Company's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79"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 amendment was accounted for as a modification. The principal balance of the Second Amended Note was reset to $238.8 million, which is the total of the then-outstanding principal and accrued interest. Consistent with the terms of the Amended Note, the Second Amended Note bears interest at a rate of 6.0% per annum, compounded annually. The principal amount is automatically reduced each year based on a formula taking into account the aggregate value of the Google Cloud Platform services used by the Company. The Company accounts for the principal reductions as an offset to its cloud and compute spend within selling, general and administrative in its condensed consolidated statements of operations and comprehensive loss. The Outstanding Amount under the Second Amended Note is due and payable on the earlier of (1) December 31, 2030, which is the maturity date of the Amended Note, (2) upon the occurrence and during the continuance of an event of default, and (3) upon the occurrence of an acceleration event, which includes any termination by the Company of its Google Cloud Platform agreement. The Company generally may not prepay the Outstanding Amount, except that the Company may, at its option, prepay the Outstanding Amount in an amount such that the principal amount remaining outstanding after such repayment is $150.0 million.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6" w:name="page27"/>
    <w:bookmarkEnd w:id="26"/>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recognized interest expense of $3.5 million and $3.6 million during the three months ended March 31, 2025 and 2024, respectively. Accrued interest on the Second Amended Note is recorded as Interest Payable within Other long-term liabilities on the condensed consolidated balance sheet.</w:t>
      </w:r>
    </w:p>
    <w:p>
      <w:pPr>
        <w:spacing w:after="0" w:line="280"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 average number of outstanding shares of Common Stock each period. The Company’s Class A common stock and Class B common stock share equally in distributed and undistributed earnings; therefore, no allocation to participating securities or dilutive securities is performed. Diluted net loss per share is calculated by giving effect to all potential dilutive Common Stock equivalents, which includes stock options, RSUs, RSAs, PSUs, and preferred stock. Because the Company incurred net losses each period, the basic and diluted calculations are the same. The Company used the if-converted method to calculate diluted EPS. As the Company had net losses in the three months ended March 31, 2025 and 2024, all potentially dilutive common stock equivalents have been excluded from the calculation of diluted net loss per share attributable to common stockholders as their effect is anti-dilutive.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calculation for basic and diluted net loss per share (in thousands, except share and per share data):</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2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9"/>
        </w:trPr>
        <w:tc>
          <w:tcPr>
            <w:tcW w:w="20" w:type="dxa"/>
            <w:vAlign w:val="bottom"/>
          </w:tcPr>
          <w:p>
            <w:pPr>
              <w:spacing w:after="0"/>
              <w:rPr>
                <w:sz w:val="12"/>
                <w:szCs w:val="12"/>
                <w:color w:val="auto"/>
              </w:rPr>
            </w:pPr>
          </w:p>
        </w:tc>
        <w:tc>
          <w:tcPr>
            <w:tcW w:w="706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FF0FC"/>
            </w:tcBorders>
          </w:tcPr>
          <w:p>
            <w:pPr>
              <w:spacing w:after="0"/>
              <w:rPr>
                <w:sz w:val="12"/>
                <w:szCs w:val="12"/>
                <w:color w:val="auto"/>
              </w:rPr>
            </w:pPr>
          </w:p>
        </w:tc>
        <w:tc>
          <w:tcPr>
            <w:tcW w:w="120" w:type="dxa"/>
            <w:vAlign w:val="bottom"/>
            <w:tcBorders>
              <w:top w:val="single" w:sz="8" w:color="auto"/>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FF0FC"/>
            </w:tcBorders>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(68,037)</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(64,743)</w:t>
            </w:r>
          </w:p>
        </w:tc>
      </w:tr>
      <w:tr>
        <w:trPr>
          <w:trHeight w:val="198"/>
        </w:trPr>
        <w:tc>
          <w:tcPr>
            <w:tcW w:w="20" w:type="dxa"/>
            <w:vAlign w:val="bottom"/>
          </w:tcPr>
          <w:p>
            <w:pPr>
              <w:spacing w:after="0"/>
              <w:rPr>
                <w:sz w:val="17"/>
                <w:szCs w:val="17"/>
                <w:color w:val="auto"/>
              </w:rPr>
            </w:pPr>
          </w:p>
        </w:tc>
        <w:tc>
          <w:tcPr>
            <w:tcW w:w="706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Dividends on Series A, B, B-1, B-2, C, D, E, F, G, G-3, and G-4 preferred</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shares</w:t>
            </w: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(27,807)</w:t>
            </w:r>
          </w:p>
        </w:tc>
      </w:tr>
      <w:tr>
        <w:trPr>
          <w:trHeight w:val="216"/>
        </w:trPr>
        <w:tc>
          <w:tcPr>
            <w:tcW w:w="20" w:type="dxa"/>
            <w:vAlign w:val="bottom"/>
          </w:tcPr>
          <w:p>
            <w:pPr>
              <w:spacing w:after="0"/>
              <w:rPr>
                <w:sz w:val="18"/>
                <w:szCs w:val="18"/>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(506)</w:t>
            </w: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(68,037)</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(93,056)</w:t>
            </w:r>
          </w:p>
        </w:tc>
      </w:tr>
      <w:tr>
        <w:trPr>
          <w:trHeight w:val="209"/>
        </w:trPr>
        <w:tc>
          <w:tcPr>
            <w:tcW w:w="20" w:type="dxa"/>
            <w:vAlign w:val="bottom"/>
          </w:tcPr>
          <w:p>
            <w:pPr>
              <w:spacing w:after="0"/>
              <w:rPr>
                <w:sz w:val="18"/>
                <w:szCs w:val="18"/>
                <w:color w:val="auto"/>
              </w:rPr>
            </w:pPr>
          </w:p>
        </w:tc>
        <w:tc>
          <w:tcPr>
            <w:tcW w:w="70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170,506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63,430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 basic and diluted</w:t>
            </w: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-1294130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-453390</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-453390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-170815</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-170815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calculation of diluted net loss per share for each period, as the impact of including them would have been anti-dilutive. As disclosed in Note 10, the Company issued a warrant for $100 million in shares of the Company’s Class A common stock. As per the terms of the warrant, potentially dilutive shares are based on the latest equity financing price. The warrant was terminated for no consideration on December 31, 2024.</w:t>
      </w:r>
    </w:p>
    <w:p>
      <w:pPr>
        <w:spacing w:after="0" w:line="173"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7060" w:type="dxa"/>
            <w:vAlign w:val="bottom"/>
          </w:tcPr>
          <w:p>
            <w:pPr>
              <w:spacing w:after="0"/>
              <w:rPr>
                <w:sz w:val="15"/>
                <w:szCs w:val="15"/>
                <w:color w:val="auto"/>
              </w:rPr>
            </w:pPr>
          </w:p>
        </w:tc>
        <w:tc>
          <w:tcPr>
            <w:tcW w:w="218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060" w:type="dxa"/>
            <w:vAlign w:val="bottom"/>
          </w:tcPr>
          <w:p>
            <w:pPr>
              <w:spacing w:after="0"/>
              <w:rPr>
                <w:sz w:val="12"/>
                <w:szCs w:val="12"/>
                <w:color w:val="auto"/>
              </w:rPr>
            </w:pPr>
          </w:p>
        </w:tc>
        <w:tc>
          <w:tcPr>
            <w:tcW w:w="1480" w:type="dxa"/>
            <w:vAlign w:val="bottom"/>
            <w:tcBorders>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2180" w:type="dxa"/>
            <w:vAlign w:val="bottom"/>
            <w:gridSpan w:val="3"/>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21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63,603,084</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Astrazeneca warrant</w:t>
            </w:r>
          </w:p>
        </w:tc>
        <w:tc>
          <w:tcPr>
            <w:tcW w:w="2180" w:type="dxa"/>
            <w:vAlign w:val="bottom"/>
            <w:gridSpan w:val="3"/>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1,744,991</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Deep 6 holdback liability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SEngine holdback liability</w:t>
            </w:r>
          </w:p>
        </w:tc>
        <w:tc>
          <w:tcPr>
            <w:tcW w:w="2180" w:type="dxa"/>
            <w:vAlign w:val="bottom"/>
            <w:gridSpan w:val="3"/>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41,007</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5,761,861</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RSAs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26,059</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Allen &amp; Company warrant</w:t>
            </w:r>
          </w:p>
        </w:tc>
        <w:tc>
          <w:tcPr>
            <w:tcW w:w="21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8"/>
                <w:szCs w:val="18"/>
                <w:color w:val="auto"/>
              </w:rPr>
            </w:pPr>
          </w:p>
        </w:tc>
      </w:tr>
      <w:tr>
        <w:trPr>
          <w:trHeight w:val="250"/>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5,805,292</w:t>
            </w:r>
          </w:p>
        </w:tc>
        <w:tc>
          <w:tcPr>
            <w:tcW w:w="2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65,749,082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-24765</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-24765</wp:posOffset>
            </wp:positionV>
            <wp:extent cx="596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-7620</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disclosed in Note 12, the RSUs issued prior to the IPO include a liquidity event performance condition prior to vesting. As such, as of March 31, 2024, these are treated as contingently issuable shares and are excluded from potentially dilutive shares as the liquidity event performance condition was not yet satisfied. As the liquidity event performance condition was satisfied upon completion of the IPO, as of March 31, 2025, these shares are included in potentially dilutive shares.</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disclosed in Note 13, the Second Amended Note may be fully converted to shares upon maturity at the holder’s option, or up to 50% may be converted to shares upon maturity at the Company's option. The number of shares to be issued is based on the amount outstanding at the maturity date, which is subject to reduction based on services used by us prior to the maturity date. As such, these are treated as contingently issuable shares and will be excluded from potential dilutive impact.</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8" w:right="399" w:bottom="1440" w:gutter="0" w:footer="0" w:header="0"/>
        </w:sectPr>
      </w:pPr>
    </w:p>
    <w:bookmarkStart w:id="27" w:name="page28"/>
    <w:bookmarkEnd w:id="27"/>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As disclosed in Note 11, the Company’s Series G-3 Preferred, Series G-4 Preferred and Series G-5 Preferred contain embedded conversion features resulted in the issuance of additional shares of Class A common stock upon completion of the IPO. The number of shares issued related to these features was dependent upon the IPO price. As such, prior to the IPO, these are treated as contingently issuable shares. Subsequent to the completion of the IPO in June 2024, the additional shares of Class A common stock are included in the weighted-average common shares outstanding.</w:t>
      </w:r>
    </w:p>
    <w:p>
      <w:pPr>
        <w:spacing w:after="0" w:line="284"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Accounting for income taxes for interim periods generally requires the provision for income taxes to be determined by applying an estimate of the annual effective tax rate for the full fiscal year to income or loss before income taxes, adjusted for discrete items, if any, for the reporting period. The Company updates its estimate of the annual effective tax rate each quarter and makes a cumulative adjustment in such period.</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the Company recorded an income tax benefit of $46.2 million. This benefit is the result of a discrete tax benefit of $46.2 million recorded from the release of a portion of the valuation allowance attributable to a preliminary estimate of $46.2 million net deferred tax liabilities recorded on Ambry's opening balance sheet which offset certain net deferred tax assets of the Company. Income tax expense for the three months ended March 31, 2024 was not material.</w:t>
      </w:r>
    </w:p>
    <w:p>
      <w:pPr>
        <w:spacing w:after="0" w:line="180"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Due to the Company’s history of losses in the United States, a full valuation allowance on all of the Company’s deferred tax assets, including net operating loss carryforwards and other book versus tax differences, was maintained.</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three months ended March 31, 2025 differs from the statutory federal income tax rate primarily due to the discrete tax benefit recognized from the reduction of the valuation allowance as a result of the Ambry Acquisition during the quarter.</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will continue to evaluate the realizability of its deferred tax assets on a quarterly basis and adjust the valuation allowance as necessary based on the weight of available evidence.</w:t>
      </w:r>
    </w:p>
    <w:p>
      <w:pPr>
        <w:spacing w:after="0" w:line="266" w:lineRule="exact"/>
        <w:rPr>
          <w:sz w:val="20"/>
          <w:szCs w:val="20"/>
          <w:color w:val="auto"/>
        </w:rPr>
      </w:pPr>
    </w:p>
    <w:p>
      <w:pPr>
        <w:ind w:left="520" w:right="4360" w:hanging="512"/>
        <w:spacing w:after="0" w:line="378" w:lineRule="auto"/>
        <w:tabs>
          <w:tab w:leader="none" w:pos="5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MARKETABLE EQUITY SECURITIES Fair Value Measurements</w:t>
      </w:r>
    </w:p>
    <w:p>
      <w:pPr>
        <w:jc w:val="both"/>
        <w:ind w:right="440" w:firstLine="509"/>
        <w:spacing w:after="0" w:line="261" w:lineRule="auto"/>
        <w:rPr>
          <w:sz w:val="20"/>
          <w:szCs w:val="20"/>
          <w:color w:val="auto"/>
        </w:rPr>
      </w:pPr>
      <w:r>
        <w:rPr>
          <w:rFonts w:ascii="Times New Roman" w:cs="Times New Roman" w:eastAsia="Times New Roman" w:hAnsi="Times New Roman"/>
          <w:sz w:val="18"/>
          <w:szCs w:val="18"/>
          <w:color w:val="auto"/>
        </w:rPr>
        <w:t>The carrying amounts of financial instruments, including cash and cash equivalents, accounts receivable, finance lease obligations, minimum royalties, accounts payable, and accrued expenses approximate fair value due to the short maturity of these instruments. The carrying amounts of the related party receivable, finance lease obligations, and minimum royalties approximate fair value because the interest rates used fluctuate with market interest rates or the fixed rates are based on current rates offered to the Company for debt with similar terms and maturities.</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valuation methodologies used for the Company’s assets and liabilities measured at fair value and their classification in the valuation hierarchy are summarized below:</w:t>
      </w:r>
    </w:p>
    <w:p>
      <w:pPr>
        <w:spacing w:after="0" w:line="160" w:lineRule="exact"/>
        <w:rPr>
          <w:sz w:val="20"/>
          <w:szCs w:val="20"/>
          <w:color w:val="auto"/>
        </w:rPr>
      </w:pPr>
    </w:p>
    <w:p>
      <w:pPr>
        <w:ind w:right="3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Marketable equity securities</w:t>
      </w:r>
      <w:r>
        <w:rPr>
          <w:rFonts w:ascii="Times New Roman" w:cs="Times New Roman" w:eastAsia="Times New Roman" w:hAnsi="Times New Roman"/>
          <w:sz w:val="18"/>
          <w:szCs w:val="18"/>
          <w:color w:val="auto"/>
        </w:rPr>
        <w:t>—The Company holds marketable equity securities, all of which are publicly traded shares of common stock,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quoted prices in active markets and are classified as short-term. The securities are measured at fair value each reporting period. The Company classifies the marketable equity securities as Level 1 as they are valued using quoted market prices at each reporting period.</w:t>
      </w:r>
    </w:p>
    <w:p>
      <w:pPr>
        <w:spacing w:after="0" w:line="21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Contingent consideration</w:t>
      </w:r>
      <w:r>
        <w:rPr>
          <w:rFonts w:ascii="Times New Roman" w:cs="Times New Roman" w:eastAsia="Times New Roman" w:hAnsi="Times New Roman"/>
          <w:sz w:val="18"/>
          <w:szCs w:val="18"/>
          <w:color w:val="auto"/>
        </w:rPr>
        <w:t>—The Company is also subject to a contingent consideration arrangement of 35,000 additional shares of non-voting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in connection with the SEngine acquisition, the amount of which is determined based on the per share price of the Company’s non-voting common stock in a liquidity event completed prior to December 31, 2027. The contingent consideration has an acquisition fair value date of $0.8 million. See Note 4, Business Combinations for further discussion of that acquisition.</w:t>
      </w:r>
    </w:p>
    <w:p>
      <w:pPr>
        <w:spacing w:after="0" w:line="18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Liabilities for contingent consideration are measured at fair value each reporting period, with the acquisition date fair value included as part of the consideration transferred in the related business combination and subsequent changes in fair value recorded in earnings within operating expense on the condensed consolidated statements of operations and comprehensive loss. The Company used a risk-neutral simulation model and option pricing framework to value the contingent consideration. Prior to the IPO, the Company classified the contingent consideration liabilities as Level 3 due to the lack of relevant observable market data over fair value inputs such as probability-weighting of payment outcomes. Subsequent to the IPO completed in June 2024, the Company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8" w:name="page29"/>
    <w:bookmarkEnd w:id="28"/>
    <w:p>
      <w:pPr>
        <w:spacing w:after="0" w:line="282" w:lineRule="auto"/>
        <w:rPr>
          <w:sz w:val="20"/>
          <w:szCs w:val="20"/>
          <w:color w:val="auto"/>
        </w:rPr>
      </w:pPr>
      <w:r>
        <w:rPr>
          <w:rFonts w:ascii="Times New Roman" w:cs="Times New Roman" w:eastAsia="Times New Roman" w:hAnsi="Times New Roman"/>
          <w:sz w:val="18"/>
          <w:szCs w:val="18"/>
          <w:color w:val="auto"/>
        </w:rPr>
        <w:t>classified the contingent consideration arrangement of up to 35,000 additional shares of non-voting common stock as Level 1 as the shares are valued using a quoted market price.</w:t>
      </w:r>
    </w:p>
    <w:p>
      <w:pPr>
        <w:spacing w:after="0" w:line="160" w:lineRule="exact"/>
        <w:rPr>
          <w:sz w:val="20"/>
          <w:szCs w:val="20"/>
          <w:color w:val="auto"/>
        </w:rPr>
      </w:pPr>
    </w:p>
    <w:p>
      <w:pPr>
        <w:ind w:right="4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Holdback liability</w:t>
      </w:r>
      <w:r>
        <w:rPr>
          <w:rFonts w:ascii="Times New Roman" w:cs="Times New Roman" w:eastAsia="Times New Roman" w:hAnsi="Times New Roman"/>
          <w:sz w:val="18"/>
          <w:szCs w:val="18"/>
          <w:color w:val="auto"/>
        </w:rPr>
        <w:t>—The Company held back 17,372 shares in connection with the Deep 6 acquisition. See Note 4, Business Combinations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discussion of that acquisition.</w:t>
      </w:r>
    </w:p>
    <w:p>
      <w:pPr>
        <w:spacing w:after="0" w:line="16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Holdback liabilities are measured at fair value each reporting period, with the acquisition date fair value included as part of the consideration transferred in the related business combination and subsequent changes in fair value recorded in earnings within operating expense on the condensed consolidated statements of operations and comprehensive loss. The Company classified the holdback liability as Level 1 as the shares are valued using a quoted market price.</w:t>
      </w:r>
    </w:p>
    <w:p>
      <w:pPr>
        <w:spacing w:after="0" w:line="178"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Warrant liability</w:t>
      </w:r>
      <w:r>
        <w:rPr>
          <w:rFonts w:ascii="Times New Roman" w:cs="Times New Roman" w:eastAsia="Times New Roman" w:hAnsi="Times New Roman"/>
          <w:sz w:val="18"/>
          <w:szCs w:val="18"/>
          <w:color w:val="auto"/>
        </w:rPr>
        <w:t>—As discussed in Note 10, the Company issued a $100 million warrant to AstraZeneca. The warrant liability is measured at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each reporting period, using a Black-Scholes option pricing model. The Company classifies the warrant liability as Level 3 due to the lack of relevant observable market data over fair value inputs such as the expected term. The warrant was terminated for no consideration on December 31, 2024.</w:t>
      </w:r>
    </w:p>
    <w:p>
      <w:pPr>
        <w:spacing w:after="0" w:line="17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Credit Facilities and the Second Amended Note were not recorded at fair value. The fair values of the Credit Facilities, and the Second Amended Note approximated their carrying values as of March 31, 2025 and December 31, 2024. Estimates of the fair values of the Credit Facilities and the Second Amended Note are classified as Level 3 due to the lack of relevant observable market data over fair value inputs.</w:t>
      </w:r>
    </w:p>
    <w:p>
      <w:pPr>
        <w:spacing w:after="0" w:line="176"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assets and liabilities that are measured at fair value on a recurring basis as of March 31, 2025 and December 31, 2024 (in thousands):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2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17"/>
        </w:trPr>
        <w:tc>
          <w:tcPr>
            <w:tcW w:w="34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65"/>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w:t>
            </w: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vMerge w:val="restart"/>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Market for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3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67,183</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Holdback liability</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62"/>
        </w:trPr>
        <w:tc>
          <w:tcPr>
            <w:tcW w:w="3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17"/>
        </w:trPr>
        <w:tc>
          <w:tcPr>
            <w:tcW w:w="34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65"/>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w:t>
            </w: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vMerge w:val="restart"/>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Market for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3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107,309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107,309</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the Company did not recognize any gain or loss due to a change in fair value for assets and liabilities measured at fair value using significant unobservable inputs (Level 3). For the three months ended March 31, 2024, the Company recognized a loss of $0.8 million in Other (expense) income, net due to the change in fair value of the warrant liability and a loss of $0.2 million in Selling, general and administrative expense due to the change in fair value of contingent consideration determined by Level 3 valuation techniques.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Marketable Equity Securities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 holds marketable equity securities, which are all publicly traded shares of Recursion Pharmaceuticals, Inc. ("Recursion") Class A common stock and Personalis common stock.</w:t>
      </w:r>
    </w:p>
    <w:p>
      <w:pPr>
        <w:spacing w:after="0" w:line="16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Recursion shares of Class A common stock were received as payment of accounts receivable. During the three months ended March 31, 2025, the Company sold 737,466 shares of Recursion Class A common stock at a weighted average price of $11.28 per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8" w:right="359" w:bottom="1440" w:gutter="0" w:footer="0" w:header="0"/>
        </w:sectPr>
      </w:pPr>
    </w:p>
    <w:bookmarkStart w:id="29" w:name="page30"/>
    <w:bookmarkEnd w:id="29"/>
    <w:p>
      <w:pPr>
        <w:ind w:right="280"/>
        <w:spacing w:after="0" w:line="282" w:lineRule="auto"/>
        <w:rPr>
          <w:sz w:val="20"/>
          <w:szCs w:val="20"/>
          <w:color w:val="auto"/>
        </w:rPr>
      </w:pPr>
      <w:r>
        <w:rPr>
          <w:rFonts w:ascii="Times New Roman" w:cs="Times New Roman" w:eastAsia="Times New Roman" w:hAnsi="Times New Roman"/>
          <w:sz w:val="18"/>
          <w:szCs w:val="18"/>
          <w:color w:val="auto"/>
        </w:rPr>
        <w:t>share for aggregate proceeds of $8.3 million. During the three months ended March 31, 2024, the Company sold 1,725,902 shares of Recursion Class A common stock at a weighted average price of $13.38 for aggregate proceeds of $23.1 million.</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consideration for the Company's obligations to Personalis under the Commercialization and Reference Laboratory Agreement entered into with Personalis in November 2023, Personalis issued warrants to the Company to purchase up to an aggregate of 9,218,800 shares of Personalis' common stock, up to 4,609,400 of which were exercisable for cash at any time prior to December 31, 2024 at an exercise price of $1.50 per share, and up to 4,609,400 of which were exercisable for cash at any time prior to December 31, 2025 at an exercise price of $2.50 per share. In August 2024, the Company exercised the warrants in full at their respective exercise prices for an aggregate of 9,218,800 shares of Personalis common stock at an aggregate purchase price of $18.4 million. Concurrently, the Company entered into an Investment Agreement with Personalis, pursuant to which the Company purchased an additional 3,500,000 shares of Personalis common stock for $17.7 million. The Company owns less than 20% of Personalis' outstanding common stock and has no significant influence or control over Personalis.</w:t>
      </w:r>
    </w:p>
    <w:p>
      <w:pPr>
        <w:spacing w:after="0" w:line="19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Changes in fair value of marketable equity securities are recorded in earnings within Other (expense) income, net on the condensed consolidated statement of operations and comprehensive loss. The following summarizes the portion of unrealized gains recorded during the three months ended March 31, 2025 and 2024 that relate to marketable equity securities held as of March 31, 2025 and 2024 (in thousands).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2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2"/>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940" w:type="dxa"/>
            <w:vAlign w:val="bottom"/>
            <w:tcBorders>
              <w:top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Net loss (gain) during the period on marketable equity securities</w:t>
            </w:r>
          </w:p>
        </w:tc>
        <w:tc>
          <w:tcPr>
            <w:tcW w:w="1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31,805</w:t>
            </w:r>
          </w:p>
        </w:tc>
        <w:tc>
          <w:tcPr>
            <w:tcW w:w="8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CFF0FC"/>
            </w:tcBorders>
            <w:gridSpan w:val="2"/>
            <w:shd w:val="clear" w:color="auto" w:fill="CFF0FC"/>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FF0FC"/>
            </w:tcBorders>
            <w:gridSpan w:val="2"/>
            <w:shd w:val="clear" w:color="auto" w:fill="CFF0FC"/>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(6,246)</w:t>
            </w:r>
          </w:p>
        </w:tc>
        <w:tc>
          <w:tcPr>
            <w:tcW w:w="0" w:type="dxa"/>
            <w:vAlign w:val="bottom"/>
          </w:tcPr>
          <w:p>
            <w:pPr>
              <w:spacing w:after="0"/>
              <w:rPr>
                <w:sz w:val="1"/>
                <w:szCs w:val="1"/>
                <w:color w:val="auto"/>
              </w:rPr>
            </w:pPr>
          </w:p>
        </w:tc>
      </w:tr>
      <w:tr>
        <w:trPr>
          <w:trHeight w:val="198"/>
        </w:trPr>
        <w:tc>
          <w:tcPr>
            <w:tcW w:w="6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Net gain recognized during the period on marketable equity securities sold during the</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(3,264)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(6,081)</w:t>
            </w:r>
          </w:p>
        </w:tc>
        <w:tc>
          <w:tcPr>
            <w:tcW w:w="0" w:type="dxa"/>
            <w:vAlign w:val="bottom"/>
          </w:tcPr>
          <w:p>
            <w:pPr>
              <w:spacing w:after="0"/>
              <w:rPr>
                <w:sz w:val="1"/>
                <w:szCs w:val="1"/>
                <w:color w:val="auto"/>
              </w:rPr>
            </w:pPr>
          </w:p>
        </w:tc>
      </w:tr>
      <w:tr>
        <w:trPr>
          <w:trHeight w:val="221"/>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940" w:type="dxa"/>
            <w:vAlign w:val="bottom"/>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Unrealized loss (gain) recognized during the period on marketable equity securities still held</w:t>
            </w:r>
          </w:p>
        </w:tc>
        <w:tc>
          <w:tcPr>
            <w:tcW w:w="480" w:type="dxa"/>
            <w:vAlign w:val="bottom"/>
            <w:gridSpan w:val="2"/>
            <w:vMerge w:val="restart"/>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35,069</w:t>
            </w:r>
          </w:p>
        </w:tc>
        <w:tc>
          <w:tcPr>
            <w:tcW w:w="80" w:type="dxa"/>
            <w:vAlign w:val="bottom"/>
            <w:shd w:val="clear" w:color="auto" w:fill="CFF0FC"/>
          </w:tcPr>
          <w:p>
            <w:pPr>
              <w:spacing w:after="0"/>
              <w:rPr>
                <w:sz w:val="16"/>
                <w:szCs w:val="16"/>
                <w:color w:val="auto"/>
              </w:rPr>
            </w:pPr>
          </w:p>
        </w:tc>
        <w:tc>
          <w:tcPr>
            <w:tcW w:w="4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4"/>
        </w:trPr>
        <w:tc>
          <w:tcPr>
            <w:tcW w:w="6940" w:type="dxa"/>
            <w:vAlign w:val="bottom"/>
            <w:shd w:val="clear" w:color="auto" w:fill="CFF0FC"/>
          </w:tcPr>
          <w:p>
            <w:pPr>
              <w:ind w:left="120"/>
              <w:spacing w:after="0" w:line="194" w:lineRule="exact"/>
              <w:rPr>
                <w:sz w:val="20"/>
                <w:szCs w:val="20"/>
                <w:color w:val="auto"/>
              </w:rPr>
            </w:pPr>
            <w:r>
              <w:rPr>
                <w:rFonts w:ascii="Times New Roman" w:cs="Times New Roman" w:eastAsia="Times New Roman" w:hAnsi="Times New Roman"/>
                <w:sz w:val="18"/>
                <w:szCs w:val="18"/>
                <w:color w:val="auto"/>
              </w:rPr>
              <w:t>at the reporting date</w:t>
            </w:r>
          </w:p>
        </w:tc>
        <w:tc>
          <w:tcPr>
            <w:tcW w:w="480" w:type="dxa"/>
            <w:vAlign w:val="bottom"/>
            <w:gridSpan w:val="2"/>
            <w:vMerge w:val="continue"/>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gridSpan w:val="2"/>
            <w:vMerge w:val="continue"/>
            <w:shd w:val="clear" w:color="auto" w:fill="CFF0FC"/>
          </w:tcPr>
          <w:p>
            <w:pPr>
              <w:spacing w:after="0"/>
              <w:rPr>
                <w:sz w:val="18"/>
                <w:szCs w:val="18"/>
                <w:color w:val="auto"/>
              </w:rPr>
            </w:pPr>
          </w:p>
        </w:tc>
        <w:tc>
          <w:tcPr>
            <w:tcW w:w="12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-693420</wp:posOffset>
            </wp:positionV>
            <wp:extent cx="603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-24765</wp:posOffset>
            </wp:positionV>
            <wp:extent cx="596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-7620</wp:posOffset>
            </wp:positionV>
            <wp:extent cx="596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22"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2018, the Company received $1.5 million from a related party for assuming an office lease from such party. The liability is amortized through the right-of-use asset as a reduction of rent expense over the lease term. The Company had a remaining related liability of $0.6 million as of both March 31, 2025 and December 31, 2024, respectively. The Company subleases a portion of office space to this related party on a month-to-month basis. Sublease income received from the related party was insignificant for the three months ended March 31, 2025 and 2024.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Investment</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August 19, 2021, the Company entered into a related party arrangement with Pathos AI, Inc. (“Pathos”), which was subsequently amended on February 12, 2024, for the purpose of furthering the commercialization efforts of drug development. The Company received a warrant to purchase 23,456,790 shares, or approximately 15% of the current outstanding equity in Pathos, for $0.0125 per share. The warrant will automatically exercise upon a change of control (as defined therein) or upon an IPO of Pathos’ securities. The Company also has an optional exercise election window during the last 10 days of the 20 year term of the warrant agreement. The master agreement provides for an initial term of five years, measured from February 2024, with a subsequent five-year renewal provision unless the agreement is terminated. Either party may terminate the agreement after the initial five-year term by prior written notice to the other party.</w:t>
      </w:r>
    </w:p>
    <w:p>
      <w:pPr>
        <w:spacing w:after="0" w:line="18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 addition, the Company has entered into various agreements with Pathos, encompassing access to the Company's Lens product, sequencing, clinical research organization and other data services. The Company has recognized $0.6 million and $0.1 million for the three months ended March 31, 2025 and 2024, respectively.</w:t>
      </w:r>
    </w:p>
    <w:p>
      <w:pPr>
        <w:spacing w:after="0" w:line="18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there was no amount due to related parties. As of March 31, 2025 and December 31, 2024, the amount due from related parties was $0.7 million and $4.3 million, respectively.</w:t>
      </w:r>
    </w:p>
    <w:p>
      <w:pPr>
        <w:spacing w:after="0" w:line="266"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April 17, 2025 (the “Effective Date”), the Company entered into a series of agreements with AstraZeneca and Pathos, a related party, regarding both the development of a foundational large multimodal model in the field of oncology (the “Foundational Model”) and the licensing of certain de-identified multi-modal data to assist in the development of the Foundational Model.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8" w:right="359" w:bottom="1440" w:gutter="0" w:footer="0" w:header="0"/>
        </w:sectPr>
      </w:pPr>
    </w:p>
    <w:bookmarkStart w:id="30" w:name="page31"/>
    <w:bookmarkEnd w:id="30"/>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Specifically, on the Effective Date, the Company entered into a Statement of Work with AstraZeneca under the previously disclosed Master Services Agreement, dated November 17, 2021 (as amended from time to time), (the Master Services Agreement and the Statement of Work collectively referred to herein as the “MSA”). Pursuant to the MSA, (i) the Company will ensure that Pathos develops, and the Company provides AstraZeneca with, a Foundational Model which has been developed, validated, and maintained using de-identified datasets contributed by the Company, (ii) the Foundational Model will be developed, validated, and maintained by Pathos, (iii) AstraZeneca will pay the Company a fee of $35 million, and (iv) a syndicate of investors including AstraZeneca will contemporaneously execute a Stock Purchase Agreement with Pathos (the “SPA”) as part of a preferred stock financing round of sufficient size given the obligations described herein.</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Also on the Effective Date, the Company entered into an Order Form with Pathos under the previously disclosed Amended and Restated Master Agreement, restated effective February 12, 2024, (the Amended and Restated Master Agreement and the Order Form collectively referred to herein as the “Pathos Master Agreement”). Pursuant to the Pathos Master Agreement, (i) Pathos will be responsible for Foundational Model development activities under the MSA, (ii) the Company will license Pathos a comprehensive de-identified multi-modal dataset for the sole purpose of assisting in the development and training of the Foundational Model under the MSA, (iii) Pathos will pay the Company data license fees of $200 million over a three-year period, including an upfront payment of $50 million payable on the Effective Date, (iv) the Company will receive a license to use the Foundational Model upon its completion (with certain field restrictions and the right of sublicense to AstraZeneca), and (v) in consideration of Pathos’ commitments under the Pathos Master Agreement, the Company will pay Pathos $35 million. Pathos, in its sole discretion, may pay up to 50% of the data license fees owed to the Company in shares of Pathos’ Series D Preferred Stock.</w:t>
      </w:r>
    </w:p>
    <w:p>
      <w:pPr>
        <w:spacing w:after="0" w:line="1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8" w:right="43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 looking statements contained in this Quarterly Report on Form 10-Q include, but are not limited to, statements concerning the following:</w:t>
      </w:r>
    </w:p>
    <w:p>
      <w:pPr>
        <w:spacing w:after="0" w:line="81" w:lineRule="exact"/>
        <w:rPr>
          <w:sz w:val="20"/>
          <w:szCs w:val="20"/>
          <w:color w:val="auto"/>
        </w:rPr>
      </w:pPr>
    </w:p>
    <w:p>
      <w:pPr>
        <w:ind w:left="1020" w:right="1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treatment paradigm for cancer, including physicians’ use of molecular data and targeted oncology therapeutics and the market size for our current and future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beyond oncology into new disease areas;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and our expectations regarding our revenue, expenses, capital requirements and operating results;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services, including our goals and strategy regarding development and commercialization of AI Applications;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datasets, including in new disease areas and geographies;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the growth of our datasets will improve the quality of our products and services and accelerate their adoption;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capture, aggregate, analyze or otherwise utilize genomic data in new ways and in additional diagnostic modalities;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we will continue to commercialize de-identified records and license them to multiple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publications in peer-reviewed journals or of our presentations at scientific and medical conference presentations;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products, technologies and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and technologies and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Intelligent Diagnostics to be disruptive across a broad set of disease areas and the clinical trial process;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by expanding our sales to existing customers or introducing our products to new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conditions, including new and potential tariffs, on us and our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payer reimbursement and coverage decisions, including our strategy to increase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claims of infringement;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evolving and/or extensive government regulation;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internationally, including through our joint venture, SB Tempus, in Japan;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businesses, form joint ventures or make investments in companies or technologies, including our ability to realize the expected benefits of our acquisitions of Ambry Genetics Corporation and Deep 6 AI, Inc;</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 including our trade secret protected proprietary rights in our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or pay down existing or future debt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cash needs and our needs for additional financing;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the markets in which we operate.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32" w:name="page33"/>
    <w:bookmarkEnd w:id="32"/>
    <w:p>
      <w:pPr>
        <w:ind w:firstLine="509"/>
        <w:spacing w:after="0" w:line="254"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9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on Form 10-Q.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3" w:name="page34"/>
    <w:bookmarkEnd w:id="3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 consolidated financial statements and related notes included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year ended December 31, 2024 . Some of the information contained in this discussion and analysis, including information with respect to our planned investments in our sales and marketing, research and development, and general and administrative functions, includes forward-looking statements that involve risks and uncertainties. You should review the sections titled “Note Regarding Forward-Looking Statements” and “Risk Factors” in this Quarterly Report on Form 10-Q and in our Annual Report on Form 10-K for the year ended December 31, 2024 for a discussion of forward- looking statements and important factors that could cause actual results to differ materially from the results described in or implied by the forward-looking statements contained in the following discussion and analysis.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their adoption could empower physicians to deliver better care and researchers to develop more precise therapies, with the potential to save millions of lives.</w:t>
      </w:r>
    </w:p>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order to bring AI to healthcare at scale, we believe the foundation of how data flows throughout the ecosystem needs to be rebuilt. We established new data pipes, going to and from providers, to allow for the free exchange of data between physicians, who interpret data, and diagnostic and life science companies, who provide data, integrating relevant clinical data, such as outcomes, or adverse events, which are essential for many clinical decisions. Without this capability, we believe that data would continue to accumulate without impacting patient care. To accomplish this, we built both a technology platform to free healthcare data from silos and an operating system to make this data useful, the combination of which we refer to as our Platform. Our Platform connects multiple stakeholders within the larger healthcare ecosystem, often in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patients to access emerging therapies and clinical trials when appropriate.</w:t>
      </w:r>
    </w:p>
    <w:p>
      <w:pPr>
        <w:spacing w:after="0" w:line="18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currently offer three product lines: Genomics, Data and AI Applications. Each product line is designed to enable and enhance the others, thereby creating network effects in each of the markets in which we operate. We are able to commercialize records multiple times, both at the time a test is run and thereafter. Our Genomics product line leverages our state-of-the-art laboratories to provide next generation sequencing, or NGS diagnostics, polymerase chain reaction, or PCR, profiling, molecular genotyping and other anatomic and molecular pathology testing to healthcare providers, pharmaceutical companies, biotechnology companies, researchers, and other third parties. The data generated in our lab or ingested into our platform as part of the Genomics product line is structured and de-identified, prior to commercialization. This de-identified database is then commercialized to our pharmaceutical and biotechnology partners to facilitate drug discovery and development through two primary Data and Services products, Insights and Trials. Our third product line, AI Applications, is focused on developing and providing diagnostics that are algorithmic in nature, implementing new software as a medical device, and building and deploying clinical decision support tools.</w:t>
      </w:r>
    </w:p>
    <w:p>
      <w:pPr>
        <w:spacing w:after="0" w:line="18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primarily operate in the United States and generated total revenue of $255.7 and $145.8 million in the three months ended March 31, 2025 and 2024, respectively. We also incurred net losses of $68.0 and $64.7 million in the three months ended March 31, 2025 and 2024, respectively. We generated adjusted EBITDA of $(16.2) million and $(43.9) million, in the three months ended March 31, 2025 and 2024, respectively. Adjusted EBITDA is a non-GAAP financial measure. For a reconciliation of adjusted EBITDA to net loss, the most directly comparable financial measure stated in accordance with generally accepted accounting principles in the United States of America, or GAAP, and for additional information about adjusted EBITDA, a non-GAAP financial measure, see "—Non-GAAP Financial Measure."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4" w:name="page35"/>
    <w:bookmarkEnd w:id="3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Ambry Genetics Corporation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On February 3, 2025, or the Closing Date, we completed our acquisition, or the Ambry Acquisition, of Ambry Genetics Corporation, a Delaware corporation, or Ambry, pursuant to a Securities Purchase Agreement, or the Purchase Agreement, entered into on November 4, 2024 with REALM IDx, Inc., a Delaware corporation, or the Seller, and the Seller’s ultimate parent, Konica Minolta, Inc., a Japanese corporation, as guarantor. We acquired all of the issued and outstanding shares of capital stock of Ambry. Consideration for the acquisition consisted of $375.0 million in cash, subject to adjustment for cash, unpaid indebtedness, unpaid transaction expenses and net working capital of Ambry, or the Cash Consideration, plus the issuance of an aggregate of 4,843,136 shares of our Class A common stock, or the Stock Consideration. The Stock Consideration was valued at $61.54 per share, which was the closing price of our Class A common stock on the Closing Date. Pursuant to the terms of the Purchase Agreement, 2,152,505 shares issued as Stock Consideration are subject to a lock-up for a period of one year following the Closing Date. In addition, $5.0 million of the Cash Consideration are held in an escrow account for purposes of satisfying any post-closing purchase price adjustments.</w:t>
      </w:r>
    </w:p>
    <w:p>
      <w:pPr>
        <w:spacing w:after="0" w:line="18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 xml:space="preserve">In connection with the closing of the acquisition, we entered into an amendment to the Credit Agreement (as defined in </w:t>
      </w:r>
      <w:r>
        <w:rPr>
          <w:rFonts w:ascii="Times New Roman" w:cs="Times New Roman" w:eastAsia="Times New Roman" w:hAnsi="Times New Roman"/>
          <w:sz w:val="18"/>
          <w:szCs w:val="18"/>
          <w:color w:val="000000"/>
        </w:rPr>
        <w:t>“—Liquidity and Capital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Resources”</w:t>
      </w:r>
      <w:r>
        <w:rPr>
          <w:rFonts w:ascii="Times New Roman" w:cs="Times New Roman" w:eastAsia="Times New Roman" w:hAnsi="Times New Roman"/>
          <w:sz w:val="18"/>
          <w:szCs w:val="18"/>
          <w:color w:val="231F20"/>
        </w:rPr>
        <w:t>), providing for an additional $200.0 million in senior secured term loans, or the Additional Term Loan Facility, and $100.0 million in senior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secured revolving loan commitments, or the Revolving Credit Facility. We utilized borrowings under the Additional Term Loan Facility and the Revolving Credit Facility to fund the Cash Consideration for the acquisition and to pay fees and expenses related thereto.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Collaborations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AstraZeneca and Pathos</w:t>
      </w:r>
    </w:p>
    <w:p>
      <w:pPr>
        <w:spacing w:after="0" w:line="227"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In April 2025, we entered into a series of agreements with AstraZeneca AB, or AstraZeneca, and Pathos regarding both the development of a foundational large multimodal model in the field of oncology, or the Foundational Model, and the licensing of certain de-identified multi-modal data to assist in the development of the Foundational Model.</w:t>
      </w:r>
    </w:p>
    <w:p>
      <w:pPr>
        <w:spacing w:after="0" w:line="176"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Specifically, we entered into a Statement of Work with AstraZeneca under the previously disclosed Master Services Agreement, dated November 17, 2021, as amended in October 2022, February 2023 and December 2023 (and as further amended from time to time, together with the Statement of Work, collectively referred to herein as the MSA). Pursuant to the MSA, (i) we will ensure that Pathos develops, and we provide AstraZeneca with, a Foundational Model which has been developed, validated, and maintained using de-identified datasets contributed by us, (ii) the Foundational Model will be developed, validated, and maintained by Pathos, (iii) AstraZeneca will pay us a fee of $35 million, and (iv) a syndicate of investors including AstraZeneca will contemporaneously execute a Stock Purchase Agreement with Pathos, or the SPA, as part of a preferred stock financing round of sufficient size given the obligations described herein.</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also entered into an Order Form with Pathos under the previously disclosed Amended and Restated Master Agreement, restated effective February 12, 2024, (the Amended and Restated Master Agreement and the Order Form collectively referred to herein as the “Pathos Master Agreement”). Pursuant to the Pathos Master Agreement, (i) Pathos will be responsible for Foundational Model development activities under the MSA, (ii) we will license Pathos a comprehensive de-identified multi-modal dataset for the sole purpose of assisting in the development and training of the Foundational Model under the MSA, (iii) Pathos will pay us data license fees of $200 million over a three-year period, including an upfront payment of $50 million payable on the April 17, 2025 (iv) we will receive a license to use the Foundational Model upon its completion (with certain field restrictions and the right of sublicense to AstraZeneca), and (v) in consideration of Pathos’ commitments under the Pathos Master Agreement, we will pay Pathos $35 million. Pathos, in its sole discretion, may pay up to 50% of the data license fees owed to us in shares of Pathos’ Series D Preferred Stock.</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AstraZeneca</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previously disclosed, in November 2021, we entered into the MSA with, and issued a warrant to,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$220 million on such products and services during the term of the MSA. The term of the MSA will continue through December 31, 2028, unless terminated sooner. The minimum commitment may increase from $220 million to $320 million through December 2028 if the average closing price of our Class A common stock exceeds two times the price of shares of Class A common stock in our initial public offering, or the IPO, for any 30-day trading period following the one-year anniversary of our IPO.</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35" w:name="page36"/>
    <w:bookmarkEnd w:id="35"/>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Under the warrant, AstraZeneca had the right to purchase up to $100 million in shares of our Class A common stock at an exercise price equal to $37.00 per share, representing the public offering price in our IPO. The warrant was exercisable through December 31, 2026. The warrant was automatically cancelled and terminated for no consideration as AstraZeneca declined to extend its financial commitment before December 31, 2024.</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GlaxoSmithKline</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August 2022, we entered into a Strategic Collaboration Agreement, or, as amended in May 2024, the GSK Agreement, with GlaxoSmithKline, or GSK. Under the GSK Agreement, we agreed, on a non-exclusive basis, to provide GSK with certain of our products and services, including licensed data, sequencing, clinical trial matching, organoid modeling services, algorithm development, and others. In exchange for certain discounted prices, GSK has committed to spend a minimum of $180 million on such products and services during the term of the GSK Agreement, of which $70 million was paid upon execution. The term of the GSK Agreement will continue through December 31, 2027, unless terminated sooner. An additional commitment of up to $120 million may be triggered at GSK’s election for the years 2028, 2029 and 2030.</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Recursion Master Agreement</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November 2023, we entered into a Master Agreement, or the Recursion Agreement, with Recursion Pharmaceuticals, Inc., or Recursion. Under the Recursion Agreement, we agreed to provide certain of our services and to license certain data to Recursion, including a limited right to access our proprietary database of de-identified clinical and molecular data for certain therapeutic product development purposes. In exchange for these rights, Recursion will pay an initial license fee of $22 million and an annual license fee throughout the term of the agreement, which, together with the initial license fee, totals up to $160 million. The term of the Recursion Agreement will continue through November 3, 2028, unless terminated sooner. In addition to mutual rights to terminate for an uncured breach of the Recursion Agreement, Recursion may terminate the agreement for convenience after three years upon 90 days prior notice, subject to payment by Recursion of an early termination fee.</w:t>
      </w:r>
    </w:p>
    <w:p>
      <w:pPr>
        <w:spacing w:after="0" w:line="18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initial license fee and each annual license fee are payable at Recursion’s option either in the form of (x) cash, (y) shares of Recursion’s Class A common stock, or (z) a combination of cash and shares of Recursion’s Class A common stock in such proportion as is determined by Recursion in its sole discretion; provided that the aggregate number of shares of Recursion’s Class A common stock to be issued to us under the Recursion Agreement shall not exceed 19.9% of the aggregate total of shares of Recursion Class A common stock and Class B common stock outstanding on November 3, 2023, or the date immediately preceding the date any shares of Class A common stock are issued pursuant to the Recursion Agreement, whichever is less. We have customary registration rights with respect to any shares of Recursion’s Class A common stock issued pursuant to the Recursion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We believe there are several important factors that have impacted and that we expect will impact our operating performance and results of operations. While each of these areas presents significant opportunities for us, they also pose significant risks and challenges that we must address.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and New Products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expect to maintain high levels of investment in product innovation over the coming years as we continue to develop new laboratory assays, develop algorithms, and expand our Platform into new disease areas. These investments will include laboratory costs incurred in validating new or improving current assays, licensing of data sets to accelerate our efforts in new diseases, and development and validation costs for new Algos products. We invested $35.9 and $24.3 million during the three months ended March 31, 2025 and 2024, respectively, in research and development. Our ability to develop new products, obtain regulatory approvals when required, launch them into the market, and drive adoption of these products by our customers will continue to play a key role in our results.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and Expansion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To grow our business requires both identifying new customers and expanding our partnerships with existing ones across each of our product lines. For Genomics, this entails our field salesforce developing relationships with individual physicians, genetic counselors, and hospital systems, demonstrating the power our Platform has in enabling them to provide personalized care to their patients. For Data, this entails our pharmaceutical business development teams demonstrating the power our Platform and database have in enabling drug discovery, development and clinical trial matching for our pharmaceutical partners. For AI Applications, this entails demonstrating the utility of these algorithms in a clinical setting. Since our inception, our offerings have been used by more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36" w:name="page37"/>
    <w:bookmarkEnd w:id="36"/>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than 7,500 physicians and we have worked with over 200 biotech companies, as well as 19 of the 20 largest public pharmaceutical companies based on 2024 revenue, albeit with many we are still at an early stage of adoption. Our financial performance relies heavily on our ability to add customers to our Platform and expand the relationships with our current customers through adoption of our new products.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Technology</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Technology is at the core of everything we do. From receiving orders and ingesting data through our various provider integrations to delivering test results and access to our analytical platform, our Platform plays a key role in driving our business. We will continue to make significant investments in our Platform to continually improve our user experience and allow us to generate, ingest and structure data more efficiently as we expand our offerings. We invested $33.4 million and $27.1 million during the three months ended March 31, 2025 and 2024, respectively, in technology. We expect to maintain high levels of investment in our technology over the coming years as we continue to develop new features to support our current and future business needs. Our ability to execute on the development of such technology will continue to play a key factor in our results. In addition, the recent announcement of substantial new tariffs and other restrictive trade policies, to the extent such current and future tariffs apply to hardware, networking infrastructure or other technology infrastructure used by us or our third-party vendors, could raise costs, constrain supply or affect service reliability.</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Payer Coverage and Reimbursement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financial performance relies heavily on our ability to secure reimbursement from payers and government health benefits programs. A substantial majority of the genomic testing we perform is clinical in nature. We typically receive reimbursement for these tests from commercial payers and from government health benefits programs, such as Medicare and Medicaid. The amount of payment we receive varies widely and depends on a variety of factors, including the payer, the assay run, and other characteristics about the patient. As of December 31, 2024, we had received payment on approximately 55% of our clinical oncology NGS tests across all payers performed from January 1, 2022 through December 31, 2023. We calculated this metric on a trailing basis based on payer adjudication timing. However, we continued to perform our NGS tests through December 31, 2024. For the years ended December 31, 2024 and 2023, our average reimbursement for NGS tests in oncology was approximately $1,510 and $1,450, respectively. We will continue to invest significantly in various efforts aimed at improving our average reimbursement, including performing clinical studies to generate evidence of clinical utility, seeking regulatory approval for our tests, and opening additional lab locations. Any changes to medical policies impacting how our tests are reimbursed could have a significant impact on our results.</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Macroeconomic Conditions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 significant portion of our current Data and services products sales are to customers in the life sciences industry, in particular the pharmaceutical and biotechnology industry. Demand for our Data and services products could be affected by factors that adversely affect the life sciences industry, including macroeconomic and market conditions that may adversely impact earlier stage biotechnology companies such as recently announced substantial new tariffs and other restrictive trade policies.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primarily derive our revenue from two product lines: (1) Genomics and (2) Data and services.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Genomics primarily includes revenue from Oncology testing (legacy Tempus) and Hereditary testing (legacy Ambry Genetics). Oncology testing includes revenue from diagnostics, PCR profiling, and other anatomic and molecular pathology testing to oncologists, pharmaceutical companies, biotechnology companies, researchers, and other third parties. Hereditary testing includes revenue from inherited cancer risk, whole exome and genome profiling for rare conditions, and all other inherited screening testing primarily to genetic counselors.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Data and services primarily includes revenue from de-identified data generated through our Genomics product line to our pharmaceutical and biotechnology partners for use in their drug development efforts. These transactions consist of data licensing agreements, AI-enabled clinical trial matching, and analytical services. Our Data revenue is typically back-weighted towards the second half of the year based on the budgeting cycles of our customers. We currently report our AI Applications revenue within this line item as it is immaterial.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7" w:name="page38"/>
    <w:bookmarkEnd w:id="3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incur costs to generate revenue for each of our two primary product lines. Cost of revenues for our Genomics product line is a higher percentage of the Genomics revenue than cost of revenues for Data and services is as a percentage of Data and services revenue. As revenue shifts between these product lines, total cost of revenue as a percentage of revenue will be impacted.</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Cost of revenues for Genomics primarily includes personnel lab expenses, including salaries, bonuses, employee benefits and stock-based compensation expenses (which we refer to as “personnel costs”), and amortization of intangible assets, cost of laboratory supplies and consumables, laboratory rent expense, depreciation of laboratory equipment and shipping costs. Costs associated with performing our tests are recorded as the tests are processed at the time of report delivery. We expect these costs will increase in absolute dollars as our Genomics revenue continues to grow.</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Revenues, Data and Services</w:t>
      </w:r>
    </w:p>
    <w:p>
      <w:pPr>
        <w:spacing w:after="0" w:line="119" w:lineRule="exact"/>
        <w:rPr>
          <w:sz w:val="20"/>
          <w:szCs w:val="20"/>
          <w:color w:val="auto"/>
        </w:rPr>
      </w:pPr>
    </w:p>
    <w:p>
      <w:pPr>
        <w:ind w:right="540" w:firstLine="509"/>
        <w:spacing w:after="0" w:line="261" w:lineRule="auto"/>
        <w:rPr>
          <w:sz w:val="20"/>
          <w:szCs w:val="20"/>
          <w:color w:val="auto"/>
        </w:rPr>
      </w:pPr>
      <w:r>
        <w:rPr>
          <w:rFonts w:ascii="Times New Roman" w:cs="Times New Roman" w:eastAsia="Times New Roman" w:hAnsi="Times New Roman"/>
          <w:sz w:val="18"/>
          <w:szCs w:val="18"/>
          <w:color w:val="auto"/>
        </w:rPr>
        <w:t>Cost of revenues for Data and services primarily includes data acquisition and royalty fees, and personnel costs related to delivery of our data services and platform, cloud costs, and certain allocated overhead expenses. Costs associated with performing data product services are recorded as incurred. We expect these costs will increase in absolute dollars as our Data and services revenue continues to grow. We currently report our AI Applications cost of revenue within this line item as it is immaterial.</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primarily includes costs incurred to develop new assays and products, including validation costs, research and development and allocated lab personnel costs, salaries and benefits of the company’s scientific and laboratory research and development teams, amortization of intangible assets, inventory costs, overhead costs, contract services and other related costs. Research and development costs are expensed as incurred. We plan to continue to invest in new assay development and expansion into new disease areas. As a result, we expect that research and development expenses will increase in absolute dollars for the foreseeable future as we continue to invest to support these activities.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Technology research and development expense primarily includes personnel costs incurred related to the research and development of our technology platform and applications and the research and development of new products that we hope to bring to the market. Technology research and development costs are expensed as incurred. We plan to continue to invest in technology personnel to support our Platform and new algorithm development. We expect that technology research and development expenses will increase in absolute dollars for the foreseeable future as we continue to invest to support these activities.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expense primarily includes personnel costs for our sales, executive, accounting and finance, legal and human resources functions, commissions, and other general corporate expenses, including software and tools, professional services, real estate costs, and travel costs.</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expect that our selling, general and administrative expenses will continue to increase in absolute dollars after our IPO,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absolute dollars, are expected to decrease modestly as a percentage of revenue in the long term, though they may fluctuate as a percentage from period to period due to the timing and extent of these expenses. As the performance-based vesting condition of our RSUs was satisfied in connection with our IPO, we will continue to record stock-based compensation expenses associated with the vesting of RSUs in the quarter in which such vestings occur.</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8" w:name="page39"/>
    <w:bookmarkEnd w:id="3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interest from our Second Amended Note and Credit Facilities (each as defined in “—Liquidity and Capital Resources”). Interest expense related to our Second Amended Note will continue, but should decrease over time as the principal amount decreases.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Other (expense) income, net </w:t>
      </w:r>
      <w:r>
        <w:rPr>
          <w:rFonts w:ascii="Times New Roman" w:cs="Times New Roman" w:eastAsia="Times New Roman" w:hAnsi="Times New Roman"/>
          <w:sz w:val="18"/>
          <w:szCs w:val="18"/>
          <w:color w:val="231F20"/>
        </w:rPr>
        <w:t>consists of foreign currency exchange gains and losses, gains and losses on marketable equity securities, income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 Intellectual Property Agreement, or the IP License Agreement, with SB Tempus Corp., or SB Tempus, and any changes in fair value related to our warrant assets and liabilities.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 We hold shares of common stock of Recursion and Personalis, Inc., or Personalis, which are recorded within marketable equity securities. These shares are marked to market each reporting period. We issued a warrant to our customer AstraZeneca in conjunction with the signing of the MSA in November 2021. We have a warrant asset related to a November 2023 Commercialization and Reference Laboratory Agreement with Personalis, which was exercised in August 2024. The fair value of the warrant assets and liabilities are measured each reporting period.</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Benefit from (provision for) income taxes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Benefit from (provision for) income taxes consists of U.S. federal and state income taxes and income taxes in certain foreign jurisdictions in which we conduct business, as adjusted for non-deductible expenses, and changes in the valuation of our deferred tax assets and liabilities. We maintain a full valuation allowance on our U.S. federal and state deferred tax assets as we have concluded that it is more likely than not that the deferred tax assets will not be realized.</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Losses from Equity Method 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Losses from equity method investments consist of earnings from our joint venture.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the periods presented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60" w:type="dxa"/>
            <w:vAlign w:val="bottom"/>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4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Genomics</w:t>
            </w:r>
          </w:p>
        </w:tc>
        <w:tc>
          <w:tcPr>
            <w:tcW w:w="2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193,804</w:t>
            </w:r>
          </w:p>
        </w:tc>
        <w:tc>
          <w:tcPr>
            <w:tcW w:w="16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102,569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Data and services</w:t>
            </w:r>
          </w:p>
        </w:tc>
        <w:tc>
          <w:tcPr>
            <w:tcW w:w="25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61,933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43,251</w:t>
            </w: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net revenue</w:t>
            </w:r>
          </w:p>
        </w:tc>
        <w:tc>
          <w:tcPr>
            <w:tcW w:w="2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255,737</w:t>
            </w:r>
          </w:p>
        </w:tc>
        <w:tc>
          <w:tcPr>
            <w:tcW w:w="16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145,820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2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2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15,288</w:t>
            </w:r>
          </w:p>
        </w:tc>
        <w:tc>
          <w:tcPr>
            <w:tcW w:w="12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24,340</w:t>
            </w:r>
          </w:p>
        </w:tc>
        <w:tc>
          <w:tcPr>
            <w:tcW w:w="12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25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324,426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199,094</w:t>
            </w: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2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(68,689)</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(53,274)</w:t>
            </w:r>
          </w:p>
        </w:tc>
        <w:tc>
          <w:tcPr>
            <w:tcW w:w="44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5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(13,238)</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(27,455)</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4540" w:type="dxa"/>
            <w:vAlign w:val="bottom"/>
            <w:shd w:val="clear" w:color="auto" w:fill="CFF0FC"/>
          </w:tcPr>
          <w:p>
            <w:pPr>
              <w:spacing w:after="0" w:line="20" w:lineRule="exact"/>
              <w:rPr>
                <w:sz w:val="1"/>
                <w:szCs w:val="1"/>
                <w:color w:val="auto"/>
              </w:rPr>
            </w:pPr>
          </w:p>
        </w:tc>
        <w:tc>
          <w:tcPr>
            <w:tcW w:w="25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before benefit from (provision for) income taxes</w:t>
            </w: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(112,334)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(64,732)</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2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46,180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49"/>
        </w:trPr>
        <w:tc>
          <w:tcPr>
            <w:tcW w:w="460" w:type="dxa"/>
            <w:vAlign w:val="bottom"/>
          </w:tcPr>
          <w:p>
            <w:pPr>
              <w:spacing w:after="0"/>
              <w:rPr>
                <w:sz w:val="21"/>
                <w:szCs w:val="21"/>
                <w:color w:val="auto"/>
              </w:rPr>
            </w:pPr>
          </w:p>
        </w:tc>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(68,037)</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(64,743)</w:t>
            </w:r>
          </w:p>
        </w:tc>
        <w:tc>
          <w:tcPr>
            <w:tcW w:w="440" w:type="dxa"/>
            <w:vAlign w:val="bottom"/>
          </w:tcPr>
          <w:p>
            <w:pPr>
              <w:spacing w:after="0"/>
              <w:rPr>
                <w:sz w:val="21"/>
                <w:szCs w:val="21"/>
                <w:color w:val="auto"/>
              </w:rPr>
            </w:pPr>
          </w:p>
        </w:tc>
      </w:tr>
      <w:tr>
        <w:trPr>
          <w:trHeight w:val="629"/>
        </w:trPr>
        <w:tc>
          <w:tcPr>
            <w:tcW w:w="460" w:type="dxa"/>
            <w:vAlign w:val="bottom"/>
          </w:tcPr>
          <w:p>
            <w:pPr>
              <w:spacing w:after="0"/>
              <w:rPr>
                <w:sz w:val="24"/>
                <w:szCs w:val="24"/>
                <w:color w:val="auto"/>
              </w:rPr>
            </w:pPr>
          </w:p>
        </w:tc>
        <w:tc>
          <w:tcPr>
            <w:tcW w:w="4540" w:type="dxa"/>
            <w:vAlign w:val="bottom"/>
            <w:tcBorders>
              <w:top w:val="single" w:sz="8" w:color="CFF0FC"/>
            </w:tcBorders>
          </w:tcPr>
          <w:p>
            <w:pPr>
              <w:spacing w:after="0"/>
              <w:rPr>
                <w:sz w:val="24"/>
                <w:szCs w:val="24"/>
                <w:color w:val="auto"/>
              </w:rPr>
            </w:pPr>
          </w:p>
        </w:tc>
        <w:tc>
          <w:tcPr>
            <w:tcW w:w="2560" w:type="dxa"/>
            <w:vAlign w:val="bottom"/>
            <w:tcBorders>
              <w:top w:val="single" w:sz="8" w:color="CFF0FC"/>
            </w:tcBorders>
          </w:tcPr>
          <w:p>
            <w:pPr>
              <w:jc w:val="right"/>
              <w:ind w:right="175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40" w:type="dxa"/>
            <w:vAlign w:val="bottom"/>
          </w:tcPr>
          <w:p>
            <w:pPr>
              <w:spacing w:after="0"/>
              <w:rPr>
                <w:sz w:val="24"/>
                <w:szCs w:val="24"/>
                <w:color w:val="auto"/>
              </w:rPr>
            </w:pPr>
          </w:p>
        </w:tc>
      </w:tr>
      <w:tr>
        <w:trPr>
          <w:trHeight w:val="763"/>
        </w:trPr>
        <w:tc>
          <w:tcPr>
            <w:tcW w:w="46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-3171190</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-3171190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-2065020</wp:posOffset>
            </wp:positionV>
            <wp:extent cx="603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-2065020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-1499870</wp:posOffset>
            </wp:positionV>
            <wp:extent cx="603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-1499870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-933450</wp:posOffset>
            </wp:positionV>
            <wp:extent cx="603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-916305</wp:posOffset>
            </wp:positionV>
            <wp:extent cx="603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-933450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-916305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2025 and 2024</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3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gridSpan w:val="5"/>
          </w:tcPr>
          <w:p>
            <w:pPr>
              <w:jc w:val="right"/>
              <w:ind w:right="717"/>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Genomics</w:t>
            </w:r>
          </w:p>
        </w:tc>
        <w:tc>
          <w:tcPr>
            <w:tcW w:w="2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193,804</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102,569</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91,235</w:t>
            </w: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Data and services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18,682</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2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255,737</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145,820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109,917</w:t>
            </w: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increase in revenue for the three months ended March 31, 2025, compared to the same period in 2024, was due to increased volume of tests performed in Genomics and increased data deliveries in our Data and Services product line.</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9"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The increase in Genomics revenue for the three months ended March 31, 2025, compared to the same period in 2024, was primarily due to an increase in the number of Oncology tests and the addition of Hereditary tests through the acquisition of Ambry. Volume of tests increased from approximately 62,700 tests for the three months ended March 31, 2024 to approximately 153,000 tests for the three months ended March 31, 2025, of which 78,000 tests related to Hereditary testing.</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Oncology tests increased from approximately 62,700 tests for the three months ended March 31, 2024 to approximately 75,000 tests for the three months ended March 31, 2025. Additionally, there was an increase in average revenue per Oncology test, which increased from approximately $1,450 for the three months ended March 31, 2024 to approximately $1,590 for the three months ended March 31, 2025. The increase in average revenue per Oncology test was driven primarily by increased Medicare reimbursement rates. The increase in the number of Oncology tests and average revenue per Oncology test resulted in a $28.3 million increase in Genomics revenue.</w:t>
      </w:r>
    </w:p>
    <w:p>
      <w:pPr>
        <w:spacing w:after="0" w:line="7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Hereditary tests increased to approximately 78,000 tests for the three months ended March 31, 2025 due to the acquisition of Ambry in February 2025 and resulted in an increase of $63.5 million in Genomics revenue.</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increase in Data and services revenue for the three months ended March 31, 2025, compared to the same period in 2024, was driven primarily by $18.2 million from increased demand for our Insights products. Across all Data and services products, the increase in revenue in the three months ended March 31, 2025 is primarily attributable to continued growth from within our existing customer base, as well as adoption of our services by new customers that did not purchase services in the three months ended March 31, 2024.</w:t>
      </w:r>
    </w:p>
    <w:p>
      <w:pPr>
        <w:spacing w:after="0" w:line="2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9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gridSpan w:val="5"/>
          </w:tcPr>
          <w:p>
            <w:pPr>
              <w:jc w:val="right"/>
              <w:ind w:right="717"/>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84,783</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52,835</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31,948</w:t>
            </w: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100,534</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68,123</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32,411</w:t>
            </w: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increase in Cost of revenues for the three months ended March 31, 2025, compared to the same period in 2024, was primarily due to increases of $23.8 million in material and service costs, of which $10.5 million in material and services is due to the Ambry Acquisition, $4.5 million in personnel-related costs from the Ambry Acquisition, and $1.6 million of stock-based compensation expenses related to RSUs for which the performance-based vesting condition was satisfied in connection with our IPO.</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increase in Cost of revenues, Genomics for the three months ended March 31, 2025, compared to the same period in 2024, was primarily due to increases of $23.8 million in material and service costs, of which $10.5 million in material and services is due to</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40" w:name="page41"/>
    <w:bookmarkEnd w:id="40"/>
    <w:p>
      <w:pPr>
        <w:ind w:right="60"/>
        <w:spacing w:after="0" w:line="282" w:lineRule="auto"/>
        <w:rPr>
          <w:sz w:val="20"/>
          <w:szCs w:val="20"/>
          <w:color w:val="auto"/>
        </w:rPr>
      </w:pPr>
      <w:r>
        <w:rPr>
          <w:rFonts w:ascii="Times New Roman" w:cs="Times New Roman" w:eastAsia="Times New Roman" w:hAnsi="Times New Roman"/>
          <w:sz w:val="18"/>
          <w:szCs w:val="18"/>
          <w:color w:val="auto"/>
        </w:rPr>
        <w:t>the Ambry Acquisition, $4.5 million in personnel-related costs from the Ambry Acquisition, and $1.0 million of stock-based compensation expense related to RSUs for which the performance-based vesting condition was satisfied in connection with our IPO.</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Revenues, Data and Services</w:t>
      </w:r>
    </w:p>
    <w:p>
      <w:pPr>
        <w:spacing w:after="0" w:line="11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increase in Cost of revenues, Data and services for the three months ended March 31, 2025, compared to the same period in 2024, was not material.</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0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gridSpan w:val="4"/>
          </w:tcPr>
          <w:p>
            <w:pPr>
              <w:jc w:val="center"/>
              <w:ind w:right="42"/>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33,391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27,067</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increase in Technology research and development expenses for the three months ended March 31, 2025, compared to the same period in 2024, was primarily due to an increase of $3.3 million of stock-based compensation expense related to RSUs for which the performance-based vesting condition was satisfied in connection with our IPO, and $2.7 million in personnel-related costs associated with the investment in our cloud infrastructure and new lines of business, of which $1.6 million is due to the Ambry Acquisition.</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gridSpan w:val="4"/>
          </w:tcPr>
          <w:p>
            <w:pPr>
              <w:jc w:val="center"/>
              <w:ind w:right="42"/>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11,534</w:t>
            </w: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increase in Research and development expenses for the three months ended March 31, 2025, compared to the same period in 2024, was primarily due to an increase of $5.2 million in personnel-related costs for employees in our research and development group, of which $4.2 million is due to the Ambry Acquisition, $2.4 million in validation and regulatory fees, and $2.0 million of stock-based compensation expense related to RSUs for which the performance-based vesting condition was satisfied in connection with our IPO.</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9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gridSpan w:val="4"/>
          </w:tcPr>
          <w:p>
            <w:pPr>
              <w:jc w:val="center"/>
              <w:ind w:right="42"/>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154,627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79,564</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75,063</w:t>
            </w: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for the three months ended March 31, 2025, compared to the same period in 2024, was primarily due to $23.7 million in personnel-related costs, of which $14.8 million is due to the Ambry Acquisition, $16.0 million of stock-based compensation expense related to RSUs for which the performance-based vesting condition was satisfied in connection with our IPO, $11.2 million in amortization of intangibles acquired from the Ambry Acquisition, $4.7 million in taxes related to the settlement of RSUs, $3.5 million in legal costs, $3.5 million in acquisition costs, and $2.0 million in software and tools costs.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gridSpan w:val="4"/>
          </w:tcPr>
          <w:p>
            <w:pPr>
              <w:jc w:val="center"/>
              <w:ind w:right="42"/>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4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1" w:name="page42"/>
    <w:bookmarkEnd w:id="41"/>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increase in Interest income for the three months ended March 31, 2025, compared to the same period in 2024, was primarily due to higher cash on hand as of March 31, 2025 as compared to March 31, 2024.</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vMerge w:val="restart"/>
          </w:tcPr>
          <w:p>
            <w:pPr>
              <w:spacing w:after="0"/>
              <w:rPr>
                <w:sz w:val="15"/>
                <w:szCs w:val="15"/>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0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2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40" w:type="dxa"/>
            <w:vAlign w:val="bottom"/>
            <w:gridSpan w:val="5"/>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(18,003)</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(13,238)</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(4,765)</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increase in Interest expense for the three months ended March 31, 2025, compared to the same period in 2024, was primarily driven by compounding interest on our Second Amended Note and the additional interest expense from the Additional Term Loan Facility and Revolving Credit Facility,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vMerge w:val="restart"/>
          </w:tcPr>
          <w:p>
            <w:pPr>
              <w:spacing w:after="0"/>
              <w:rPr>
                <w:sz w:val="15"/>
                <w:szCs w:val="15"/>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gridSpan w:val="4"/>
          </w:tcPr>
          <w:p>
            <w:pPr>
              <w:jc w:val="center"/>
              <w:ind w:right="42"/>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(27,455)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(28,204)</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-3766%</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change in Other (expense) income, net for the three months ended March 31, 2025, compared to the same period in 2024, was primarily driven by a $38.1 million increase in expense related to unrealized losses on marketable equity securities, offset by a $4.7 million decrease in expense due to the change in fair value of our warrant asset, an increase of $4.0 in income from the Intellectual Property Agreement, or the IP License Agreement, with SB Tempus, and a $0.8 million decrease in expense due to the change in fair value of our warrant liability.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Benefit from (Provision for) Income Taxes</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0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40" w:type="dxa"/>
            <w:vAlign w:val="bottom"/>
            <w:gridSpan w:val="5"/>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46,180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46,191</w:t>
            </w: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-419918%</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change in provision for income tax benefit (expense) for the three months ended March 31, 2025, compared to the same period in 2024, was due to the result of a $46.2 million discrete tax benefit recorded from the release of a portion of the valuation allowance attributable to net deferred tax liabilities related to the acquisition of Ambry which offset certain net deferred tax assets of us.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Losses from Equity Method Investments</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6"/>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6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vMerge w:val="restart"/>
          </w:tcPr>
          <w:p>
            <w:pPr>
              <w:spacing w:after="0"/>
              <w:rPr>
                <w:sz w:val="15"/>
                <w:szCs w:val="15"/>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0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gridSpan w:val="6"/>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(1,883)</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(1,883)</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increase in losses from equity method investments for the three months ended March 31, 2025, compared to the same period in 2024, was due to the losses from the joint venture we entered into in July 2024 (see Note 7 to our unaudited condensed consolidated financial statements included elsewhere in this Quarterly Report on Form 10-Q).</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 supplement our condensed consolidated financial statements prepared and presented in accordance with accounting principles generally accepted in the United States of America, or GAAP, we use adjusted EBITDA to facilitate analysis of our financial and business trends and for internal planning and forecasting purposes.</w:t>
      </w:r>
    </w:p>
    <w:p>
      <w:pPr>
        <w:spacing w:after="0" w:line="176"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EBITDA is defined as earnings before interest, taxes, depreciation and amortization. We define adjusted EBITDA as net income (loss), adjusted to exclude (i) interest income, (ii) interest expense, (iii) depreciation and amortization, (iv) (benefit from) provision for income taxes, (v) losses on equity method investments, (vi) changes in fair value of our warrant liability, warrant asset, marketable equity securities, contingent consideration liabilities and indemnity-related holdback liabilities, (vii) stock-based compensation expense, (viii) employer payroll tax related to stock-based compensation expense,</w:t>
      </w:r>
    </w:p>
    <w:p>
      <w:pPr>
        <w:spacing w:after="0" w:line="3"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acquisition-related expenses</w:t>
      </w:r>
      <w:r>
        <w:rPr>
          <w:rFonts w:ascii="Times New Roman" w:cs="Times New Roman" w:eastAsia="Times New Roman" w:hAnsi="Times New Roman"/>
          <w:sz w:val="18"/>
          <w:szCs w:val="18"/>
          <w:color w:val="000000"/>
        </w:rPr>
        <w:t>, and (x) amortization of deferred other income from our IP License Agreement with SB Tempus. We use adjusted</w:t>
      </w:r>
    </w:p>
    <w:p>
      <w:pPr>
        <w:spacing w:after="0" w:line="9" w:lineRule="exact"/>
        <w:rPr>
          <w:rFonts w:ascii="Times New Roman" w:cs="Times New Roman" w:eastAsia="Times New Roman" w:hAnsi="Times New Roman"/>
          <w:sz w:val="18"/>
          <w:szCs w:val="18"/>
          <w:color w:val="auto"/>
        </w:rPr>
      </w:pPr>
    </w:p>
    <w:p>
      <w:pPr>
        <w:ind w:right="2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in conjunction with net income or loss, its corresponding GAAP measure, as a performance measure to assess our operating performance and operating leverage in our business. The above items are excluded from our adjusted EBITDA measure because these items are non-cash in nature, or because the amount and timing of these items is unpredictable, or they are not driven by core results of operations, thereby rendering comparisons with prior periods and competitors less meaningful. We believe adjusted EBITDA provides useful information to investors and others in understanding and evaluating our results of operations, as well as provides a useful measure for period-to-period comparisons of our business performance. Moreover, adjusted EBITDA is a key measurement used by our management internally to make operating decisions, including those related to analyzing operating expenses, evaluating performance, and performing strategic planning and annual budgeting.</w:t>
      </w:r>
    </w:p>
    <w:p>
      <w:pPr>
        <w:spacing w:after="0" w:line="18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Adjusted EBITDA has limitations as a financial measure, should be considered as supplemental in nature, and is not meant as a substitute for, or superior to, the related financial information prepared in accordance with GAAP. Some of these limitations are that adjusted EBITDA:</w:t>
      </w:r>
    </w:p>
    <w:p>
      <w:pPr>
        <w:spacing w:after="0" w:line="54"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interest income which increases cash available to us;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depreciation and amortization expense, and although these are non-cash expenses, the asset being depreciated may have to be replaced in the future, increasing our cash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provision for or benefit from income taxes that reduces cash available to us;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change in fair value of warrant liabilities, contingent consideration and warrant asset.</w:t>
      </w:r>
    </w:p>
    <w:p>
      <w:pPr>
        <w:spacing w:after="0" w:line="225"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Because of these limitations, we consider, and you should consider, adjusted EBITDA alongside other financial performance measures, including net loss and our other GAAP results. A reconciliation of our adjusted EBITDA to net loss, the most directly comparable financial measure stated in accordance with GAAP, is provided below. Investors are encouraged to review the related GAAP financial measures and the reconciliation of the non-GAAP financial measure to their most directly comparable GAAP financial measure.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43" w:name="page44"/>
    <w:bookmarkEnd w:id="43"/>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adjusted EBITDA, along with net loss, the most directly comparable GAAP measure, for each period 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7100" w:type="dxa"/>
            <w:vAlign w:val="bottom"/>
          </w:tcPr>
          <w:p>
            <w:pPr>
              <w:spacing w:after="0"/>
              <w:rPr>
                <w:sz w:val="15"/>
                <w:szCs w:val="15"/>
                <w:color w:val="auto"/>
              </w:rPr>
            </w:pPr>
          </w:p>
        </w:tc>
        <w:tc>
          <w:tcPr>
            <w:tcW w:w="2540" w:type="dxa"/>
            <w:vAlign w:val="bottom"/>
            <w:tcBorders>
              <w:bottom w:val="single" w:sz="8" w:color="auto"/>
            </w:tcBorders>
            <w:gridSpan w:val="5"/>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10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17"/>
        </w:trPr>
        <w:tc>
          <w:tcPr>
            <w:tcW w:w="7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00" w:type="dxa"/>
            <w:vAlign w:val="bottom"/>
            <w:gridSpan w:val="4"/>
          </w:tcPr>
          <w:p>
            <w:pPr>
              <w:jc w:val="center"/>
              <w:ind w:right="228"/>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3"/>
        </w:trPr>
        <w:tc>
          <w:tcPr>
            <w:tcW w:w="7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00" w:type="dxa"/>
            <w:vAlign w:val="bottom"/>
            <w:gridSpan w:val="4"/>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71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shd w:val="clear" w:color="auto" w:fill="CFF0FC"/>
          </w:tcPr>
          <w:p>
            <w:pPr>
              <w:jc w:val="right"/>
              <w:ind w:right="681"/>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(68,037)</w:t>
            </w:r>
          </w:p>
        </w:tc>
        <w:tc>
          <w:tcPr>
            <w:tcW w:w="96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(64,743)</w:t>
            </w: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(1,813)</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(1,031)</w:t>
            </w:r>
          </w:p>
        </w:tc>
      </w:tr>
      <w:tr>
        <w:trPr>
          <w:trHeight w:val="216"/>
        </w:trPr>
        <w:tc>
          <w:tcPr>
            <w:tcW w:w="71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13,238</w:t>
            </w:r>
          </w:p>
        </w:tc>
        <w:tc>
          <w:tcPr>
            <w:tcW w:w="120" w:type="dxa"/>
            <w:vAlign w:val="bottom"/>
            <w:shd w:val="clear" w:color="auto" w:fill="CFF0FC"/>
          </w:tcPr>
          <w:p>
            <w:pPr>
              <w:spacing w:after="0"/>
              <w:rPr>
                <w:sz w:val="18"/>
                <w:szCs w:val="18"/>
                <w:color w:val="auto"/>
              </w:rPr>
            </w:pP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120" w:type="dxa"/>
            <w:vAlign w:val="bottom"/>
          </w:tcPr>
          <w:p>
            <w:pPr>
              <w:spacing w:after="0"/>
              <w:rPr>
                <w:sz w:val="18"/>
                <w:szCs w:val="18"/>
                <w:color w:val="auto"/>
              </w:rPr>
            </w:pPr>
          </w:p>
        </w:tc>
      </w:tr>
      <w:tr>
        <w:trPr>
          <w:trHeight w:val="216"/>
        </w:trPr>
        <w:tc>
          <w:tcPr>
            <w:tcW w:w="71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8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20" w:type="dxa"/>
            <w:vAlign w:val="bottom"/>
            <w:shd w:val="clear" w:color="auto" w:fill="CFF0FC"/>
          </w:tcPr>
          <w:p>
            <w:pPr>
              <w:spacing w:after="0"/>
              <w:rPr>
                <w:sz w:val="18"/>
                <w:szCs w:val="18"/>
                <w:color w:val="auto"/>
              </w:rPr>
            </w:pP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8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(46,180)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1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840" w:type="dxa"/>
            <w:vAlign w:val="bottom"/>
            <w:shd w:val="clear" w:color="auto" w:fill="CFF0FC"/>
          </w:tcPr>
          <w:p>
            <w:pPr>
              <w:jc w:val="right"/>
              <w:ind w:right="681"/>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(77,674)</w:t>
            </w:r>
          </w:p>
        </w:tc>
        <w:tc>
          <w:tcPr>
            <w:tcW w:w="96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(43,336)</w:t>
            </w: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Losses on equity method investments</w:t>
            </w: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tcBorders>
              <w:right w:val="single" w:sz="8" w:color="CFF0FC"/>
            </w:tcBorders>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Fair value changes</w:t>
            </w:r>
            <w:r>
              <w:rPr>
                <w:rFonts w:ascii="Times New Roman" w:cs="Times New Roman" w:eastAsia="Times New Roman" w:hAnsi="Times New Roman"/>
                <w:sz w:val="24"/>
                <w:szCs w:val="24"/>
                <w:color w:val="auto"/>
                <w:vertAlign w:val="superscript"/>
              </w:rPr>
              <w:t>(1)</w:t>
            </w:r>
          </w:p>
        </w:tc>
        <w:tc>
          <w:tcPr>
            <w:tcW w:w="8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8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Acquisition related expenses</w:t>
            </w:r>
            <w:r>
              <w:rPr>
                <w:rFonts w:ascii="Times New Roman" w:cs="Times New Roman" w:eastAsia="Times New Roman" w:hAnsi="Times New Roman"/>
                <w:sz w:val="24"/>
                <w:szCs w:val="24"/>
                <w:color w:val="auto"/>
                <w:vertAlign w:val="superscript"/>
              </w:rPr>
              <w:t>(2)</w:t>
            </w: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technology license</w:t>
            </w:r>
          </w:p>
        </w:tc>
        <w:tc>
          <w:tcPr>
            <w:tcW w:w="8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(3,989)</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100" w:type="dxa"/>
            <w:vAlign w:val="bottom"/>
            <w:tcBorders>
              <w:right w:val="single" w:sz="8" w:color="CFF0FC"/>
            </w:tcBorders>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40" w:type="dxa"/>
            <w:vAlign w:val="bottom"/>
          </w:tcPr>
          <w:p>
            <w:pPr>
              <w:jc w:val="right"/>
              <w:ind w:right="681"/>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(16,174)</w:t>
            </w:r>
          </w:p>
        </w:tc>
        <w:tc>
          <w:tcPr>
            <w:tcW w:w="96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(43,926)</w:t>
            </w:r>
          </w:p>
        </w:tc>
      </w:tr>
      <w:tr>
        <w:trPr>
          <w:trHeight w:val="20"/>
        </w:trPr>
        <w:tc>
          <w:tcPr>
            <w:tcW w:w="7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-170815</wp:posOffset>
            </wp:positionV>
            <wp:extent cx="603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-170815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420" w:hanging="512"/>
        <w:spacing w:after="0" w:line="223" w:lineRule="auto"/>
        <w:tabs>
          <w:tab w:leader="none" w:pos="52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Fair value changes include gains and losses related to quarterly fair value adjustments of our warrant liability, warrant asset, marketable equity securities, contingent consideration liabilities, indemnity-related holdback liabilities.</w:t>
      </w:r>
    </w:p>
    <w:p>
      <w:pPr>
        <w:spacing w:after="0" w:line="1" w:lineRule="exact"/>
        <w:rPr>
          <w:rFonts w:ascii="Times New Roman" w:cs="Times New Roman" w:eastAsia="Times New Roman" w:hAnsi="Times New Roman"/>
          <w:sz w:val="24"/>
          <w:szCs w:val="24"/>
          <w:color w:val="auto"/>
          <w:vertAlign w:val="superscript"/>
        </w:rPr>
      </w:pPr>
    </w:p>
    <w:p>
      <w:pPr>
        <w:ind w:left="520" w:right="200" w:hanging="512"/>
        <w:spacing w:after="0" w:line="214" w:lineRule="auto"/>
        <w:tabs>
          <w:tab w:leader="none" w:pos="520" w:val="left"/>
        </w:tabs>
        <w:numPr>
          <w:ilvl w:val="0"/>
          <w:numId w:val="29"/>
        </w:numPr>
        <w:rPr>
          <w:rFonts w:ascii="Times New Roman" w:cs="Times New Roman" w:eastAsia="Times New Roman" w:hAnsi="Times New Roman"/>
          <w:sz w:val="24"/>
          <w:szCs w:val="24"/>
          <w:color w:val="231F20"/>
          <w:vertAlign w:val="superscript"/>
        </w:rPr>
      </w:pPr>
      <w:r>
        <w:rPr>
          <w:rFonts w:ascii="Times New Roman" w:cs="Times New Roman" w:eastAsia="Times New Roman" w:hAnsi="Times New Roman"/>
          <w:sz w:val="18"/>
          <w:szCs w:val="18"/>
          <w:color w:val="231F20"/>
        </w:rPr>
        <w:t>Acquisition related expenses consist of legal, diligence, accounting, and financing costs incurred for the acquisitions of Ambry and Deep 6 during the three months ended March 31, 2025.</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have incurred significant losses and negative cash flows from operations since our inception, and as of March 31, 2025, we had an accumulated deficit of $2.2 billion.</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expect to incur additional operating losses in the near future and our operating expenses will increase as we continue to invest and develop new offerings, expand our sales organization, and increase our marketing efforts to drive market adoption of our tests. As demand for our tests continues to increase from physicians and biopharmaceutical companies, we anticipate that our capital expenditure requirements could also increase if we require additional laboratory capacity.</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have funded our operations to date principally from the sale of stock, convertible debt, term debt, the Revolving Credit Facility, and sales of our products. As of March 31, 2025, we had cash, cash equivalents and restricted cash of $153.3 million. In April 2024, we sold an aggregate of 3,489,981 shares of our Series G-5 convertible preferred stock at a price per share of $57.3069, for an aggregate purchase price of approximately $200.0 million in a private placement to an accredited investor. In June 2024, we completed our IPO, which resulted in net proceeds of $382.0 million after deducting underwriting discounts and commissions of $28.7 million.</w:t>
      </w:r>
    </w:p>
    <w:p>
      <w:pPr>
        <w:spacing w:after="0" w:line="18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Based on our current business plan, we believe our current cash and cash equivalents, marketable equity securities and anticipated cash flows from operations, will be sufficient to meet our anticipated cash requirements for more than twelve months from the date of this Quarterly Report on Form 10-Q. We may raise additional capital to expand our business, to pursue strategic investments, to take advantage of financing opportunities or for other reasons. As we grow our revenue, our accounts receivable and inventory balances will increase. Any increase in accounts receivable and inventory may not be completely offset by increases in accounts payable and accrued expenses, which could result in greater working capital requirements.</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our available cash and cash equivalents and anticipated cash flows from operations are insufficient to satisfy our liquidity requirements because of lower demand for our products as a result of lower than currently expected rates of reimbursement from our customers or other risks described elsewhere in this Quarterly Report on Form 10-Q and in our Form 10-K for the year ended December 31, 2024, we may seek to sell additional common or preferred equity or convertible debt securities, enter into a credit facility or another form of third-party funding or seek other debt financing. The sale of equity and convertible debt securities, or exercise of warrants may result in dilution to our stockholders and, in the case of preferred equity securities or convertible debt, those securities could provide for rights, preferences or privileges senior to those of our common stock. The terms of debt securities issued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4" w:name="page45"/>
    <w:bookmarkEnd w:id="44"/>
    <w:p>
      <w:pPr>
        <w:spacing w:after="0" w:line="261" w:lineRule="auto"/>
        <w:rPr>
          <w:sz w:val="20"/>
          <w:szCs w:val="20"/>
          <w:color w:val="auto"/>
        </w:rPr>
      </w:pPr>
      <w:r>
        <w:rPr>
          <w:rFonts w:ascii="Times New Roman" w:cs="Times New Roman" w:eastAsia="Times New Roman" w:hAnsi="Times New Roman"/>
          <w:sz w:val="18"/>
          <w:szCs w:val="18"/>
          <w:color w:val="auto"/>
        </w:rPr>
        <w:t>or borrowings pursuant to a credit agreement could impose significant restrictions on our operations. If we raise funds through collaborations and licensing arrangements, we might be required to relinquish significant rights to our platform technologies or products or grant licenses on terms that are not favorable to us. Additional capital may not be available to us on reasonable terms, or at all. The failure to obtain any required future financing may require us to reduce or eliminate certain existing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September 22, 2022, we entered into a Credit Agreement, or the Original Credit Agreement, with Ares Capital Corporation, or Ares, for a senior secured loan, or the Term Loan Facility, in an original principal amount of $175.0 million, less original issue discount of $4.4 million and deferred financing fees of $2.6 million. The Credit Agreement was amended on April 25, 2023 to, among other things, increase the original principal amount of the Term Loan Facility by $50.0 million, less original issue discount of $1.3 million, and was further amended on October 11, 2023 to, among other things, increase the original principal amount of the Term Loan Facility by $35.0 million, less original issue discount of $0.9 million. On February 3, 2025, we entered into the Amendment Agreement which, among other things, provided for an additional $200.0 million tranche of senior secured term loans, or the Additional Term Loan Facility, and together with the Term Loan Facility, the “Term Loans,” and $100.0 million in priority revolving loan commitments, or the Revolving Credit Facility, and loans thereunder, the “Revolving Loans”. We received $291.1 million under the Additional Term Loan Facility, which is the aggregate principal amount of $200.0 million, less original issue discount of $4.0 million and $2.0 million in legal fees paid to third parties, and $97.1 million in revolving loans under the Revolving Credit Facility, which is the aggregate amount of $100.0 million, less original issue discount of $2.0 million and $0.9 million in legal fees paid to third parties, the proceeds of which were used to fund the cash consideration for the Ambry Acquisition and to pay related fees. The Additional Term Loan Facility and the Revolving Credit Facility mature on February 3, 2030. The Term Loan Facility matures in September 2027. The Term Loan Facilities and Revolving Credit Facility, or together, the Credit Facilities, are subject to quarterly interest payments for Base Rate loans and at the end of the applicable interest rate period for Term Secured Overnight Financing Rate, or SOFR, loans. The Amendment Agreement was accounted for as a debt modification.</w:t>
      </w:r>
    </w:p>
    <w:p>
      <w:pPr>
        <w:spacing w:after="0" w:line="196"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color w:val="auto"/>
        </w:rPr>
        <w:t>The Company has the option to convert the borrowing type to either a Base Rate Borrowing, which bears interest based on a Base Rate, defined as the greatest of the (a) the “Prime Rate” appearing the “Money Rates” section of the Wall Street Journal or another national publication selected by the Agent, (b) the Federal Funds Rate plus 0.50%, (c) Term SOFR for a one-month tenor in effect on such day plus 1.00% in each instance as of such day and</w:t>
      </w:r>
    </w:p>
    <w:p>
      <w:pPr>
        <w:spacing w:after="0" w:line="1" w:lineRule="exact"/>
        <w:rPr>
          <w:sz w:val="20"/>
          <w:szCs w:val="20"/>
          <w:color w:val="auto"/>
        </w:rPr>
      </w:pPr>
    </w:p>
    <w:p>
      <w:pPr>
        <w:ind w:right="40" w:firstLine="8"/>
        <w:spacing w:after="0" w:line="252"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2.00%, or a SOFR Borrowing, which bears interest based on Term SOFR. Additionally, the Company may make either a PIK election or a Cash election. Pursuant to the Original Credit Agreement, as amended by the Amendment Agreement, or the Credit Agreement, through December 31, 2025, interest on the Term Loans accrues at a per annum rate as follows: (i) for any interest period for which we elect to pay interest in cash, the cash interest rate for Base Rate and Term SOFR borrowings will be the Base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6.25% and Term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7.25%, respectively, and (ii) for any interest period for which we elect to pay interest in kind, the cash interest rate for Base Rate and Term SOFR borrowings will be the Base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4% and Term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5%, respectively, and the paid-in-kind interest rate will be 3.25%.</w:t>
      </w:r>
    </w:p>
    <w:p>
      <w:pPr>
        <w:spacing w:after="0" w:line="19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 xml:space="preserve">From and after January 1, 2026, interest on the Term Loans accrues at a per annum rate as follows: (i) for any interest period for which we elect to pay interest in cash, the cash interest rate for Base Rate and Term SOFR borrowings will be the Base Rate </w:t>
      </w:r>
      <w:r>
        <w:rPr>
          <w:rFonts w:ascii="Times New Roman" w:cs="Times New Roman" w:eastAsia="Times New Roman" w:hAnsi="Times New Roman"/>
          <w:sz w:val="18"/>
          <w:szCs w:val="18"/>
          <w:i w:val="1"/>
          <w:iCs w:val="1"/>
          <w:color w:val="231F20"/>
        </w:rPr>
        <w:t>plus</w:t>
      </w:r>
      <w:r>
        <w:rPr>
          <w:rFonts w:ascii="Times New Roman" w:cs="Times New Roman" w:eastAsia="Times New Roman" w:hAnsi="Times New Roman"/>
          <w:sz w:val="18"/>
          <w:szCs w:val="18"/>
          <w:color w:val="231F20"/>
        </w:rPr>
        <w:t xml:space="preserve"> a margin ranging from 5.75% to 6.75% and Term SOFR </w:t>
      </w:r>
      <w:r>
        <w:rPr>
          <w:rFonts w:ascii="Times New Roman" w:cs="Times New Roman" w:eastAsia="Times New Roman" w:hAnsi="Times New Roman"/>
          <w:sz w:val="18"/>
          <w:szCs w:val="18"/>
          <w:i w:val="1"/>
          <w:iCs w:val="1"/>
          <w:color w:val="231F20"/>
        </w:rPr>
        <w:t>plus</w:t>
      </w:r>
      <w:r>
        <w:rPr>
          <w:rFonts w:ascii="Times New Roman" w:cs="Times New Roman" w:eastAsia="Times New Roman" w:hAnsi="Times New Roman"/>
          <w:sz w:val="18"/>
          <w:szCs w:val="18"/>
          <w:color w:val="231F20"/>
        </w:rPr>
        <w:t xml:space="preserve"> a margin ranging from 6.75% to 7.75%, respectively, and (ii) for any interest period for which we elect to pay interest in kind, the cash interest rate for Base Rate and Term SOFR borrowings will be the Base Rate </w:t>
      </w:r>
      <w:r>
        <w:rPr>
          <w:rFonts w:ascii="Times New Roman" w:cs="Times New Roman" w:eastAsia="Times New Roman" w:hAnsi="Times New Roman"/>
          <w:sz w:val="18"/>
          <w:szCs w:val="18"/>
          <w:i w:val="1"/>
          <w:iCs w:val="1"/>
          <w:color w:val="231F20"/>
        </w:rPr>
        <w:t>plus</w:t>
      </w:r>
      <w:r>
        <w:rPr>
          <w:rFonts w:ascii="Times New Roman" w:cs="Times New Roman" w:eastAsia="Times New Roman" w:hAnsi="Times New Roman"/>
          <w:sz w:val="18"/>
          <w:szCs w:val="18"/>
          <w:color w:val="231F20"/>
        </w:rPr>
        <w:t xml:space="preserve"> a margin of 4% or 4.5% and Term SOFR </w:t>
      </w:r>
      <w:r>
        <w:rPr>
          <w:rFonts w:ascii="Times New Roman" w:cs="Times New Roman" w:eastAsia="Times New Roman" w:hAnsi="Times New Roman"/>
          <w:sz w:val="18"/>
          <w:szCs w:val="18"/>
          <w:i w:val="1"/>
          <w:iCs w:val="1"/>
          <w:color w:val="231F20"/>
        </w:rPr>
        <w:t>plus</w:t>
      </w:r>
      <w:r>
        <w:rPr>
          <w:rFonts w:ascii="Times New Roman" w:cs="Times New Roman" w:eastAsia="Times New Roman" w:hAnsi="Times New Roman"/>
          <w:sz w:val="18"/>
          <w:szCs w:val="18"/>
          <w:color w:val="231F20"/>
        </w:rPr>
        <w:t xml:space="preserve"> a margin of 5% or 5.5%, respectively, and the paid-in-kind interest rate will be 3.25%. The applicable margin for any interest period for which we elect to pay interest in cash will be based on a consolidated first lien leverage ratio and whether we have satisfied certain junior capital raising requirements. The applicable margin for any interest period for which we elect to pay interest in kind will be based on whether we have satisfied certain junior capital raising requirements.</w:t>
      </w:r>
    </w:p>
    <w:p>
      <w:pPr>
        <w:spacing w:after="0" w:line="187"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Interest on the Revolving Loans accrues interest at a per annum rate equal to either, the Base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2.75% or Term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3.75% At all times prior to the termination of the Revolving Credit Facility, to the extent that, on any date, the outstanding aggregate principal amount of Revolving Credit Facility is less than the greater of (x) 50.0% of the revolving commitments and (y) $50.0 million, the amount of interest payable on the Revolving Loans shall be equal to the amount of interest that would be payable had the outstanding principal amount of Revolving Loans equaled the greater of (x) 50.0% of the revolving commitments and (y) $50.0 million, or the Minimum Revolving Interest Amount. A commitment fee will accrue on the unused amount of the Revolving Credit Facility at a per annum rate of 0.50%; provided, however, that no such fee shall accrue to the extent we are being charged the Minimum Revolving Interest Amount.</w:t>
      </w:r>
    </w:p>
    <w:p>
      <w:pPr>
        <w:spacing w:after="0" w:line="18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addition, the Credit Agreement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We are required to maintain a minimum liquidity of at least $25 million and maintain specified amounts of consolidated revenues for the trailing twelve month period ending on the last day of each fiscal quarter. Minimum consolidated revenues shall equal either $1.0 billion for the immediately trailing twelve month period or $1.0 billion on a pro forma basis and for the fiscal quarters ending March 31, 2025 through December 31, 2025, and shall equal $1.1 billion for the fiscal quarters ending March 31, 2026 through December 31, 2026. The Credit Agreement also contains a maximum first lien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color w:val="auto"/>
        </w:rPr>
        <w:t>leverage from and after the fiscal quarter ending March 31, 2027. We were in compliance with all covenants in the Credit Agreement as of March 31, 2025.</w:t>
      </w:r>
    </w:p>
    <w:p>
      <w:pPr>
        <w:spacing w:after="0" w:line="3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February 22, 2025, we amended our convertible promissory note, or the Second Amended Note, with Google LLC, or Google, originally entered into on June 22, 2020, or the Note, and subsequently amended on November 19, 2020, or the Amended Note. The amendment extended the maturity date of the Second Amended Note from March 22, 2026 to December 31, 2030. In addition, the amendment provides us the option upon maturity to repay up to 50% of the outstanding principal and accrued interest balance, or the Outstanding Amount, in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principal balance of the Second Amended Note was reset to $238.8 million, which is the total of the then-outstanding principal and accrued interest. Consistent with the terms of the Amended Note, the Second Amended Note bears interest at a rate of 6.0% per annum, compounded annually. The principal amount is automatically reduced each year based on a formula taking into account the aggregate value of the Google Cloud Platform services used by us. We account for the principal reductions as an offset to its cloud and compute spend within selling, general and administrative in its condensed consolidated statements of operations and comprehensive loss. The Outstanding Amount under the Second Amended Note is due and payable on the earlier of (1) December 31, 2030, which is the maturity date of the Amended Note, (2) upon the occurrence and during the continuance of an event of default, and</w:t>
      </w:r>
    </w:p>
    <w:p>
      <w:pPr>
        <w:spacing w:after="0" w:line="5" w:lineRule="exact"/>
        <w:rPr>
          <w:sz w:val="20"/>
          <w:szCs w:val="20"/>
          <w:color w:val="auto"/>
        </w:rPr>
      </w:pPr>
    </w:p>
    <w:p>
      <w:pPr>
        <w:ind w:right="20" w:firstLine="8"/>
        <w:spacing w:after="0" w:line="255"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 acceleration event, which includes any termination by us of ours Google Cloud Platform agreement. We generally may not prepay the Outstanding Amount, except that we may, at our option, prepay the Outstanding Amount in an amount such that the principal amount remaining outstanding after such repayment is $150.0 million.</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2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17"/>
        </w:trPr>
        <w:tc>
          <w:tcPr>
            <w:tcW w:w="53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0" w:type="dxa"/>
            <w:vAlign w:val="bottom"/>
            <w:gridSpan w:val="4"/>
          </w:tcPr>
          <w:p>
            <w:pPr>
              <w:jc w:val="center"/>
              <w:ind w:left="601"/>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3"/>
        </w:trPr>
        <w:tc>
          <w:tcPr>
            <w:tcW w:w="53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4"/>
          </w:tcPr>
          <w:p>
            <w:pPr>
              <w:jc w:val="center"/>
              <w:ind w:left="60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(105,624)</w:t>
            </w: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(101,378)</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(375,818)</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16,990</w:t>
            </w:r>
          </w:p>
        </w:tc>
        <w:tc>
          <w:tcPr>
            <w:tcW w:w="12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293,042</w:t>
            </w:r>
          </w:p>
        </w:tc>
        <w:tc>
          <w:tcPr>
            <w:tcW w:w="1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(1,378)</w:t>
            </w:r>
          </w:p>
        </w:tc>
      </w:tr>
    </w:tbl>
    <w:p>
      <w:pPr>
        <w:spacing w:after="0" w:line="3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during the three months ended March 31, 2025 was $105.7 million, which resulted from a net loss of $68.0 million and a net change in our operating assets and liabilities of $75.1 million, offset by non-cash charges of $37.5 million. Non-cash charges primarily consisted of $31.8 million of loss on marketable equity securities, $23.0 million of stock-based compensation, and $20.4 million of depreciation and amortization, offset by deferred income taxes of $46.2 million. The net change in our operating assets and liabilities was primarily the result of a $45.2 million increase in accounts receivable due to increased sales and timing of customer payments, a $27.6 million decrease in accrued expenses and other, primarily due to decreased payroll taxes from RSU settlements, a $12.4 million decrease in deferred revenue, offset by an increase in accounts payable of $23.6 million due to timing of payments.</w:t>
      </w:r>
    </w:p>
    <w:p>
      <w:pPr>
        <w:spacing w:after="0" w:line="18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Cash used in operating activities during the three months ended March 31, 2024 was $101.4 million, which resulted from a net loss of $64.7 million and a net change in our operating assets and liabilities of $51.1 million, offset by non-cash charges of $14.5 million. Non-cash charges primarily consisted of $9.2 million of depreciation and amortization, $4.7 million of change in fair value of warrant asset, $2.2 million of PIK interest added to principal, $1.7 million of non-cash operating lease costs, and amortization of the warrant contract asset of $1.2 million offset by $6.2 million of the gain on marketable equity securities. The net change in our operating assets and liabilities was primarily the result of a $16.0 million decrease in deferred revenue, $13.6 million increase in accounts receivable due to increased sales and timing of customer payments, and a decrease of $12.1 million in accounts payable.</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the three months ended March 31, 2025 was $375.8 million, which was the result of $380.8 million cash paid related to the Ambry and Deep 6 acquisitions, purchases of property and equipment of $2.1 million, and $1.3</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color w:val="auto"/>
        </w:rPr>
        <w:t>million of purchases of capitalized software from the Ambry Acquisition, offset by proceeds from the sale of marketable equity securities of $8.3 million.</w:t>
      </w:r>
    </w:p>
    <w:p>
      <w:pPr>
        <w:spacing w:after="0" w:line="22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Cash provided by investing activities during the three months ended March 31, 2024 was $17.0 million, which was the result of proceeds from the sale of marketable equity securities of $23.1 million, offset by purchases of property and equipment of $6.1 million.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during the three months ended March 31, 2025 was $293.0 million, which was the result of net proceeds from the Additional Term Loan Facility of $196.0 million, and net proceeds from the Revolving Credit Facility of $98.0 million, offset by $1.0 million of payment of deferred financing fees.</w:t>
      </w:r>
    </w:p>
    <w:p>
      <w:pPr>
        <w:spacing w:after="0" w:line="17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during the three months ended March 31, 2024 was $1.4 million, which was primarily due to payment of indemnity holdback related to an acquisition of $0.8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prepared our condensed consolidated financial statements in accordance with generally accepted accounting principles in the United States, or GAAP. Our preparation of these condensed consolidated financial statements requires us to make estimates, assumptions and judgments that affect the reported amounts of assets, liabilities, expenses and related disclosures at the date of the condensed consolidated financial statements, as well as revenue and expenses recorded during the reporting periods.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w:t>
      </w:r>
    </w:p>
    <w:p>
      <w:pPr>
        <w:spacing w:after="0" w:line="18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during the three months ended March 31, 2025 as described in the Form 10-K for the year ended December 31, 2024. The following accounting policy relating to business combinations is disclosed in connection with the acquisition of Ambry.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6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accordance with ASC Topic 805, Business Combinations, the Company uses the acquisition method of accounting to allocate the purchase price of an acquired business to the assets acquired and liabilities assumed based on their estimated fair values at the date of acquisition. The excess of the purchase price over the estimated fair value of assets and liabilities is recorded as goodwill. Assigning fair market values to the assets acquired and liabilities assumed at the date of an acquisition often requires the application of judgment regarding estimates and assumptions. These estimates include, but are not limited to, a market participant’s expectation of future cash flows from acquired customer relationships, acquired trade names, and acquired developed technology. All acquisition costs are expensed as incurred.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See the section titled “Summary of Significant Accounting Policies” in Note 2 to our condensed consolidated financial statements included elsewhere in this Quarterly Report on Form 10-Q for more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or the Securities Act, as modified by the Jumpstart Our Business Startups Act of 2012, or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7" w:name="page48"/>
    <w:bookmarkEnd w:id="47"/>
    <w:p>
      <w:pPr>
        <w:ind w:right="140"/>
        <w:spacing w:after="0" w:line="266" w:lineRule="auto"/>
        <w:rPr>
          <w:sz w:val="20"/>
          <w:szCs w:val="20"/>
          <w:color w:val="auto"/>
        </w:rPr>
      </w:pPr>
      <w:r>
        <w:rPr>
          <w:rFonts w:ascii="Times New Roman" w:cs="Times New Roman" w:eastAsia="Times New Roman" w:hAnsi="Times New Roman"/>
          <w:sz w:val="18"/>
          <w:szCs w:val="18"/>
          <w:color w:val="auto"/>
        </w:rPr>
        <w:t>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76"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our company, as an emerging growth company, can adopt the new or revised standard at the time private companies adopt the new or revised standard. This may make comparison of our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related primarily to our cash, cash equivalents and restricted cash, and our indebtedness. As of March 31, 2025, we had cash, cash equivalents and restricted cash of $153.3 million held primarily in cash deposits and money market funds. As of March 31, 2025, we had $575.7 million outstanding under our Term Loan Facilities and Revolving Credit Facility, which are subject to quarterly interest payments. A hypothetical 100 basis point increase or decrease in interest rates under our Term Loan Facilities and Revolving Credit Facility would not be material to our financial condition or results of operations.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majority of our revenue is generated in the United States. Through March 31, 2025, we have generated an insignificant amount of revenues denominated in foreign currencies. As we expand our presence in the international market, our results of operations and cash flows are expected to increasingly be subject to fluctuations due to changes in foreign currency exchange rates and may be adversely affected in the future due to these related changes. As of March 31, 2025 the effect of a hypothetical 10% change in foreign currency exchange rates would not be material to our financial condition or results of operations. To date, we have not entered into any hedging arrangements with respect to foreign currency risk. As our international operations grow, we will continue to reassess our approach to manage our risk relating to fluctuations in currency rates.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are also exposed to inflation risk and inflationary factors, such as increases in raw material and overhead costs, which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revenue.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as of the end of the period covered by this Quarterly Report on Form 10-Q. Based on such evaluation, our principal executive officer and principal financial officer have concluded that these disclosure controls and procedures were effective at a reasonable assurance level as of March 31,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8" w:name="page49"/>
    <w:bookmarkEnd w:id="4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have materially affected, or is reasonably likely to materially affect, our internal control over financial reporting.</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eliminate misconduct completely.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49" w:name="page50"/>
    <w:bookmarkEnd w:id="4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we may be involved in various legal proceedings, including commercial claims from customers and vendors, potential lawsuits seeking damages and/or injunctive relief, employment disputes, subpoenas, government investigations, regulatory or administrative proceedings, and other types of matters arising from the normal course of business activities. We may also initiate such proceedings against various third parties. Defending against and pursuing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 Except as described below, we believe there are currently no pending legal proceedings to which we or our property are subject that could have a material adverse effect on our financial position, results of operations or cash flows.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Although no formal legal proceeding has been instituted, from time to time, we receive requests from governmental agencies, or third parties working on their behalf, for documents and information related to our products and services. For example, on May 19, 2022, we received a subpoena from the Office of the Ohio Attorney General. The subpoena required production of certain billing and patient records associated with nine Ohio Medicaid patients who received our clinical diagnostic tests between 2019 and 2022. We provided responsive documents in June 2022 and have not received additional inquiry from the Ohio Attorney General’s office since that time.</w:t>
      </w:r>
    </w:p>
    <w:p>
      <w:pPr>
        <w:spacing w:after="0" w:line="10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Similarly, on March 4, 2024, we received a Civil Investigative Demand, or CID, from the U.S. Attorney’s Office for the Eastern District of New York. The CID requested documents and other information related to our compliance with the False Claims Act, the Anti-Kickback statute, and in particular 42 C.F.R. § 414.510(b), which is commonly referred to as the Medicare 14-Day or Date of Service Rule. We provided an initial production on April 4, 2024, and have produced additional responsive documents on a rolling basis since that time. We have not received additional inquiry from the U.S. Attorney’s Office since our last document production.</w:t>
      </w:r>
    </w:p>
    <w:p>
      <w:pPr>
        <w:spacing w:after="0" w:line="116"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While we believe our programs and payments comply with the Anti-Kickback statute, no assurance can be given as to the timing or outcome of the government’s investigation, or that it will not result in a material adverse effect on our business. In addition, we have received requests for medical records and billing information from certain Unified Program Integrity Coordinators or other third parties working on the government’s behalf regarding clinical diagnostic services provided by us to patients enrolled in the Medicare and Medicaid programs. We have responded to all such requests for information.</w:t>
      </w:r>
    </w:p>
    <w:p>
      <w:pPr>
        <w:spacing w:after="0" w:line="9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June 11, 2024, Guardant Health Inc., or Guardant, filed a complaint against us in the U.S. District Court for the District of Delaware. The complaint alleges that the Tempus xF, Tempus xF+, Tempus xM Monitor and Tempus xM MRD products use liquid biopsy technology that infringes five Guardant U.S. patents. The complaint seeks injunctive relief, unspecified monetary damages (including enhanced damages), a future mandatory royalty, costs and attorneys fees. On January 17, 2025, Guardant separately sought a Declaratory Judgment against Tempus in the U.S. District Court for the District of Delaware regarding the veracity of certain advertisements Guardant has published regarding the companies’ respective products. On March 14, 2025, Tempus filed multiple counterclaims against Guardant under the Lanham Act and related states statutes alleging, among other things, that Guardant’s advertisements were false and misleading. Tempus filed a separate patent infringement complaint against Guardant in the U.S. District Court for the Southern District of California alleging that certain Guardant products infringe U.S. Patent Nos. 12,112,839, 11,640,859, 10,957,041, and 10,991,097. All cases are pending.</w:t>
      </w:r>
    </w:p>
    <w:p>
      <w:pPr>
        <w:spacing w:after="0" w:line="10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assess legal contingencies to determine the degree of probability and range of possible loss for potential accrual in its financial statements. When evaluating legal contingencies, we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may be unsupported, exaggerated or unrelated to possible outcomes, and as such are not meaningful indicators of potential liability. Loss contingencies, including claims and legal actions arising in the ordinary course of business, are recorded as liabilities when the likelihood of loss is probable and an amount or range of loss can be reasonably estimated.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business, financial condition and operating results are affected by a number of factors, whether currently known or unknown, including risks specific to us or the healthcare industry as well as risks that affect businesses in general. In addition to the information set forth in this Quarterly Report on Form 10-Q, you should consider carefully the factors discussed in Part I, Item 1A, “Risk Factors” in our Annual Report on Form 10-K for the fiscal year ended December 31, 2024, filed with the SEC on February 24,</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50" w:name="page51"/>
    <w:bookmarkEnd w:id="50"/>
    <w:p>
      <w:pPr>
        <w:ind w:right="100"/>
        <w:spacing w:after="0" w:line="282" w:lineRule="auto"/>
        <w:rPr>
          <w:sz w:val="20"/>
          <w:szCs w:val="20"/>
          <w:color w:val="auto"/>
        </w:rPr>
      </w:pPr>
      <w:r>
        <w:rPr>
          <w:rFonts w:ascii="Times New Roman" w:cs="Times New Roman" w:eastAsia="Times New Roman" w:hAnsi="Times New Roman"/>
          <w:sz w:val="18"/>
          <w:szCs w:val="18"/>
          <w:color w:val="auto"/>
        </w:rPr>
        <w:t>2025. The risks and uncertainties disclosed in such Annual Report could materially adversely affect our business, financial condition, cash flows or results of operations and thus our stock price. During the first quarter of fiscal 2025, there were no material changes to our previously disclosed risk factors.</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These risk factors may be important to understanding other statements in this Quarterly Report and should be read in conjunction with the unaudited condensed consolidated financial statements and related notes in Part I,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and Part I, Item 2,“</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w:t>
      </w:r>
      <w:r>
        <w:rPr>
          <w:rFonts w:ascii="Times New Roman" w:cs="Times New Roman" w:eastAsia="Times New Roman" w:hAnsi="Times New Roman"/>
          <w:sz w:val="18"/>
          <w:szCs w:val="18"/>
          <w:color w:val="auto"/>
        </w:rPr>
        <w:t>” of this Quarterly Report. Because of such risk factors, as well as other factors affecting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condition and operating results, past financial performance should not be considered to be a reliable indicator of future performance, and investors should not use historical trends to anticipate results or trends in future periods.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our acquisition of Deep 6 AI, Inc., or Deep 6, on March 11, 2025, we issued 269,280 shares of our Class A common stock to certain former stockholders of Deep 6. We issued the shares in reliance on an exemption from registration provided for under Section 4(a)(2) of the Securities Act and/or Rule 506 of Regulation D promulgated thereunder as a transaction by an issuer not involving a public offering.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June 17, 2024, we completed our IPO in which we issued and sold 11,100,000 shares of Class A common stock, at a public offering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$37.00 per share. We received net proceeds of $382.0 million after deducting underwriting discounts and commissions of $28.7 million. In connection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of the IPO, all shares of our then-outstanding convertible preferred stock automatically converted into an aggregate of 66,640,660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All shares sold were registered pursuant to a registration statement on Form S-1 (File No. 333-279558), as amended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declared effective by the SEC on June 13, 2024. Morgan Stanley &amp; Co. LLC, J.P. Morgan Securities LLC and Allen acted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of the underwriters for the IPO. The offering terminated after the sale of all securities registered pursuant to the Registration Statement.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for such expenses were made directly or indirectly to (i) any of our officers or directors or their associates, (ii) any persons owning 10% or 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class of our equity securities, or (iii) any of our affiliates.</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used a portion of the net proceeds from our IPO to satisfy tax withholding and remittance obligations related to RSU Net Settlement and for working capital for the quarter ended March 31, 2025. There has been no material change in the expected use of the net proceeds from our IPO as described in the Final Prospectus dated as of June 13, 2024 and filed with the SEC pursuant to Rule 424(b)(4) on June 17,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Trading Arrangements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31, 2025, none of our directors or officers (as defined in Rule 16a-1(f) under the Exchange Act) adopted or terminated a “Rule 10b5-1 trading arrangement” or a “non-Rule 10b5-1 trading arrangement,” as each term is defined in Item 408 of Regulation S-K, except as set forth in the table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Type of Trading</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100" w:type="dxa"/>
            <w:vAlign w:val="bottom"/>
          </w:tcPr>
          <w:p>
            <w:pPr>
              <w:spacing w:after="0"/>
              <w:rPr>
                <w:sz w:val="15"/>
                <w:szCs w:val="15"/>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Shares of</w:t>
            </w: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00" w:type="dxa"/>
            <w:vAlign w:val="bottom"/>
          </w:tcPr>
          <w:p>
            <w:pPr>
              <w:spacing w:after="0"/>
              <w:rPr>
                <w:sz w:val="10"/>
                <w:szCs w:val="10"/>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Non-Rule</w:t>
            </w:r>
          </w:p>
        </w:tc>
        <w:tc>
          <w:tcPr>
            <w:tcW w:w="1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2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2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vMerge w:val="restart"/>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 common</w:t>
            </w:r>
          </w:p>
        </w:tc>
        <w:tc>
          <w:tcPr>
            <w:tcW w:w="12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73"/>
        </w:trPr>
        <w:tc>
          <w:tcPr>
            <w:tcW w:w="3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10b5-1*</w:t>
            </w:r>
          </w:p>
        </w:tc>
        <w:tc>
          <w:tcPr>
            <w:tcW w:w="100" w:type="dxa"/>
            <w:vAlign w:val="bottom"/>
          </w:tcPr>
          <w:p>
            <w:pPr>
              <w:spacing w:after="0"/>
              <w:rPr>
                <w:sz w:val="15"/>
                <w:szCs w:val="15"/>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10b5-1**</w:t>
            </w: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to be Sold</w:t>
            </w:r>
          </w:p>
        </w:tc>
        <w:tc>
          <w:tcPr>
            <w:tcW w:w="120" w:type="dxa"/>
            <w:vAlign w:val="bottom"/>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00" w:type="dxa"/>
            <w:vAlign w:val="bottom"/>
            <w:shd w:val="clear" w:color="auto" w:fill="CFF0FA"/>
          </w:tcPr>
          <w:p>
            <w:pPr>
              <w:spacing w:after="0"/>
              <w:rPr>
                <w:sz w:val="20"/>
                <w:szCs w:val="20"/>
                <w:color w:val="auto"/>
              </w:rPr>
            </w:pPr>
            <w:r>
              <w:rPr>
                <w:rFonts w:ascii="Times New Roman" w:cs="Times New Roman" w:eastAsia="Times New Roman" w:hAnsi="Times New Roman"/>
                <w:sz w:val="16"/>
                <w:szCs w:val="16"/>
                <w:color w:val="auto"/>
              </w:rPr>
              <w:t>Nadja West, Director</w:t>
            </w:r>
          </w:p>
        </w:tc>
        <w:tc>
          <w:tcPr>
            <w:tcW w:w="120" w:type="dxa"/>
            <w:vAlign w:val="bottom"/>
            <w:shd w:val="clear" w:color="auto" w:fill="CFF0FA"/>
          </w:tcPr>
          <w:p>
            <w:pPr>
              <w:spacing w:after="0"/>
              <w:rPr>
                <w:sz w:val="18"/>
                <w:szCs w:val="18"/>
                <w:color w:val="auto"/>
              </w:rPr>
            </w:pPr>
          </w:p>
        </w:tc>
        <w:tc>
          <w:tcPr>
            <w:tcW w:w="1120" w:type="dxa"/>
            <w:vAlign w:val="bottom"/>
            <w:shd w:val="clear" w:color="auto" w:fill="CFF0FA"/>
          </w:tcPr>
          <w:p>
            <w:pPr>
              <w:jc w:val="center"/>
              <w:spacing w:after="0"/>
              <w:rPr>
                <w:sz w:val="20"/>
                <w:szCs w:val="20"/>
                <w:color w:val="auto"/>
              </w:rPr>
            </w:pPr>
            <w:r>
              <w:rPr>
                <w:rFonts w:ascii="Times New Roman" w:cs="Times New Roman" w:eastAsia="Times New Roman" w:hAnsi="Times New Roman"/>
                <w:sz w:val="16"/>
                <w:szCs w:val="16"/>
                <w:color w:val="auto"/>
                <w:w w:val="99"/>
              </w:rPr>
              <w:t>Adoption</w:t>
            </w:r>
          </w:p>
        </w:tc>
        <w:tc>
          <w:tcPr>
            <w:tcW w:w="120" w:type="dxa"/>
            <w:vAlign w:val="bottom"/>
            <w:shd w:val="clear" w:color="auto" w:fill="CFF0FA"/>
          </w:tcPr>
          <w:p>
            <w:pPr>
              <w:spacing w:after="0"/>
              <w:rPr>
                <w:sz w:val="18"/>
                <w:szCs w:val="18"/>
                <w:color w:val="auto"/>
              </w:rPr>
            </w:pPr>
          </w:p>
        </w:tc>
        <w:tc>
          <w:tcPr>
            <w:tcW w:w="1580" w:type="dxa"/>
            <w:vAlign w:val="bottom"/>
            <w:gridSpan w:val="2"/>
            <w:shd w:val="clear" w:color="auto" w:fill="CFF0FA"/>
          </w:tcPr>
          <w:p>
            <w:pPr>
              <w:jc w:val="center"/>
              <w:ind w:right="100"/>
              <w:spacing w:after="0"/>
              <w:rPr>
                <w:sz w:val="20"/>
                <w:szCs w:val="20"/>
                <w:color w:val="auto"/>
              </w:rPr>
            </w:pPr>
            <w:r>
              <w:rPr>
                <w:rFonts w:ascii="Times New Roman" w:cs="Times New Roman" w:eastAsia="Times New Roman" w:hAnsi="Times New Roman"/>
                <w:sz w:val="16"/>
                <w:szCs w:val="16"/>
                <w:color w:val="auto"/>
              </w:rPr>
              <w:t>December 3, 2024</w:t>
            </w:r>
          </w:p>
        </w:tc>
        <w:tc>
          <w:tcPr>
            <w:tcW w:w="800" w:type="dxa"/>
            <w:vAlign w:val="bottom"/>
            <w:shd w:val="clear" w:color="auto" w:fill="CFF0FA"/>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00" w:type="dxa"/>
            <w:vAlign w:val="bottom"/>
            <w:shd w:val="clear" w:color="auto" w:fill="CFF0FA"/>
          </w:tcPr>
          <w:p>
            <w:pPr>
              <w:spacing w:after="0"/>
              <w:rPr>
                <w:sz w:val="18"/>
                <w:szCs w:val="18"/>
                <w:color w:val="auto"/>
              </w:rPr>
            </w:pPr>
          </w:p>
        </w:tc>
        <w:tc>
          <w:tcPr>
            <w:tcW w:w="780" w:type="dxa"/>
            <w:vAlign w:val="bottom"/>
            <w:shd w:val="clear" w:color="auto" w:fill="CFF0FA"/>
          </w:tcPr>
          <w:p>
            <w:pPr>
              <w:spacing w:after="0"/>
              <w:rPr>
                <w:sz w:val="18"/>
                <w:szCs w:val="18"/>
                <w:color w:val="auto"/>
              </w:rPr>
            </w:pPr>
          </w:p>
        </w:tc>
        <w:tc>
          <w:tcPr>
            <w:tcW w:w="1440" w:type="dxa"/>
            <w:vAlign w:val="bottom"/>
            <w:gridSpan w:val="2"/>
            <w:shd w:val="clear" w:color="auto" w:fill="CFF0FA"/>
          </w:tcPr>
          <w:p>
            <w:pPr>
              <w:jc w:val="center"/>
              <w:ind w:left="39"/>
              <w:spacing w:after="0"/>
              <w:rPr>
                <w:sz w:val="20"/>
                <w:szCs w:val="20"/>
                <w:color w:val="auto"/>
              </w:rPr>
            </w:pPr>
            <w:r>
              <w:rPr>
                <w:rFonts w:ascii="Times New Roman" w:cs="Times New Roman" w:eastAsia="Times New Roman" w:hAnsi="Times New Roman"/>
                <w:sz w:val="16"/>
                <w:szCs w:val="16"/>
                <w:color w:val="auto"/>
                <w:w w:val="99"/>
              </w:rPr>
              <w:t>8,443</w:t>
            </w:r>
          </w:p>
        </w:tc>
        <w:tc>
          <w:tcPr>
            <w:tcW w:w="120" w:type="dxa"/>
            <w:vAlign w:val="bottom"/>
            <w:shd w:val="clear" w:color="auto" w:fill="CFF0FA"/>
          </w:tcPr>
          <w:p>
            <w:pPr>
              <w:spacing w:after="0"/>
              <w:rPr>
                <w:sz w:val="18"/>
                <w:szCs w:val="18"/>
                <w:color w:val="auto"/>
              </w:rPr>
            </w:pPr>
          </w:p>
        </w:tc>
        <w:tc>
          <w:tcPr>
            <w:tcW w:w="1560" w:type="dxa"/>
            <w:vAlign w:val="bottom"/>
            <w:shd w:val="clear" w:color="auto" w:fill="CFF0FA"/>
          </w:tcPr>
          <w:p>
            <w:pPr>
              <w:jc w:val="center"/>
              <w:spacing w:after="0" w:line="210" w:lineRule="exact"/>
              <w:rPr>
                <w:sz w:val="20"/>
                <w:szCs w:val="20"/>
                <w:color w:val="auto"/>
              </w:rPr>
            </w:pPr>
            <w:r>
              <w:rPr>
                <w:rFonts w:ascii="Times New Roman" w:cs="Times New Roman" w:eastAsia="Times New Roman" w:hAnsi="Times New Roman"/>
                <w:sz w:val="16"/>
                <w:szCs w:val="16"/>
                <w:color w:val="auto"/>
                <w:w w:val="98"/>
              </w:rPr>
              <w:t>December 1, 2025</w:t>
            </w:r>
            <w:r>
              <w:rPr>
                <w:rFonts w:ascii="Times New Roman" w:cs="Times New Roman" w:eastAsia="Times New Roman" w:hAnsi="Times New Roman"/>
                <w:sz w:val="21"/>
                <w:szCs w:val="21"/>
                <w:color w:val="auto"/>
                <w:w w:val="98"/>
                <w:vertAlign w:val="superscript"/>
              </w:rPr>
              <w:t>(1)</w:t>
            </w:r>
          </w:p>
        </w:tc>
        <w:tc>
          <w:tcPr>
            <w:tcW w:w="0" w:type="dxa"/>
            <w:vAlign w:val="bottom"/>
          </w:tcPr>
          <w:p>
            <w:pPr>
              <w:spacing w:after="0"/>
              <w:rPr>
                <w:sz w:val="1"/>
                <w:szCs w:val="1"/>
                <w:color w:val="auto"/>
              </w:rPr>
            </w:pPr>
          </w:p>
        </w:tc>
      </w:tr>
      <w:tr>
        <w:trPr>
          <w:trHeight w:val="189"/>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Eric Lefkofsky, Chief Executive Officer,</w:t>
            </w:r>
          </w:p>
        </w:tc>
        <w:tc>
          <w:tcPr>
            <w:tcW w:w="120" w:type="dxa"/>
            <w:vAlign w:val="bottom"/>
          </w:tcPr>
          <w:p>
            <w:pPr>
              <w:spacing w:after="0"/>
              <w:rPr>
                <w:sz w:val="16"/>
                <w:szCs w:val="16"/>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3"/>
              </w:rPr>
              <w:t>Adoption</w:t>
            </w:r>
            <w:r>
              <w:rPr>
                <w:rFonts w:ascii="Times New Roman" w:cs="Times New Roman" w:eastAsia="Times New Roman" w:hAnsi="Times New Roman"/>
                <w:sz w:val="21"/>
                <w:szCs w:val="21"/>
                <w:color w:val="auto"/>
                <w:w w:val="93"/>
                <w:vertAlign w:val="superscript"/>
              </w:rPr>
              <w:t>(2)</w:t>
            </w: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4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4"/>
              </w:rPr>
              <w:t>1,995,000</w:t>
            </w:r>
            <w:r>
              <w:rPr>
                <w:rFonts w:ascii="Times New Roman" w:cs="Times New Roman" w:eastAsia="Times New Roman" w:hAnsi="Times New Roman"/>
                <w:sz w:val="21"/>
                <w:szCs w:val="21"/>
                <w:color w:val="auto"/>
                <w:w w:val="94"/>
                <w:vertAlign w:val="superscript"/>
              </w:rPr>
              <w:t>(3)</w:t>
            </w: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Founder and Director</w:t>
            </w: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February 27, 2025</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 2026</w:t>
            </w:r>
          </w:p>
        </w:tc>
        <w:tc>
          <w:tcPr>
            <w:tcW w:w="0" w:type="dxa"/>
            <w:vAlign w:val="bottom"/>
          </w:tcPr>
          <w:p>
            <w:pPr>
              <w:spacing w:after="0"/>
              <w:rPr>
                <w:sz w:val="1"/>
                <w:szCs w:val="1"/>
                <w:color w:val="auto"/>
              </w:rPr>
            </w:pPr>
          </w:p>
        </w:tc>
      </w:tr>
      <w:tr>
        <w:trPr>
          <w:trHeight w:val="189"/>
        </w:trPr>
        <w:tc>
          <w:tcPr>
            <w:tcW w:w="3500" w:type="dxa"/>
            <w:vAlign w:val="bottom"/>
            <w:shd w:val="clear" w:color="auto" w:fill="CFF0FA"/>
          </w:tcPr>
          <w:p>
            <w:pPr>
              <w:spacing w:after="0"/>
              <w:rPr>
                <w:sz w:val="20"/>
                <w:szCs w:val="20"/>
                <w:color w:val="auto"/>
              </w:rPr>
            </w:pPr>
            <w:r>
              <w:rPr>
                <w:rFonts w:ascii="Times New Roman" w:cs="Times New Roman" w:eastAsia="Times New Roman" w:hAnsi="Times New Roman"/>
                <w:sz w:val="16"/>
                <w:szCs w:val="16"/>
                <w:color w:val="auto"/>
              </w:rPr>
              <w:t>Eric Lefkofsky, Chief Executive Officer,</w:t>
            </w:r>
          </w:p>
        </w:tc>
        <w:tc>
          <w:tcPr>
            <w:tcW w:w="120" w:type="dxa"/>
            <w:vAlign w:val="bottom"/>
            <w:shd w:val="clear" w:color="auto" w:fill="CFF0FA"/>
          </w:tcPr>
          <w:p>
            <w:pPr>
              <w:spacing w:after="0"/>
              <w:rPr>
                <w:sz w:val="16"/>
                <w:szCs w:val="16"/>
                <w:color w:val="auto"/>
              </w:rPr>
            </w:pPr>
          </w:p>
        </w:tc>
        <w:tc>
          <w:tcPr>
            <w:tcW w:w="1120" w:type="dxa"/>
            <w:vAlign w:val="bottom"/>
            <w:vMerge w:val="restart"/>
            <w:shd w:val="clear" w:color="auto" w:fill="CFF0FA"/>
          </w:tcPr>
          <w:p>
            <w:pPr>
              <w:jc w:val="center"/>
              <w:spacing w:after="0"/>
              <w:rPr>
                <w:sz w:val="20"/>
                <w:szCs w:val="20"/>
                <w:color w:val="auto"/>
              </w:rPr>
            </w:pPr>
            <w:r>
              <w:rPr>
                <w:rFonts w:ascii="Times New Roman" w:cs="Times New Roman" w:eastAsia="Times New Roman" w:hAnsi="Times New Roman"/>
                <w:sz w:val="16"/>
                <w:szCs w:val="16"/>
                <w:color w:val="auto"/>
                <w:w w:val="96"/>
              </w:rPr>
              <w:t>Modification</w:t>
            </w:r>
            <w:r>
              <w:rPr>
                <w:rFonts w:ascii="Times New Roman" w:cs="Times New Roman" w:eastAsia="Times New Roman" w:hAnsi="Times New Roman"/>
                <w:sz w:val="21"/>
                <w:szCs w:val="21"/>
                <w:color w:val="auto"/>
                <w:w w:val="96"/>
                <w:vertAlign w:val="superscript"/>
              </w:rPr>
              <w:t>(4)</w:t>
            </w:r>
          </w:p>
        </w:tc>
        <w:tc>
          <w:tcPr>
            <w:tcW w:w="120" w:type="dxa"/>
            <w:vAlign w:val="bottom"/>
            <w:shd w:val="clear" w:color="auto" w:fill="CFF0FA"/>
          </w:tcPr>
          <w:p>
            <w:pPr>
              <w:spacing w:after="0"/>
              <w:rPr>
                <w:sz w:val="16"/>
                <w:szCs w:val="16"/>
                <w:color w:val="auto"/>
              </w:rPr>
            </w:pPr>
          </w:p>
        </w:tc>
        <w:tc>
          <w:tcPr>
            <w:tcW w:w="1480" w:type="dxa"/>
            <w:vAlign w:val="bottom"/>
            <w:shd w:val="clear" w:color="auto" w:fill="CFF0FA"/>
          </w:tcPr>
          <w:p>
            <w:pPr>
              <w:spacing w:after="0"/>
              <w:rPr>
                <w:sz w:val="16"/>
                <w:szCs w:val="16"/>
                <w:color w:val="auto"/>
              </w:rPr>
            </w:pPr>
          </w:p>
        </w:tc>
        <w:tc>
          <w:tcPr>
            <w:tcW w:w="100" w:type="dxa"/>
            <w:vAlign w:val="bottom"/>
            <w:shd w:val="clear" w:color="auto" w:fill="CFF0FA"/>
          </w:tcPr>
          <w:p>
            <w:pPr>
              <w:spacing w:after="0"/>
              <w:rPr>
                <w:sz w:val="16"/>
                <w:szCs w:val="16"/>
                <w:color w:val="auto"/>
              </w:rPr>
            </w:pPr>
          </w:p>
        </w:tc>
        <w:tc>
          <w:tcPr>
            <w:tcW w:w="800" w:type="dxa"/>
            <w:vAlign w:val="bottom"/>
            <w:shd w:val="clear" w:color="auto" w:fill="CFF0FA"/>
          </w:tcPr>
          <w:p>
            <w:pPr>
              <w:spacing w:after="0"/>
              <w:rPr>
                <w:sz w:val="16"/>
                <w:szCs w:val="16"/>
                <w:color w:val="auto"/>
              </w:rPr>
            </w:pPr>
          </w:p>
        </w:tc>
        <w:tc>
          <w:tcPr>
            <w:tcW w:w="100" w:type="dxa"/>
            <w:vAlign w:val="bottom"/>
            <w:shd w:val="clear" w:color="auto" w:fill="CFF0FA"/>
          </w:tcPr>
          <w:p>
            <w:pPr>
              <w:spacing w:after="0"/>
              <w:rPr>
                <w:sz w:val="16"/>
                <w:szCs w:val="16"/>
                <w:color w:val="auto"/>
              </w:rPr>
            </w:pPr>
          </w:p>
        </w:tc>
        <w:tc>
          <w:tcPr>
            <w:tcW w:w="780" w:type="dxa"/>
            <w:vAlign w:val="bottom"/>
            <w:shd w:val="clear" w:color="auto" w:fill="CFF0FA"/>
          </w:tcPr>
          <w:p>
            <w:pPr>
              <w:spacing w:after="0"/>
              <w:rPr>
                <w:sz w:val="16"/>
                <w:szCs w:val="16"/>
                <w:color w:val="auto"/>
              </w:rPr>
            </w:pPr>
          </w:p>
        </w:tc>
        <w:tc>
          <w:tcPr>
            <w:tcW w:w="1440" w:type="dxa"/>
            <w:vAlign w:val="bottom"/>
            <w:gridSpan w:val="2"/>
            <w:vMerge w:val="restart"/>
            <w:shd w:val="clear" w:color="auto" w:fill="CFF0FA"/>
          </w:tcPr>
          <w:p>
            <w:pPr>
              <w:jc w:val="center"/>
              <w:ind w:left="39"/>
              <w:spacing w:after="0"/>
              <w:rPr>
                <w:sz w:val="20"/>
                <w:szCs w:val="20"/>
                <w:color w:val="auto"/>
              </w:rPr>
            </w:pPr>
            <w:r>
              <w:rPr>
                <w:rFonts w:ascii="Times New Roman" w:cs="Times New Roman" w:eastAsia="Times New Roman" w:hAnsi="Times New Roman"/>
                <w:sz w:val="16"/>
                <w:szCs w:val="16"/>
                <w:color w:val="auto"/>
                <w:w w:val="94"/>
              </w:rPr>
              <w:t>3,990,000</w:t>
            </w:r>
            <w:r>
              <w:rPr>
                <w:rFonts w:ascii="Times New Roman" w:cs="Times New Roman" w:eastAsia="Times New Roman" w:hAnsi="Times New Roman"/>
                <w:sz w:val="21"/>
                <w:szCs w:val="21"/>
                <w:color w:val="auto"/>
                <w:w w:val="94"/>
                <w:vertAlign w:val="superscript"/>
              </w:rPr>
              <w:t>(5)</w:t>
            </w:r>
          </w:p>
        </w:tc>
        <w:tc>
          <w:tcPr>
            <w:tcW w:w="120" w:type="dxa"/>
            <w:vAlign w:val="bottom"/>
            <w:shd w:val="clear" w:color="auto" w:fill="CFF0FA"/>
          </w:tcPr>
          <w:p>
            <w:pPr>
              <w:spacing w:after="0"/>
              <w:rPr>
                <w:sz w:val="16"/>
                <w:szCs w:val="16"/>
                <w:color w:val="auto"/>
              </w:rPr>
            </w:pPr>
          </w:p>
        </w:tc>
        <w:tc>
          <w:tcPr>
            <w:tcW w:w="1560" w:type="dxa"/>
            <w:vAlign w:val="bottom"/>
            <w:shd w:val="clear" w:color="auto" w:fill="CFF0FA"/>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A"/>
          </w:tcPr>
          <w:p>
            <w:pPr>
              <w:ind w:left="120"/>
              <w:spacing w:after="0"/>
              <w:rPr>
                <w:sz w:val="20"/>
                <w:szCs w:val="20"/>
                <w:color w:val="auto"/>
              </w:rPr>
            </w:pPr>
            <w:r>
              <w:rPr>
                <w:rFonts w:ascii="Times New Roman" w:cs="Times New Roman" w:eastAsia="Times New Roman" w:hAnsi="Times New Roman"/>
                <w:sz w:val="16"/>
                <w:szCs w:val="16"/>
                <w:color w:val="auto"/>
              </w:rPr>
              <w:t>Founder and Director</w:t>
            </w:r>
          </w:p>
        </w:tc>
        <w:tc>
          <w:tcPr>
            <w:tcW w:w="120" w:type="dxa"/>
            <w:vAlign w:val="bottom"/>
            <w:shd w:val="clear" w:color="auto" w:fill="CFF0FA"/>
          </w:tcPr>
          <w:p>
            <w:pPr>
              <w:spacing w:after="0"/>
              <w:rPr>
                <w:sz w:val="18"/>
                <w:szCs w:val="18"/>
                <w:color w:val="auto"/>
              </w:rPr>
            </w:pPr>
          </w:p>
        </w:tc>
        <w:tc>
          <w:tcPr>
            <w:tcW w:w="1120" w:type="dxa"/>
            <w:vAlign w:val="bottom"/>
            <w:vMerge w:val="continue"/>
            <w:shd w:val="clear" w:color="auto" w:fill="CFF0FA"/>
          </w:tcPr>
          <w:p>
            <w:pPr>
              <w:spacing w:after="0"/>
              <w:rPr>
                <w:sz w:val="18"/>
                <w:szCs w:val="18"/>
                <w:color w:val="auto"/>
              </w:rPr>
            </w:pPr>
          </w:p>
        </w:tc>
        <w:tc>
          <w:tcPr>
            <w:tcW w:w="120" w:type="dxa"/>
            <w:vAlign w:val="bottom"/>
            <w:shd w:val="clear" w:color="auto" w:fill="CFF0FA"/>
          </w:tcPr>
          <w:p>
            <w:pPr>
              <w:spacing w:after="0"/>
              <w:rPr>
                <w:sz w:val="18"/>
                <w:szCs w:val="18"/>
                <w:color w:val="auto"/>
              </w:rPr>
            </w:pPr>
          </w:p>
        </w:tc>
        <w:tc>
          <w:tcPr>
            <w:tcW w:w="1580" w:type="dxa"/>
            <w:vAlign w:val="bottom"/>
            <w:gridSpan w:val="2"/>
            <w:shd w:val="clear" w:color="auto" w:fill="CFF0FA"/>
          </w:tcPr>
          <w:p>
            <w:pPr>
              <w:jc w:val="center"/>
              <w:ind w:right="100"/>
              <w:spacing w:after="0"/>
              <w:rPr>
                <w:sz w:val="20"/>
                <w:szCs w:val="20"/>
                <w:color w:val="auto"/>
              </w:rPr>
            </w:pPr>
            <w:r>
              <w:rPr>
                <w:rFonts w:ascii="Times New Roman" w:cs="Times New Roman" w:eastAsia="Times New Roman" w:hAnsi="Times New Roman"/>
                <w:sz w:val="16"/>
                <w:szCs w:val="16"/>
                <w:color w:val="auto"/>
              </w:rPr>
              <w:t>March 4, 2025</w:t>
            </w:r>
          </w:p>
        </w:tc>
        <w:tc>
          <w:tcPr>
            <w:tcW w:w="800" w:type="dxa"/>
            <w:vAlign w:val="bottom"/>
            <w:shd w:val="clear" w:color="auto" w:fill="CFF0FA"/>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00" w:type="dxa"/>
            <w:vAlign w:val="bottom"/>
            <w:shd w:val="clear" w:color="auto" w:fill="CFF0FA"/>
          </w:tcPr>
          <w:p>
            <w:pPr>
              <w:spacing w:after="0"/>
              <w:rPr>
                <w:sz w:val="18"/>
                <w:szCs w:val="18"/>
                <w:color w:val="auto"/>
              </w:rPr>
            </w:pPr>
          </w:p>
        </w:tc>
        <w:tc>
          <w:tcPr>
            <w:tcW w:w="780" w:type="dxa"/>
            <w:vAlign w:val="bottom"/>
            <w:shd w:val="clear" w:color="auto" w:fill="CFF0FA"/>
          </w:tcPr>
          <w:p>
            <w:pPr>
              <w:spacing w:after="0"/>
              <w:rPr>
                <w:sz w:val="18"/>
                <w:szCs w:val="18"/>
                <w:color w:val="auto"/>
              </w:rPr>
            </w:pPr>
          </w:p>
        </w:tc>
        <w:tc>
          <w:tcPr>
            <w:tcW w:w="1440" w:type="dxa"/>
            <w:vAlign w:val="bottom"/>
            <w:gridSpan w:val="2"/>
            <w:vMerge w:val="continue"/>
            <w:shd w:val="clear" w:color="auto" w:fill="CFF0FA"/>
          </w:tcPr>
          <w:p>
            <w:pPr>
              <w:spacing w:after="0"/>
              <w:rPr>
                <w:sz w:val="18"/>
                <w:szCs w:val="18"/>
                <w:color w:val="auto"/>
              </w:rPr>
            </w:pPr>
          </w:p>
        </w:tc>
        <w:tc>
          <w:tcPr>
            <w:tcW w:w="120" w:type="dxa"/>
            <w:vAlign w:val="bottom"/>
            <w:shd w:val="clear" w:color="auto" w:fill="CFF0FA"/>
          </w:tcPr>
          <w:p>
            <w:pPr>
              <w:spacing w:after="0"/>
              <w:rPr>
                <w:sz w:val="18"/>
                <w:szCs w:val="18"/>
                <w:color w:val="auto"/>
              </w:rPr>
            </w:pPr>
          </w:p>
        </w:tc>
        <w:tc>
          <w:tcPr>
            <w:tcW w:w="1560" w:type="dxa"/>
            <w:vAlign w:val="bottom"/>
            <w:shd w:val="clear" w:color="auto" w:fill="CFF0FA"/>
          </w:tcPr>
          <w:p>
            <w:pPr>
              <w:jc w:val="center"/>
              <w:spacing w:after="0"/>
              <w:rPr>
                <w:sz w:val="20"/>
                <w:szCs w:val="20"/>
                <w:color w:val="auto"/>
              </w:rPr>
            </w:pPr>
            <w:r>
              <w:rPr>
                <w:rFonts w:ascii="Times New Roman" w:cs="Times New Roman" w:eastAsia="Times New Roman" w:hAnsi="Times New Roman"/>
                <w:sz w:val="16"/>
                <w:szCs w:val="16"/>
                <w:color w:val="auto"/>
              </w:rPr>
              <w:t>July 2, 2026</w:t>
            </w:r>
          </w:p>
        </w:tc>
        <w:tc>
          <w:tcPr>
            <w:tcW w:w="0" w:type="dxa"/>
            <w:vAlign w:val="bottom"/>
          </w:tcPr>
          <w:p>
            <w:pPr>
              <w:spacing w:after="0"/>
              <w:rPr>
                <w:sz w:val="1"/>
                <w:szCs w:val="1"/>
                <w:color w:val="auto"/>
              </w:rPr>
            </w:pPr>
          </w:p>
        </w:tc>
      </w:tr>
      <w:tr>
        <w:trPr>
          <w:trHeight w:val="286"/>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Ryan Bartolucci, Chief Accounting Officer</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Adoption</w:t>
            </w:r>
            <w:r>
              <w:rPr>
                <w:rFonts w:ascii="Times New Roman" w:cs="Times New Roman" w:eastAsia="Times New Roman" w:hAnsi="Times New Roman"/>
                <w:sz w:val="21"/>
                <w:szCs w:val="21"/>
                <w:color w:val="auto"/>
                <w:w w:val="93"/>
                <w:vertAlign w:val="superscript"/>
              </w:rPr>
              <w:t>(6)</w:t>
            </w:r>
          </w:p>
        </w:tc>
        <w:tc>
          <w:tcPr>
            <w:tcW w:w="12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14, 2025</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To Be Determined</w:t>
            </w:r>
            <w:r>
              <w:rPr>
                <w:rFonts w:ascii="Times New Roman" w:cs="Times New Roman" w:eastAsia="Times New Roman" w:hAnsi="Times New Roman"/>
                <w:sz w:val="21"/>
                <w:szCs w:val="21"/>
                <w:color w:val="auto"/>
                <w:w w:val="97"/>
                <w:vertAlign w:val="superscript"/>
              </w:rPr>
              <w:t>(7)</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1, 2026</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right="1500" w:firstLine="8"/>
        <w:spacing w:after="0" w:line="261" w:lineRule="auto"/>
        <w:tabs>
          <w:tab w:leader="none" w:pos="1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instruction or written plan intended to satisfy the affirmative defense conditions of Rule 10b5-1(c) under the Exchange Act. ** “Non-Rule 10b5-1 trading arrangement” as defined in Item 408(c) of Regulation S-K under the Exchange Act.</w:t>
      </w:r>
    </w:p>
    <w:p>
      <w:pPr>
        <w:ind w:left="520" w:right="80" w:hanging="512"/>
        <w:spacing w:after="0" w:line="250"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under this Rule 10b5-1 trading plan were completed in the first quarter of 2025 and no additional sales will occur under this trading plan.</w:t>
      </w:r>
    </w:p>
    <w:p>
      <w:pPr>
        <w:ind w:left="520" w:right="480" w:hanging="512"/>
        <w:spacing w:after="0" w:line="250"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under this Rule 10b5-1 trading plan will not commence until completion of the required cooling off period under Rule 10b5-1 and the conclusion of Mr. Lefkofsky’s prior Rule 10b5-1 trading plan.</w:t>
      </w:r>
    </w:p>
    <w:p>
      <w:pPr>
        <w:ind w:left="520" w:right="40" w:hanging="512"/>
        <w:spacing w:after="0" w:line="250" w:lineRule="auto"/>
        <w:tabs>
          <w:tab w:leader="none" w:pos="520" w:val="left"/>
        </w:tabs>
        <w:numPr>
          <w:ilvl w:val="0"/>
          <w:numId w:val="3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Represents the adoption of a Rule 10b5-1 trading plan by each of Blue Media, LLC and Gray Media, LLC, each an entity controlled by Mr. Lefkofsky, providing for the sale of up to 1,596,000 shares of Class A common stock held by Blue Media, LLC and up to 399,000 shares of Class A common stock held by Gray Media, LLC.</w:t>
      </w:r>
    </w:p>
    <w:p>
      <w:pPr>
        <w:spacing w:after="0" w:line="1" w:lineRule="exact"/>
        <w:rPr>
          <w:rFonts w:ascii="Times New Roman" w:cs="Times New Roman" w:eastAsia="Times New Roman" w:hAnsi="Times New Roman"/>
          <w:sz w:val="18"/>
          <w:szCs w:val="18"/>
          <w:color w:val="212529"/>
        </w:rPr>
      </w:pPr>
    </w:p>
    <w:p>
      <w:pPr>
        <w:ind w:left="520" w:right="300" w:hanging="512"/>
        <w:spacing w:after="0" w:line="250"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modification, as described in Rule 10b5-1(c)(1)(iv) under the Exchange Act, of the written plan adopted on February 27, 2025, as described above, that was intended to satisfy the affirmative defense conditions of Rule 10b5-1(c) under the Exchange Act.</w:t>
      </w:r>
    </w:p>
    <w:p>
      <w:pPr>
        <w:ind w:left="520" w:right="40" w:hanging="512"/>
        <w:spacing w:after="0" w:line="250"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Rule 10b5-1 trading plan adopted by each of Blue Media, LLC and Gray Media, LLC, each an entity controlled by Mr. Lefkofsky, provides for the sale of up to 3,192,000 shares of Class A common stock held by Blue Media, LLC and up to 798,000 shares of Class A common stock held by Gray Media, LLC.</w:t>
      </w:r>
    </w:p>
    <w:p>
      <w:pPr>
        <w:spacing w:after="0" w:line="1" w:lineRule="exact"/>
        <w:rPr>
          <w:rFonts w:ascii="Times New Roman" w:cs="Times New Roman" w:eastAsia="Times New Roman" w:hAnsi="Times New Roman"/>
          <w:sz w:val="18"/>
          <w:szCs w:val="18"/>
          <w:color w:val="auto"/>
        </w:rPr>
      </w:pPr>
    </w:p>
    <w:p>
      <w:pPr>
        <w:ind w:left="520" w:right="480" w:hanging="512"/>
        <w:spacing w:after="0" w:line="250"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under this Rule 10b5-1 trading plan will not commence until completion of the required cooling off period under Rule 10b5-1 and the conclusion of Mr. Bartolucci’s prior Rule 10b5-1 trading plan.</w:t>
      </w:r>
    </w:p>
    <w:p>
      <w:pPr>
        <w:ind w:left="520" w:right="60" w:hanging="512"/>
        <w:spacing w:after="0" w:line="253"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Rule 10b5-1 trading plan provides for sales of up to 100% of the net number of shares received upon vesting of an aggregate of 30,414 RSUs, after giving effect to the withholding or sale of a portion of such shares to satisfy tax withholding obligations. Accordingly, the aggregate maximum number of shares that may be sold pursuant to this trading arrangement is dependent on the amount of tax withholding required upon the vesting of RSUs, and, therefore, is indeterminable at this time.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ectPr>
          <w:pgSz w:w="11900" w:h="16838" w:orient="portrait"/>
          <w:cols w:equalWidth="0" w:num="1">
            <w:col w:w="11240"/>
          </w:cols>
          <w:pgMar w:left="320" w:top="1008" w:right="339" w:bottom="1440" w:gutter="0" w:footer="0" w:header="0"/>
        </w:sectPr>
      </w:pPr>
    </w:p>
    <w:p>
      <w:pPr>
        <w:spacing w:after="0" w:line="3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426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2324735</wp:posOffset>
            </wp:positionH>
            <wp:positionV relativeFrom="paragraph">
              <wp:posOffset>7620</wp:posOffset>
            </wp:positionV>
            <wp:extent cx="269176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30" w:lineRule="exact"/>
        <w:rPr>
          <w:sz w:val="20"/>
          <w:szCs w:val="20"/>
          <w:color w:val="auto"/>
        </w:rPr>
      </w:pPr>
    </w:p>
    <w:p>
      <w:pPr>
        <w:spacing w:after="0"/>
        <w:tabs>
          <w:tab w:leader="none" w:pos="3780" w:val="left"/>
          <w:tab w:leader="none" w:pos="4680" w:val="left"/>
          <w:tab w:leader="none" w:pos="5620" w:val="left"/>
          <w:tab w:leader="none" w:pos="6740" w:val="left"/>
        </w:tabs>
        <w:rPr>
          <w:sz w:val="20"/>
          <w:szCs w:val="20"/>
          <w:color w:val="auto"/>
        </w:rPr>
      </w:pPr>
      <w:r>
        <w:rPr>
          <w:rFonts w:ascii="Times New Roman" w:cs="Times New Roman" w:eastAsia="Times New Roman" w:hAnsi="Times New Roman"/>
          <w:sz w:val="14"/>
          <w:szCs w:val="14"/>
          <w:b w:val="1"/>
          <w:bCs w:val="1"/>
          <w:color w:val="auto"/>
        </w:rPr>
        <w:t>Description of Exhibit</w:t>
      </w:r>
      <w:r>
        <w:rPr>
          <w:sz w:val="20"/>
          <w:szCs w:val="20"/>
          <w:color w:val="auto"/>
        </w:rPr>
        <w:tab/>
      </w: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File No.</w:t>
      </w:r>
      <w:r>
        <w:rPr>
          <w:sz w:val="20"/>
          <w:szCs w:val="20"/>
          <w:color w:val="auto"/>
        </w:rPr>
        <w:tab/>
      </w: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-1395095</wp:posOffset>
            </wp:positionH>
            <wp:positionV relativeFrom="paragraph">
              <wp:posOffset>7620</wp:posOffset>
            </wp:positionV>
            <wp:extent cx="364299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2620" w:space="720"/>
            <w:col w:w="7900"/>
          </w:cols>
          <w:pgMar w:left="320" w:top="1008"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8"/>
          <w:szCs w:val="18"/>
          <w:u w:val="single" w:color="auto"/>
          <w:color w:val="0000FF"/>
        </w:rPr>
      </w:pPr>
      <w:hyperlink r:id="rId237">
        <w:r>
          <w:rPr>
            <w:rFonts w:ascii="Times New Roman" w:cs="Times New Roman" w:eastAsia="Times New Roman" w:hAnsi="Times New Roman"/>
            <w:sz w:val="18"/>
            <w:szCs w:val="18"/>
            <w:u w:val="single" w:color="auto"/>
            <w:color w:val="0000FF"/>
          </w:rPr>
          <w:t>Amended and Restated Certificate of Incorporation of the Registrant.</w:t>
        </w:r>
      </w:hyperlink>
    </w:p>
    <w:p>
      <w:pPr>
        <w:spacing w:after="0" w:line="13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38">
        <w:r>
          <w:rPr>
            <w:rFonts w:ascii="Times New Roman" w:cs="Times New Roman" w:eastAsia="Times New Roman" w:hAnsi="Times New Roman"/>
            <w:sz w:val="18"/>
            <w:szCs w:val="18"/>
            <w:u w:val="single" w:color="auto"/>
            <w:color w:val="0000FF"/>
          </w:rPr>
          <w:t>Amended and Restated Bylaws of the Registrant.</w:t>
        </w:r>
      </w:hyperlink>
    </w:p>
    <w:p>
      <w:pPr>
        <w:spacing w:after="0" w:line="131" w:lineRule="exact"/>
        <w:rPr>
          <w:sz w:val="20"/>
          <w:szCs w:val="20"/>
          <w:color w:val="auto"/>
        </w:rPr>
      </w:pPr>
    </w:p>
    <w:p>
      <w:pPr>
        <w:spacing w:after="0" w:line="258" w:lineRule="auto"/>
        <w:rPr>
          <w:rFonts w:ascii="Times New Roman" w:cs="Times New Roman" w:eastAsia="Times New Roman" w:hAnsi="Times New Roman"/>
          <w:sz w:val="18"/>
          <w:szCs w:val="18"/>
          <w:u w:val="single" w:color="auto"/>
          <w:color w:val="0000FF"/>
        </w:rPr>
      </w:pPr>
      <w:hyperlink r:id="rId239">
        <w:r>
          <w:rPr>
            <w:rFonts w:ascii="Times New Roman" w:cs="Times New Roman" w:eastAsia="Times New Roman" w:hAnsi="Times New Roman"/>
            <w:sz w:val="18"/>
            <w:szCs w:val="18"/>
            <w:u w:val="single" w:color="auto"/>
            <w:color w:val="0000FF"/>
          </w:rPr>
          <w:t>Third Amendment to Credit Agreement and First Amendment to Guarantee</w:t>
        </w:r>
      </w:hyperlink>
      <w:r>
        <w:rPr>
          <w:rFonts w:ascii="Times New Roman" w:cs="Times New Roman" w:eastAsia="Times New Roman" w:hAnsi="Times New Roman"/>
          <w:sz w:val="18"/>
          <w:szCs w:val="18"/>
          <w:u w:val="single" w:color="auto"/>
          <w:color w:val="0000FF"/>
        </w:rPr>
        <w:t xml:space="preserve"> </w:t>
      </w:r>
      <w:hyperlink r:id="rId239">
        <w:r>
          <w:rPr>
            <w:rFonts w:ascii="Times New Roman" w:cs="Times New Roman" w:eastAsia="Times New Roman" w:hAnsi="Times New Roman"/>
            <w:sz w:val="18"/>
            <w:szCs w:val="18"/>
            <w:u w:val="single" w:color="auto"/>
            <w:color w:val="0000FF"/>
          </w:rPr>
          <w:t>and Collateral Agreement, dated as of February 3, 2025, by and among the</w:t>
        </w:r>
      </w:hyperlink>
      <w:r>
        <w:rPr>
          <w:rFonts w:ascii="Times New Roman" w:cs="Times New Roman" w:eastAsia="Times New Roman" w:hAnsi="Times New Roman"/>
          <w:sz w:val="18"/>
          <w:szCs w:val="18"/>
          <w:u w:val="single" w:color="auto"/>
          <w:color w:val="0000FF"/>
        </w:rPr>
        <w:t xml:space="preserve"> </w:t>
      </w:r>
      <w:hyperlink r:id="rId239">
        <w:r>
          <w:rPr>
            <w:rFonts w:ascii="Times New Roman" w:cs="Times New Roman" w:eastAsia="Times New Roman" w:hAnsi="Times New Roman"/>
            <w:sz w:val="18"/>
            <w:szCs w:val="18"/>
            <w:u w:val="single" w:color="auto"/>
            <w:color w:val="0000FF"/>
          </w:rPr>
          <w:t>Company, certain subsidiaries of the Company party thereto, the lenders party</w:t>
        </w:r>
      </w:hyperlink>
      <w:r>
        <w:rPr>
          <w:rFonts w:ascii="Times New Roman" w:cs="Times New Roman" w:eastAsia="Times New Roman" w:hAnsi="Times New Roman"/>
          <w:sz w:val="18"/>
          <w:szCs w:val="18"/>
          <w:u w:val="single" w:color="auto"/>
          <w:color w:val="0000FF"/>
        </w:rPr>
        <w:t xml:space="preserve"> </w:t>
      </w:r>
      <w:hyperlink r:id="rId239">
        <w:r>
          <w:rPr>
            <w:rFonts w:ascii="Times New Roman" w:cs="Times New Roman" w:eastAsia="Times New Roman" w:hAnsi="Times New Roman"/>
            <w:sz w:val="18"/>
            <w:szCs w:val="18"/>
            <w:u w:val="single" w:color="auto"/>
            <w:color w:val="0000FF"/>
          </w:rPr>
          <w:t>thereto, Ares Capital Corporation, as administrative agent and ACF Finco I</w:t>
        </w:r>
      </w:hyperlink>
      <w:r>
        <w:rPr>
          <w:rFonts w:ascii="Times New Roman" w:cs="Times New Roman" w:eastAsia="Times New Roman" w:hAnsi="Times New Roman"/>
          <w:sz w:val="18"/>
          <w:szCs w:val="18"/>
          <w:u w:val="single" w:color="auto"/>
          <w:color w:val="0000FF"/>
        </w:rPr>
        <w:t xml:space="preserve"> </w:t>
      </w:r>
      <w:hyperlink r:id="rId239">
        <w:r>
          <w:rPr>
            <w:rFonts w:ascii="Times New Roman" w:cs="Times New Roman" w:eastAsia="Times New Roman" w:hAnsi="Times New Roman"/>
            <w:sz w:val="18"/>
            <w:szCs w:val="18"/>
            <w:u w:val="single" w:color="auto"/>
            <w:color w:val="0000FF"/>
          </w:rPr>
          <w:t>LP, as revolving agent.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4"/>
        </w:trPr>
        <w:tc>
          <w:tcPr>
            <w:tcW w:w="6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001-42130</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17, 2024</w:t>
            </w:r>
          </w:p>
        </w:tc>
      </w:tr>
      <w:tr>
        <w:trPr>
          <w:trHeight w:val="326"/>
        </w:trPr>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001-42130</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2024</w:t>
            </w:r>
          </w:p>
        </w:tc>
      </w:tr>
      <w:tr>
        <w:trPr>
          <w:trHeight w:val="823"/>
        </w:trPr>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001-42130</w:t>
            </w:r>
          </w:p>
        </w:tc>
        <w:tc>
          <w:tcPr>
            <w:tcW w:w="7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3, 2025</w:t>
            </w:r>
          </w:p>
        </w:tc>
      </w:tr>
    </w:tbl>
    <w:p>
      <w:pPr>
        <w:spacing w:after="0" w:line="481" w:lineRule="exact"/>
        <w:rPr>
          <w:rFonts w:ascii="Times New Roman" w:cs="Times New Roman" w:eastAsia="Times New Roman" w:hAnsi="Times New Roman"/>
          <w:sz w:val="18"/>
          <w:szCs w:val="18"/>
          <w:u w:val="single" w:color="auto"/>
          <w:color w:val="0000FF"/>
        </w:rPr>
      </w:pPr>
    </w:p>
    <w:p>
      <w:pPr>
        <w:sectPr>
          <w:pgSz w:w="11900" w:h="16838" w:orient="portrait"/>
          <w:cols w:equalWidth="0" w:num="3">
            <w:col w:w="500" w:space="720"/>
            <w:col w:w="5620" w:space="160"/>
            <w:col w:w="4240"/>
          </w:cols>
          <w:pgMar w:left="320" w:top="1008" w:right="339" w:bottom="1440" w:gutter="0" w:footer="0" w:header="0"/>
          <w:type w:val="continuous"/>
        </w:sectPr>
      </w:pPr>
    </w:p>
    <w:p>
      <w:pPr>
        <w:spacing w:after="0" w:line="162"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10.2*</w:t>
      </w:r>
    </w:p>
    <w:p>
      <w:pPr>
        <w:spacing w:after="0" w:line="185"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4480"/>
        <w:spacing w:after="0" w:line="282" w:lineRule="auto"/>
        <w:rPr>
          <w:sz w:val="20"/>
          <w:szCs w:val="20"/>
          <w:color w:val="auto"/>
        </w:rPr>
      </w:pPr>
      <w:r>
        <w:rPr>
          <w:rFonts w:ascii="Times New Roman" w:cs="Times New Roman" w:eastAsia="Times New Roman" w:hAnsi="Times New Roman"/>
          <w:sz w:val="18"/>
          <w:szCs w:val="18"/>
          <w:u w:val="single" w:color="auto"/>
          <w:color w:val="0000FF"/>
        </w:rPr>
        <w:t>Forms of Restricted Stock Award Grant Notice and Award Agreement under the Registrant’s 2024 Equity Incentive Plan.</w:t>
      </w:r>
    </w:p>
    <w:p>
      <w:pPr>
        <w:spacing w:after="0" w:line="67"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Section 302 of the</w:t>
      </w:r>
    </w:p>
    <w:p>
      <w:pPr>
        <w:spacing w:after="0" w:line="27"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Sarbanes-Oxley Act of 2002.</w:t>
      </w:r>
    </w:p>
    <w:p>
      <w:pPr>
        <w:spacing w:after="0" w:line="99"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00" w:space="720"/>
            <w:col w:w="10020"/>
          </w:cols>
          <w:pgMar w:left="320" w:top="1008"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 302 of the</w:t>
            </w:r>
          </w:p>
        </w:tc>
        <w:tc>
          <w:tcPr>
            <w:tcW w:w="280" w:type="dxa"/>
            <w:vAlign w:val="bottom"/>
            <w:gridSpan w:val="2"/>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1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3460" w:type="dxa"/>
            <w:vAlign w:val="bottom"/>
            <w:gridSpan w:val="3"/>
          </w:tcPr>
          <w:p>
            <w:pPr>
              <w:spacing w:after="0"/>
              <w:rPr>
                <w:sz w:val="17"/>
                <w:szCs w:val="17"/>
                <w:color w:val="auto"/>
              </w:rPr>
            </w:pPr>
          </w:p>
        </w:tc>
      </w:tr>
      <w:tr>
        <w:trPr>
          <w:trHeight w:val="31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4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w:t>
            </w:r>
          </w:p>
        </w:tc>
        <w:tc>
          <w:tcPr>
            <w:tcW w:w="160" w:type="dxa"/>
            <w:vAlign w:val="bottom"/>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56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pursuant to 18 U.S.C Section 1350, as adopted pursuant to Section 906 of the</w:t>
            </w:r>
          </w:p>
        </w:tc>
      </w:tr>
      <w:tr>
        <w:trPr>
          <w:trHeight w:val="196"/>
        </w:trPr>
        <w:tc>
          <w:tcPr>
            <w:tcW w:w="1220" w:type="dxa"/>
            <w:vAlign w:val="bottom"/>
          </w:tcPr>
          <w:p>
            <w:pPr>
              <w:spacing w:after="0"/>
              <w:rPr>
                <w:sz w:val="17"/>
                <w:szCs w:val="17"/>
                <w:color w:val="auto"/>
              </w:rPr>
            </w:pPr>
          </w:p>
        </w:tc>
        <w:tc>
          <w:tcPr>
            <w:tcW w:w="21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3500" w:type="dxa"/>
            <w:vAlign w:val="bottom"/>
            <w:gridSpan w:val="4"/>
          </w:tcPr>
          <w:p>
            <w:pPr>
              <w:spacing w:after="0"/>
              <w:rPr>
                <w:sz w:val="17"/>
                <w:szCs w:val="17"/>
                <w:color w:val="auto"/>
              </w:rPr>
            </w:pPr>
          </w:p>
        </w:tc>
      </w:tr>
      <w:tr>
        <w:trPr>
          <w:trHeight w:val="340"/>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w:t>
            </w:r>
          </w:p>
        </w:tc>
      </w:tr>
      <w:tr>
        <w:trPr>
          <w:trHeight w:val="216"/>
        </w:trPr>
        <w:tc>
          <w:tcPr>
            <w:tcW w:w="1220" w:type="dxa"/>
            <w:vAlign w:val="bottom"/>
          </w:tcPr>
          <w:p>
            <w:pPr>
              <w:spacing w:after="0"/>
              <w:rPr>
                <w:sz w:val="18"/>
                <w:szCs w:val="18"/>
                <w:color w:val="auto"/>
              </w:rPr>
            </w:pPr>
          </w:p>
        </w:tc>
        <w:tc>
          <w:tcPr>
            <w:tcW w:w="5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Interactive Data File as its XBRL tags are embedded within the Inline</w:t>
            </w:r>
          </w:p>
        </w:tc>
      </w:tr>
      <w:tr>
        <w:trPr>
          <w:trHeight w:val="234"/>
        </w:trPr>
        <w:tc>
          <w:tcPr>
            <w:tcW w:w="1220" w:type="dxa"/>
            <w:vAlign w:val="bottom"/>
          </w:tcPr>
          <w:p>
            <w:pPr>
              <w:spacing w:after="0"/>
              <w:rPr>
                <w:sz w:val="20"/>
                <w:szCs w:val="20"/>
                <w:color w:val="auto"/>
              </w:rPr>
            </w:pPr>
          </w:p>
        </w:tc>
        <w:tc>
          <w:tcPr>
            <w:tcW w:w="5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document.</w:t>
            </w:r>
          </w:p>
        </w:tc>
      </w:tr>
      <w:tr>
        <w:trPr>
          <w:trHeight w:val="319"/>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r>
      <w:tr>
        <w:trPr>
          <w:trHeight w:val="234"/>
        </w:trPr>
        <w:tc>
          <w:tcPr>
            <w:tcW w:w="1220" w:type="dxa"/>
            <w:vAlign w:val="bottom"/>
          </w:tcPr>
          <w:p>
            <w:pPr>
              <w:spacing w:after="0"/>
              <w:rPr>
                <w:sz w:val="20"/>
                <w:szCs w:val="20"/>
                <w:color w:val="auto"/>
              </w:rPr>
            </w:pPr>
          </w:p>
        </w:tc>
        <w:tc>
          <w:tcPr>
            <w:tcW w:w="5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33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r>
    </w:tbl>
    <w:p>
      <w:pPr>
        <w:spacing w:after="0" w:line="198"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u w:val="single" w:color="auto"/>
          <w:color w:val="0000FF"/>
        </w:rPr>
      </w:pPr>
    </w:p>
    <w:p>
      <w:pPr>
        <w:ind w:right="100" w:firstLine="8"/>
        <w:spacing w:after="0" w:line="260" w:lineRule="auto"/>
        <w:tabs>
          <w:tab w:leader="none" w:pos="1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deemed to be “filed” for purposes of Section 18 of the Securities Exchange Act of 1934, as amended, and shall not be deemed to be incorporated by reference into any filing under the Securities Act of 1933, as amended, or the Securities Exchange Act of 1934, as amended.</w:t>
      </w:r>
    </w:p>
    <w:p>
      <w:pPr>
        <w:spacing w:after="0" w:line="181"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53" w:name="page54"/>
    <w:bookmarkEnd w:id="5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800" w:type="dxa"/>
            <w:vAlign w:val="bottom"/>
            <w:gridSpan w:val="2"/>
          </w:tcPr>
          <w:p>
            <w:pPr>
              <w:ind w:left="2760"/>
              <w:spacing w:after="0"/>
              <w:rPr>
                <w:sz w:val="20"/>
                <w:szCs w:val="20"/>
                <w:color w:val="auto"/>
              </w:rPr>
            </w:pPr>
            <w:r>
              <w:rPr>
                <w:rFonts w:ascii="Times New Roman" w:cs="Times New Roman" w:eastAsia="Times New Roman" w:hAnsi="Times New Roman"/>
                <w:sz w:val="18"/>
                <w:szCs w:val="18"/>
                <w:b w:val="1"/>
                <w:bCs w:val="1"/>
                <w:color w:val="auto"/>
              </w:rPr>
              <w:t>TEMPUS AI, INC.</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780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By:  /s/ Eric Lefkofsky</w:t>
            </w:r>
          </w:p>
        </w:tc>
      </w:tr>
      <w:tr>
        <w:trPr>
          <w:trHeight w:val="191"/>
        </w:trPr>
        <w:tc>
          <w:tcPr>
            <w:tcW w:w="3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Eric Lefkofsky</w:t>
            </w:r>
          </w:p>
        </w:tc>
      </w:tr>
      <w:tr>
        <w:trPr>
          <w:trHeight w:val="214"/>
        </w:trPr>
        <w:tc>
          <w:tcPr>
            <w:tcW w:w="3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Founder and Chairman</w:t>
            </w:r>
          </w:p>
        </w:tc>
      </w:tr>
      <w:tr>
        <w:trPr>
          <w:trHeight w:val="236"/>
        </w:trPr>
        <w:tc>
          <w:tcPr>
            <w:tcW w:w="34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780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By:  /s/ James Rogers</w:t>
            </w:r>
          </w:p>
        </w:tc>
      </w:tr>
      <w:tr>
        <w:trPr>
          <w:trHeight w:val="191"/>
        </w:trPr>
        <w:tc>
          <w:tcPr>
            <w:tcW w:w="3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James Rogers</w:t>
            </w:r>
          </w:p>
        </w:tc>
      </w:tr>
      <w:tr>
        <w:trPr>
          <w:trHeight w:val="214"/>
        </w:trPr>
        <w:tc>
          <w:tcPr>
            <w:tcW w:w="3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4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648"/>
        </w:trPr>
        <w:tc>
          <w:tcPr>
            <w:tcW w:w="3440" w:type="dxa"/>
            <w:vAlign w:val="bottom"/>
          </w:tcPr>
          <w:p>
            <w:pPr>
              <w:spacing w:after="0"/>
              <w:rPr>
                <w:sz w:val="24"/>
                <w:szCs w:val="24"/>
                <w:color w:val="auto"/>
              </w:rPr>
            </w:pPr>
          </w:p>
        </w:tc>
        <w:tc>
          <w:tcPr>
            <w:tcW w:w="31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51</w:t>
            </w:r>
          </w:p>
        </w:tc>
        <w:tc>
          <w:tcPr>
            <w:tcW w:w="4680" w:type="dxa"/>
            <w:vAlign w:val="bottom"/>
          </w:tcPr>
          <w:p>
            <w:pPr>
              <w:spacing w:after="0"/>
              <w:rPr>
                <w:sz w:val="24"/>
                <w:szCs w:val="24"/>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w:t>
      </w:r>
      <w:r>
        <w:rPr>
          <w:rFonts w:ascii="Times New Roman" w:cs="Times New Roman" w:eastAsia="Times New Roman" w:hAnsi="Times New Roman"/>
          <w:sz w:val="17"/>
          <w:szCs w:val="17"/>
          <w:b w:val="1"/>
          <w:bCs w:val="1"/>
          <w:color w:val="auto"/>
        </w:rPr>
        <w:t>empus</w:t>
      </w:r>
      <w:r>
        <w:rPr>
          <w:rFonts w:ascii="Times New Roman" w:cs="Times New Roman" w:eastAsia="Times New Roman" w:hAnsi="Times New Roman"/>
          <w:sz w:val="25"/>
          <w:szCs w:val="25"/>
          <w:b w:val="1"/>
          <w:bCs w:val="1"/>
          <w:color w:val="auto"/>
        </w:rPr>
        <w:t xml:space="preserve"> AI,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5"/>
          <w:szCs w:val="25"/>
          <w:b w:val="1"/>
          <w:bCs w:val="1"/>
          <w:color w:val="auto"/>
        </w:rPr>
        <w:t>.</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R</w:t>
      </w:r>
      <w:r>
        <w:rPr>
          <w:rFonts w:ascii="Times New Roman" w:cs="Times New Roman" w:eastAsia="Times New Roman" w:hAnsi="Times New Roman"/>
          <w:sz w:val="18"/>
          <w:szCs w:val="18"/>
          <w:b w:val="1"/>
          <w:bCs w:val="1"/>
          <w:color w:val="auto"/>
        </w:rPr>
        <w:t>estricted</w:t>
      </w:r>
      <w:r>
        <w:rPr>
          <w:rFonts w:ascii="Times New Roman" w:cs="Times New Roman" w:eastAsia="Times New Roman" w:hAnsi="Times New Roman"/>
          <w:sz w:val="26"/>
          <w:szCs w:val="26"/>
          <w:b w:val="1"/>
          <w:bCs w:val="1"/>
          <w:color w:val="auto"/>
        </w:rPr>
        <w:t xml:space="preserve"> S</w:t>
      </w:r>
      <w:r>
        <w:rPr>
          <w:rFonts w:ascii="Times New Roman" w:cs="Times New Roman" w:eastAsia="Times New Roman" w:hAnsi="Times New Roman"/>
          <w:sz w:val="18"/>
          <w:szCs w:val="18"/>
          <w:b w:val="1"/>
          <w:bCs w:val="1"/>
          <w:color w:val="auto"/>
        </w:rPr>
        <w:t>tock</w:t>
      </w:r>
      <w:r>
        <w:rPr>
          <w:rFonts w:ascii="Times New Roman" w:cs="Times New Roman" w:eastAsia="Times New Roman" w:hAnsi="Times New Roman"/>
          <w:sz w:val="26"/>
          <w:szCs w:val="26"/>
          <w:b w:val="1"/>
          <w:bCs w:val="1"/>
          <w:color w:val="auto"/>
        </w:rPr>
        <w:t xml:space="preserve"> A</w:t>
      </w:r>
      <w:r>
        <w:rPr>
          <w:rFonts w:ascii="Times New Roman" w:cs="Times New Roman" w:eastAsia="Times New Roman" w:hAnsi="Times New Roman"/>
          <w:sz w:val="18"/>
          <w:szCs w:val="18"/>
          <w:b w:val="1"/>
          <w:bCs w:val="1"/>
          <w:color w:val="auto"/>
        </w:rPr>
        <w:t>ward</w:t>
      </w:r>
      <w:r>
        <w:rPr>
          <w:rFonts w:ascii="Times New Roman" w:cs="Times New Roman" w:eastAsia="Times New Roman" w:hAnsi="Times New Roman"/>
          <w:sz w:val="26"/>
          <w:szCs w:val="26"/>
          <w:b w:val="1"/>
          <w:bCs w:val="1"/>
          <w:color w:val="auto"/>
        </w:rPr>
        <w:t xml:space="preserve"> </w:t>
      </w:r>
      <w:r>
        <w:rPr>
          <w:rFonts w:ascii="Times New Roman" w:cs="Times New Roman" w:eastAsia="Times New Roman" w:hAnsi="Times New Roman"/>
          <w:sz w:val="25"/>
          <w:szCs w:val="25"/>
          <w:b w:val="1"/>
          <w:bCs w:val="1"/>
          <w:color w:val="auto"/>
        </w:rPr>
        <w:t>G</w:t>
      </w:r>
      <w:r>
        <w:rPr>
          <w:rFonts w:ascii="Times New Roman" w:cs="Times New Roman" w:eastAsia="Times New Roman" w:hAnsi="Times New Roman"/>
          <w:sz w:val="17"/>
          <w:szCs w:val="17"/>
          <w:b w:val="1"/>
          <w:bCs w:val="1"/>
          <w:color w:val="auto"/>
        </w:rPr>
        <w:t>rant</w:t>
      </w:r>
      <w:r>
        <w:rPr>
          <w:rFonts w:ascii="Times New Roman" w:cs="Times New Roman" w:eastAsia="Times New Roman" w:hAnsi="Times New Roman"/>
          <w:sz w:val="26"/>
          <w:szCs w:val="26"/>
          <w:b w:val="1"/>
          <w:bCs w:val="1"/>
          <w:color w:val="auto"/>
        </w:rPr>
        <w:t xml:space="preserve"> </w:t>
      </w:r>
      <w:r>
        <w:rPr>
          <w:rFonts w:ascii="Times New Roman" w:cs="Times New Roman" w:eastAsia="Times New Roman" w:hAnsi="Times New Roman"/>
          <w:sz w:val="25"/>
          <w:szCs w:val="25"/>
          <w:b w:val="1"/>
          <w:bCs w:val="1"/>
          <w:color w:val="auto"/>
        </w:rPr>
        <w:t>N</w:t>
      </w:r>
      <w:r>
        <w:rPr>
          <w:rFonts w:ascii="Times New Roman" w:cs="Times New Roman" w:eastAsia="Times New Roman" w:hAnsi="Times New Roman"/>
          <w:sz w:val="17"/>
          <w:szCs w:val="17"/>
          <w:b w:val="1"/>
          <w:bCs w:val="1"/>
          <w:color w:val="auto"/>
        </w:rPr>
        <w:t>otice</w:t>
      </w:r>
    </w:p>
    <w:p>
      <w:pPr>
        <w:jc w:val="center"/>
        <w:spacing w:after="0"/>
        <w:rPr>
          <w:sz w:val="20"/>
          <w:szCs w:val="20"/>
          <w:color w:val="auto"/>
        </w:rPr>
      </w:pPr>
      <w:r>
        <w:rPr>
          <w:rFonts w:ascii="Times New Roman" w:cs="Times New Roman" w:eastAsia="Times New Roman" w:hAnsi="Times New Roman"/>
          <w:sz w:val="22"/>
          <w:szCs w:val="22"/>
          <w:b w:val="1"/>
          <w:bCs w:val="1"/>
          <w:color w:val="auto"/>
        </w:rPr>
        <w:t>(2024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Tempus AI,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awarded to you (the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number of shares of Common Stock specified and on the terms set forth below in consideration of your services (the “</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Your Restricted Stock Award is subject to all of the terms and conditions as set forth herein and in the Company’s 2024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the Award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including the form of Assignment Separate from Certificate and the form of Joint Escrow Instructions, all of which are available by logging into your [_________] brokerage</w:t>
      </w:r>
    </w:p>
    <w:p>
      <w:pPr>
        <w:spacing w:after="0" w:line="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account and which are incorporated herein in their entirety. Capitalized terms not explicitly defined herein but defined in the Plan or the Agreement shall have the meanings set forth in the Plan or the Agreement.</w:t>
      </w:r>
    </w:p>
    <w:p>
      <w:pPr>
        <w:spacing w:after="0" w:line="18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Participant:</w:t>
        <w:tab/>
        <w:t>###PARTICIPANT_NAME###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-7620</wp:posOffset>
            </wp:positionV>
            <wp:extent cx="159956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Grant: ###GRANT_DATE###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-19050</wp:posOffset>
            </wp:positionV>
            <wp:extent cx="11423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tabs>
          <w:tab w:leader="none" w:pos="2500" w:val="left"/>
        </w:tabs>
        <w:rPr>
          <w:sz w:val="20"/>
          <w:szCs w:val="20"/>
          <w:color w:val="auto"/>
        </w:rPr>
      </w:pPr>
      <w:r>
        <w:rPr>
          <w:rFonts w:ascii="Times New Roman" w:cs="Times New Roman" w:eastAsia="Times New Roman" w:hAnsi="Times New Roman"/>
          <w:sz w:val="18"/>
          <w:szCs w:val="18"/>
          <w:color w:val="auto"/>
        </w:rPr>
        <w:t>Vesting Commencement Date:</w:t>
      </w:r>
      <w:r>
        <w:rPr>
          <w:sz w:val="20"/>
          <w:szCs w:val="20"/>
          <w:color w:val="auto"/>
        </w:rPr>
        <w:tab/>
      </w:r>
      <w:r>
        <w:rPr>
          <w:rFonts w:ascii="Times New Roman" w:cs="Times New Roman" w:eastAsia="Times New Roman" w:hAnsi="Times New Roman"/>
          <w:sz w:val="18"/>
          <w:szCs w:val="18"/>
          <w:color w:val="auto"/>
        </w:rPr>
        <w:t>###ALTERNATIVE_VEST_BASE_DATE###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1604645</wp:posOffset>
            </wp:positionH>
            <wp:positionV relativeFrom="paragraph">
              <wp:posOffset>-19050</wp:posOffset>
            </wp:positionV>
            <wp:extent cx="228473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228473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Number of Shares Subject to Restricted Stock Award: ###TOTAL_AWARDS###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2518410</wp:posOffset>
            </wp:positionH>
            <wp:positionV relativeFrom="paragraph">
              <wp:posOffset>-19050</wp:posOffset>
            </wp:positionV>
            <wp:extent cx="13709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Consideration:</w:t>
      </w:r>
      <w:r>
        <w:rPr>
          <w:sz w:val="20"/>
          <w:szCs w:val="20"/>
          <w:color w:val="auto"/>
        </w:rPr>
        <w:tab/>
      </w:r>
      <w:r>
        <w:rPr>
          <w:rFonts w:ascii="Times New Roman" w:cs="Times New Roman" w:eastAsia="Times New Roman" w:hAnsi="Times New Roman"/>
          <w:sz w:val="18"/>
          <w:szCs w:val="18"/>
          <w:color w:val="auto"/>
        </w:rPr>
        <w:t>Participant’s services</w:t>
      </w:r>
    </w:p>
    <w:p>
      <w:pPr>
        <w:spacing w:after="0" w:line="203" w:lineRule="exact"/>
        <w:rPr>
          <w:sz w:val="20"/>
          <w:szCs w:val="20"/>
          <w:color w:val="auto"/>
        </w:rPr>
      </w:pPr>
    </w:p>
    <w:p>
      <w:pPr>
        <w:jc w:val="both"/>
        <w:ind w:left="1880" w:hanging="1851"/>
        <w:spacing w:after="0" w:line="262" w:lineRule="auto"/>
        <w:rPr>
          <w:sz w:val="20"/>
          <w:szCs w:val="20"/>
          <w:color w:val="auto"/>
        </w:rPr>
      </w:pPr>
      <w:r>
        <w:rPr>
          <w:rFonts w:ascii="Times New Roman" w:cs="Times New Roman" w:eastAsia="Times New Roman" w:hAnsi="Times New Roman"/>
          <w:sz w:val="18"/>
          <w:szCs w:val="18"/>
          <w:b w:val="1"/>
          <w:bCs w:val="1"/>
          <w:color w:val="auto"/>
        </w:rPr>
        <w:t>Vesting Schedule</w:t>
      </w:r>
      <w:r>
        <w:rPr>
          <w:rFonts w:ascii="Times New Roman" w:cs="Times New Roman" w:eastAsia="Times New Roman" w:hAnsi="Times New Roman"/>
          <w:sz w:val="18"/>
          <w:szCs w:val="18"/>
          <w:color w:val="auto"/>
        </w:rPr>
        <w:t>: [The Restricted Stock Award will vest in substantially equal monthly installments (rounded down to the nearest whole share, except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last vesting installment) over the twenty-four (24) months following the Vesting Commencement Date on the same day of the month as the Vesting Commencement Date (or if there is no corresponding day, on the last day of the month), subject to the Participant’s Continuous Service with the Company through each applicable vesting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Participant Acknowledgements: </w:t>
      </w:r>
      <w:r>
        <w:rPr>
          <w:rFonts w:ascii="Times New Roman" w:cs="Times New Roman" w:eastAsia="Times New Roman" w:hAnsi="Times New Roman"/>
          <w:sz w:val="18"/>
          <w:szCs w:val="18"/>
          <w:color w:val="auto"/>
        </w:rPr>
        <w:t>By your electronic acceptance of the Restricted Stock Award via your [_________] brokerage account, you understand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agree that:</w:t>
      </w:r>
    </w:p>
    <w:p>
      <w:pPr>
        <w:spacing w:after="0" w:line="95" w:lineRule="exact"/>
        <w:rPr>
          <w:sz w:val="20"/>
          <w:szCs w:val="20"/>
          <w:color w:val="auto"/>
        </w:rPr>
      </w:pPr>
    </w:p>
    <w:p>
      <w:pPr>
        <w:jc w:val="both"/>
        <w:ind w:left="760" w:hanging="378"/>
        <w:spacing w:after="0" w:line="26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Award is governed by this Restricted Stock Award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18"/>
          <w:szCs w:val="18"/>
          <w:b w:val="1"/>
          <w:bCs w:val="1"/>
          <w:i w:val="1"/>
          <w:iCs w:val="1"/>
          <w:color w:val="auto"/>
        </w:rPr>
        <w:t>Restricted Stock Award Agreement</w:t>
      </w:r>
      <w:r>
        <w:rPr>
          <w:rFonts w:ascii="Times New Roman" w:cs="Times New Roman" w:eastAsia="Times New Roman" w:hAnsi="Times New Roman"/>
          <w:sz w:val="18"/>
          <w:szCs w:val="18"/>
          <w:color w:val="auto"/>
        </w:rPr>
        <w:t>”) may not be modified, amended or revised except in a writing signed by you and a duly authorized officer of the Company.</w:t>
      </w:r>
    </w:p>
    <w:p>
      <w:pPr>
        <w:spacing w:after="0" w:line="72"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Plan, the Agreement and Prospectus for the Plan are available via your [________] brokerage account and may be viewed and printed by you. You consent to receive this Grant Notice, the Plan, the Agreement, the Prospectus and any other Plan-related documents by electronic delivery and to participate in the Plan through an on-line or electronic system established and maintained by the Company or another third party designated by the Company.</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read and are familiar with the provisions of the Plan, the Restricted Stock Award Agreement and the Prospectus. In the event of any conflict between the provisions in the Restricted Stock Award Agreement, or the Prospectus and the terms of the Plan, the terms of the Plan shall control.</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Restricted Stock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938530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5"/>
          <w:szCs w:val="25"/>
          <w:b w:val="1"/>
          <w:bCs w:val="1"/>
          <w:color w:val="auto"/>
        </w:rPr>
        <w:t>T</w:t>
      </w:r>
      <w:r>
        <w:rPr>
          <w:rFonts w:ascii="Times New Roman" w:cs="Times New Roman" w:eastAsia="Times New Roman" w:hAnsi="Times New Roman"/>
          <w:sz w:val="17"/>
          <w:szCs w:val="17"/>
          <w:b w:val="1"/>
          <w:bCs w:val="1"/>
          <w:color w:val="auto"/>
        </w:rPr>
        <w:t>empus</w:t>
      </w:r>
      <w:r>
        <w:rPr>
          <w:rFonts w:ascii="Times New Roman" w:cs="Times New Roman" w:eastAsia="Times New Roman" w:hAnsi="Times New Roman"/>
          <w:sz w:val="25"/>
          <w:szCs w:val="25"/>
          <w:b w:val="1"/>
          <w:bCs w:val="1"/>
          <w:color w:val="auto"/>
        </w:rPr>
        <w:t xml:space="preserve"> AI,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5"/>
          <w:szCs w:val="25"/>
          <w:b w:val="1"/>
          <w:bCs w:val="1"/>
          <w:color w:val="auto"/>
        </w:rPr>
        <w: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2024 E</w:t>
      </w:r>
      <w:r>
        <w:rPr>
          <w:rFonts w:ascii="Times New Roman" w:cs="Times New Roman" w:eastAsia="Times New Roman" w:hAnsi="Times New Roman"/>
          <w:sz w:val="17"/>
          <w:szCs w:val="17"/>
          <w:b w:val="1"/>
          <w:bCs w:val="1"/>
          <w:color w:val="auto"/>
        </w:rPr>
        <w:t>quity</w:t>
      </w:r>
      <w:r>
        <w:rPr>
          <w:rFonts w:ascii="Times New Roman" w:cs="Times New Roman" w:eastAsia="Times New Roman" w:hAnsi="Times New Roman"/>
          <w:sz w:val="25"/>
          <w:szCs w:val="25"/>
          <w:b w:val="1"/>
          <w:bCs w:val="1"/>
          <w:color w:val="auto"/>
        </w:rPr>
        <w:t xml:space="preserve"> I</w:t>
      </w:r>
      <w:r>
        <w:rPr>
          <w:rFonts w:ascii="Times New Roman" w:cs="Times New Roman" w:eastAsia="Times New Roman" w:hAnsi="Times New Roman"/>
          <w:sz w:val="17"/>
          <w:szCs w:val="17"/>
          <w:b w:val="1"/>
          <w:bCs w:val="1"/>
          <w:color w:val="auto"/>
        </w:rPr>
        <w:t>ncentive</w:t>
      </w:r>
      <w:r>
        <w:rPr>
          <w:rFonts w:ascii="Times New Roman" w:cs="Times New Roman" w:eastAsia="Times New Roman" w:hAnsi="Times New Roman"/>
          <w:sz w:val="25"/>
          <w:szCs w:val="25"/>
          <w:b w:val="1"/>
          <w:bCs w:val="1"/>
          <w:color w:val="auto"/>
        </w:rPr>
        <w:t xml:space="preserve"> P</w:t>
      </w:r>
      <w:r>
        <w:rPr>
          <w:rFonts w:ascii="Times New Roman" w:cs="Times New Roman" w:eastAsia="Times New Roman" w:hAnsi="Times New Roman"/>
          <w:sz w:val="17"/>
          <w:szCs w:val="17"/>
          <w:b w:val="1"/>
          <w:bCs w:val="1"/>
          <w:color w:val="auto"/>
        </w:rPr>
        <w:t>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w:t>
      </w:r>
      <w:r>
        <w:rPr>
          <w:rFonts w:ascii="Times New Roman" w:cs="Times New Roman" w:eastAsia="Times New Roman" w:hAnsi="Times New Roman"/>
          <w:sz w:val="17"/>
          <w:szCs w:val="17"/>
          <w:b w:val="1"/>
          <w:bCs w:val="1"/>
          <w:color w:val="auto"/>
        </w:rPr>
        <w:t>ward</w:t>
      </w:r>
      <w:r>
        <w:rPr>
          <w:rFonts w:ascii="Times New Roman" w:cs="Times New Roman" w:eastAsia="Times New Roman" w:hAnsi="Times New Roman"/>
          <w:sz w:val="25"/>
          <w:szCs w:val="25"/>
          <w:b w:val="1"/>
          <w:bCs w:val="1"/>
          <w:color w:val="auto"/>
        </w:rPr>
        <w:t xml:space="preserve"> A</w:t>
      </w:r>
      <w:r>
        <w:rPr>
          <w:rFonts w:ascii="Times New Roman" w:cs="Times New Roman" w:eastAsia="Times New Roman" w:hAnsi="Times New Roman"/>
          <w:sz w:val="17"/>
          <w:szCs w:val="17"/>
          <w:b w:val="1"/>
          <w:bCs w:val="1"/>
          <w:color w:val="auto"/>
        </w:rPr>
        <w:t>greement</w:t>
      </w:r>
      <w:r>
        <w:rPr>
          <w:rFonts w:ascii="Times New Roman" w:cs="Times New Roman" w:eastAsia="Times New Roman" w:hAnsi="Times New Roman"/>
          <w:sz w:val="25"/>
          <w:szCs w:val="25"/>
          <w:b w:val="1"/>
          <w:bCs w:val="1"/>
          <w:color w:val="auto"/>
        </w:rPr>
        <w:t xml:space="preserve"> (R</w:t>
      </w:r>
      <w:r>
        <w:rPr>
          <w:rFonts w:ascii="Times New Roman" w:cs="Times New Roman" w:eastAsia="Times New Roman" w:hAnsi="Times New Roman"/>
          <w:sz w:val="17"/>
          <w:szCs w:val="17"/>
          <w:b w:val="1"/>
          <w:bCs w:val="1"/>
          <w:color w:val="auto"/>
        </w:rPr>
        <w:t>estricted</w:t>
      </w:r>
      <w:r>
        <w:rPr>
          <w:rFonts w:ascii="Times New Roman" w:cs="Times New Roman" w:eastAsia="Times New Roman" w:hAnsi="Times New Roman"/>
          <w:sz w:val="25"/>
          <w:szCs w:val="25"/>
          <w:b w:val="1"/>
          <w:bCs w:val="1"/>
          <w:color w:val="auto"/>
        </w:rPr>
        <w:t xml:space="preserve"> S</w:t>
      </w:r>
      <w:r>
        <w:rPr>
          <w:rFonts w:ascii="Times New Roman" w:cs="Times New Roman" w:eastAsia="Times New Roman" w:hAnsi="Times New Roman"/>
          <w:sz w:val="17"/>
          <w:szCs w:val="17"/>
          <w:b w:val="1"/>
          <w:bCs w:val="1"/>
          <w:color w:val="auto"/>
        </w:rPr>
        <w:t>tock</w:t>
      </w:r>
      <w:r>
        <w:rPr>
          <w:rFonts w:ascii="Times New Roman" w:cs="Times New Roman" w:eastAsia="Times New Roman" w:hAnsi="Times New Roman"/>
          <w:sz w:val="25"/>
          <w:szCs w:val="25"/>
          <w:b w:val="1"/>
          <w:bCs w:val="1"/>
          <w:color w:val="auto"/>
        </w:rPr>
        <w:t xml:space="preserve"> A</w:t>
      </w:r>
      <w:r>
        <w:rPr>
          <w:rFonts w:ascii="Times New Roman" w:cs="Times New Roman" w:eastAsia="Times New Roman" w:hAnsi="Times New Roman"/>
          <w:sz w:val="17"/>
          <w:szCs w:val="17"/>
          <w:b w:val="1"/>
          <w:bCs w:val="1"/>
          <w:color w:val="auto"/>
        </w:rPr>
        <w:t>ward</w:t>
      </w:r>
      <w:r>
        <w:rPr>
          <w:rFonts w:ascii="Times New Roman" w:cs="Times New Roman" w:eastAsia="Times New Roman" w:hAnsi="Times New Roman"/>
          <w:sz w:val="25"/>
          <w:szCs w:val="25"/>
          <w:b w:val="1"/>
          <w:bCs w:val="1"/>
          <w:color w:val="auto"/>
        </w:rPr>
        <w:t>)</w:t>
      </w:r>
    </w:p>
    <w:p>
      <w:pPr>
        <w:spacing w:after="0" w:line="200" w:lineRule="exact"/>
        <w:rPr>
          <w:sz w:val="20"/>
          <w:szCs w:val="20"/>
          <w:color w:val="auto"/>
        </w:rPr>
      </w:pPr>
    </w:p>
    <w:p>
      <w:pPr>
        <w:spacing w:after="0" w:line="23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As reflected by your Restricted Stock Award Grant Notice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Tempus AI,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granted you, in consideration for your services to the Company, a Restricted Stock Award under its 2024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for the number of shares of Common Stock as indicated in your Grant Notice (the “</w:t>
      </w:r>
      <w:r>
        <w:rPr>
          <w:rFonts w:ascii="Times New Roman" w:cs="Times New Roman" w:eastAsia="Times New Roman" w:hAnsi="Times New Roman"/>
          <w:sz w:val="22"/>
          <w:szCs w:val="22"/>
          <w:b w:val="1"/>
          <w:bCs w:val="1"/>
          <w:i w:val="1"/>
          <w:iCs w:val="1"/>
          <w:color w:val="auto"/>
        </w:rPr>
        <w:t>Restricted Stock Award</w:t>
      </w:r>
      <w:r>
        <w:rPr>
          <w:rFonts w:ascii="Times New Roman" w:cs="Times New Roman" w:eastAsia="Times New Roman" w:hAnsi="Times New Roman"/>
          <w:sz w:val="22"/>
          <w:szCs w:val="22"/>
          <w:color w:val="auto"/>
        </w:rPr>
        <w:t>”). The terms of your Restricted Stock Award as specified in this Award Agreement for your Restricted Stock Award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and the Grant Notice constitute your “</w:t>
      </w:r>
      <w:r>
        <w:rPr>
          <w:rFonts w:ascii="Times New Roman" w:cs="Times New Roman" w:eastAsia="Times New Roman" w:hAnsi="Times New Roman"/>
          <w:sz w:val="22"/>
          <w:szCs w:val="22"/>
          <w:b w:val="1"/>
          <w:bCs w:val="1"/>
          <w:i w:val="1"/>
          <w:iCs w:val="1"/>
          <w:color w:val="auto"/>
        </w:rPr>
        <w:t>Restricted Stock Award Agreement</w:t>
      </w:r>
      <w:r>
        <w:rPr>
          <w:rFonts w:ascii="Times New Roman" w:cs="Times New Roman" w:eastAsia="Times New Roman" w:hAnsi="Times New Roman"/>
          <w:sz w:val="22"/>
          <w:szCs w:val="22"/>
          <w:color w:val="auto"/>
        </w:rPr>
        <w:t>”. Defined terms not explicitly defined in this Agreement but defined in the Grant Notice or the Plan shall have the same definitions as in the Grant Notice or Plan, as applicable.</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general terms applicable to your Restricted Stock Award are as follows:</w:t>
      </w:r>
    </w:p>
    <w:p>
      <w:pPr>
        <w:spacing w:after="0" w:line="202" w:lineRule="exact"/>
        <w:rPr>
          <w:sz w:val="20"/>
          <w:szCs w:val="20"/>
          <w:color w:val="auto"/>
        </w:rPr>
      </w:pPr>
    </w:p>
    <w:p>
      <w:pPr>
        <w:ind w:firstLine="757"/>
        <w:spacing w:after="0" w:line="262" w:lineRule="auto"/>
        <w:tabs>
          <w:tab w:leader="none" w:pos="1018"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ocument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Restricted Stock Award is subject to all the provisions of the Plan, including but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limited to the provisions in:</w:t>
      </w:r>
    </w:p>
    <w:p>
      <w:pPr>
        <w:spacing w:after="0" w:line="153"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1"/>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6 of the Plan regarding the impact of a Capitalization Adjustment, dissolution, liquidation, or Corporate Transaction on your Restricted Stock Award;</w:t>
      </w:r>
    </w:p>
    <w:p>
      <w:pPr>
        <w:spacing w:after="0" w:line="158"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1"/>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9(e) of the Plan regarding the Company’s retained rights to terminate your Continuous Service notwithstanding the grant of the Restricted Stock Award; and</w:t>
      </w:r>
    </w:p>
    <w:p>
      <w:pPr>
        <w:spacing w:after="0" w:line="158"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1"/>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8 of the Plan regarding the tax consequences of your Restricted Stock Award.</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Your Restricted Stock Award is further subject to all interpretations, amendments, rules and regulations, which may from time to time be promulgated and adopted pursuant to the Plan. In the event of any conflict between the Restricted Stock Award Agreement and the provisions of the Plan, the provisions of the Plan shall control.</w:t>
      </w:r>
    </w:p>
    <w:p>
      <w:pPr>
        <w:spacing w:after="0" w:line="169" w:lineRule="exact"/>
        <w:rPr>
          <w:sz w:val="20"/>
          <w:szCs w:val="20"/>
          <w:color w:val="auto"/>
        </w:rPr>
      </w:pPr>
    </w:p>
    <w:p>
      <w:pPr>
        <w:ind w:firstLine="757"/>
        <w:spacing w:after="0" w:line="262" w:lineRule="auto"/>
        <w:tabs>
          <w:tab w:leader="none" w:pos="1018"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4"/>
          <w:szCs w:val="14"/>
          <w:b w:val="1"/>
          <w:bCs w:val="1"/>
          <w:color w:val="auto"/>
        </w:rPr>
        <w:t>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limitations contained herein, your Restricted Stock Award will vest as provided in the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 provided that vesting will cease upon the termination of your Continuous Service.</w:t>
      </w:r>
    </w:p>
    <w:p>
      <w:pPr>
        <w:spacing w:after="0" w:line="149" w:lineRule="exact"/>
        <w:rPr>
          <w:rFonts w:ascii="Times New Roman" w:cs="Times New Roman" w:eastAsia="Times New Roman" w:hAnsi="Times New Roman"/>
          <w:sz w:val="22"/>
          <w:szCs w:val="22"/>
          <w:b w:val="1"/>
          <w:bCs w:val="1"/>
          <w:color w:val="auto"/>
        </w:rPr>
      </w:pPr>
    </w:p>
    <w:p>
      <w:pPr>
        <w:jc w:val="both"/>
        <w:ind w:firstLine="757"/>
        <w:spacing w:after="0" w:line="237" w:lineRule="auto"/>
        <w:tabs>
          <w:tab w:leader="none" w:pos="1018"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ividends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may become entitled to receive payments equal to any cash dividends and other distributions paid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a corresponding number of shares of Common Stock covered by your Restricted Stock Award. Any such dividends or distributions shall be subject to the same forfeiture restrictions (including the Reacquisition Right defined in Section 5 below) and restrictions on transferability as apply to the shares covered by your Restricted Stock Award with respect to which the dividends or other distributions relate and accordingly, shall be paid at the same time that the corresponding shares are released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1395730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6" w:name="page57"/>
    <w:bookmarkEnd w:id="56"/>
    <w:p>
      <w:pPr>
        <w:jc w:val="both"/>
        <w:spacing w:after="0" w:line="236" w:lineRule="auto"/>
        <w:rPr>
          <w:sz w:val="20"/>
          <w:szCs w:val="20"/>
          <w:color w:val="auto"/>
        </w:rPr>
      </w:pPr>
      <w:r>
        <w:rPr>
          <w:rFonts w:ascii="Times New Roman" w:cs="Times New Roman" w:eastAsia="Times New Roman" w:hAnsi="Times New Roman"/>
          <w:sz w:val="22"/>
          <w:szCs w:val="22"/>
          <w:color w:val="auto"/>
        </w:rPr>
        <w:t>Reacquisition Right or other restriction in respect of your vested Restricted Stock Award. To the extent any such dividends or distributions are paid in shares of Common Stock, then you will automatically be granted a corresponding number of additional shares of Common Stock subject to the Restricted Stock Award (the “</w:t>
      </w:r>
      <w:r>
        <w:rPr>
          <w:rFonts w:ascii="Times New Roman" w:cs="Times New Roman" w:eastAsia="Times New Roman" w:hAnsi="Times New Roman"/>
          <w:sz w:val="22"/>
          <w:szCs w:val="22"/>
          <w:b w:val="1"/>
          <w:bCs w:val="1"/>
          <w:i w:val="1"/>
          <w:iCs w:val="1"/>
          <w:color w:val="auto"/>
        </w:rPr>
        <w:t>Dividend Shares</w:t>
      </w:r>
      <w:r>
        <w:rPr>
          <w:rFonts w:ascii="Times New Roman" w:cs="Times New Roman" w:eastAsia="Times New Roman" w:hAnsi="Times New Roman"/>
          <w:sz w:val="22"/>
          <w:szCs w:val="22"/>
          <w:color w:val="auto"/>
        </w:rPr>
        <w:t>”), and further provided that such Dividend Shares shall be subject to the same forfeiture restrictions and restrictions on transferability, and same timing requirements for release of such restrictions/vesting, as apply to the shares subject to the Restricted Stock Award with respect to which the Dividend Shares relate.</w:t>
      </w:r>
    </w:p>
    <w:p>
      <w:pPr>
        <w:spacing w:after="0" w:line="177" w:lineRule="exact"/>
        <w:rPr>
          <w:sz w:val="20"/>
          <w:szCs w:val="20"/>
          <w:color w:val="auto"/>
        </w:rPr>
      </w:pPr>
    </w:p>
    <w:p>
      <w:pPr>
        <w:jc w:val="both"/>
        <w:ind w:firstLine="757"/>
        <w:spacing w:after="0" w:line="238" w:lineRule="auto"/>
        <w:tabs>
          <w:tab w:leader="none" w:pos="1018"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ecurities</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ompliance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may not be issued any shares of Common Stock under your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unless the shares are either (a) then registered under the Securities Act or (b) the Company has determined that such issuance would be exempt from the registration requirements of the Securities Act. Your Restricted Stock Award must also comply with other applicable laws and regulations governing the Restricted Stock Award, and you will not receive such shares if the Company determines that such receipt would not be in material compliance with such laws and regulations.</w:t>
      </w:r>
    </w:p>
    <w:p>
      <w:pPr>
        <w:spacing w:after="0" w:line="17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ight of</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eacquisition</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1"/>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the extent provided in the Company’s bylaws, as amended from time to time, the Company shall have the right to reacquire all or any part of the shares of Common Stock received pursuant to your Restricted Stock Award (a “</w:t>
      </w:r>
      <w:r>
        <w:rPr>
          <w:rFonts w:ascii="Times New Roman" w:cs="Times New Roman" w:eastAsia="Times New Roman" w:hAnsi="Times New Roman"/>
          <w:sz w:val="22"/>
          <w:szCs w:val="22"/>
          <w:b w:val="1"/>
          <w:bCs w:val="1"/>
          <w:i w:val="1"/>
          <w:iCs w:val="1"/>
          <w:color w:val="auto"/>
        </w:rPr>
        <w:t>Reacquisition Right</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39" w:lineRule="auto"/>
        <w:tabs>
          <w:tab w:leader="none" w:pos="2036" w:val="left"/>
        </w:tabs>
        <w:numPr>
          <w:ilvl w:val="1"/>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the extent a Reacquisition Right is not provided in the Company’s bylaws, as amended from time to time, the Company shall have a Reacquisition Right as to the shares of Common Stock you received pursuant to your Restricted Stock Award that have not yet vested in accordance with the vesting schedule on the Grant Notice (“</w:t>
      </w:r>
      <w:r>
        <w:rPr>
          <w:rFonts w:ascii="Times New Roman" w:cs="Times New Roman" w:eastAsia="Times New Roman" w:hAnsi="Times New Roman"/>
          <w:sz w:val="22"/>
          <w:szCs w:val="22"/>
          <w:b w:val="1"/>
          <w:bCs w:val="1"/>
          <w:i w:val="1"/>
          <w:iCs w:val="1"/>
          <w:color w:val="auto"/>
        </w:rPr>
        <w:t>Unvested Shares</w:t>
      </w:r>
      <w:r>
        <w:rPr>
          <w:rFonts w:ascii="Times New Roman" w:cs="Times New Roman" w:eastAsia="Times New Roman" w:hAnsi="Times New Roman"/>
          <w:sz w:val="22"/>
          <w:szCs w:val="22"/>
          <w:color w:val="auto"/>
        </w:rPr>
        <w:t>”) on the following terms and conditions:</w:t>
      </w:r>
    </w:p>
    <w:p>
      <w:pPr>
        <w:spacing w:after="0" w:line="180" w:lineRule="exact"/>
        <w:rPr>
          <w:rFonts w:ascii="Times New Roman" w:cs="Times New Roman" w:eastAsia="Times New Roman" w:hAnsi="Times New Roman"/>
          <w:sz w:val="22"/>
          <w:szCs w:val="22"/>
          <w:b w:val="1"/>
          <w:bCs w:val="1"/>
          <w:color w:val="auto"/>
        </w:rPr>
      </w:pPr>
    </w:p>
    <w:p>
      <w:pPr>
        <w:jc w:val="both"/>
        <w:ind w:firstLine="2254"/>
        <w:spacing w:after="0" w:line="235" w:lineRule="auto"/>
        <w:tabs>
          <w:tab w:leader="none" w:pos="2546" w:val="left"/>
        </w:tabs>
        <w:numPr>
          <w:ilvl w:val="2"/>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Simultaneously with the termination of your Continuous Service, the Company shall automatically reacquire for no consideration all of the Unvested Shares, unless the Company agrees to waive its Reacquisition Right as to some or all of the Unvested Shares. Any such waiver shall be exercised by the Company by written notice to you or your representative (with a copy to the Escrow Holder, as defined below) within ninety (90) days after the termination of your Continuous Service, and the Escrow Holder may then release to you the number of Unvested Shares not being reacquired by the Company. If the Company does not waive its Reacquisition Right as to all of the Unvested Shares, then upon such termination of your Continuous Service, the Escrow Holder shall transfer to the Company the number of shares of Common Stock the Company is reacquiring.</w:t>
      </w:r>
    </w:p>
    <w:p>
      <w:pPr>
        <w:spacing w:after="0" w:line="178" w:lineRule="exact"/>
        <w:rPr>
          <w:rFonts w:ascii="Times New Roman" w:cs="Times New Roman" w:eastAsia="Times New Roman" w:hAnsi="Times New Roman"/>
          <w:sz w:val="22"/>
          <w:szCs w:val="22"/>
          <w:b w:val="1"/>
          <w:bCs w:val="1"/>
          <w:color w:val="auto"/>
        </w:rPr>
      </w:pPr>
    </w:p>
    <w:p>
      <w:pPr>
        <w:ind w:firstLine="2254"/>
        <w:spacing w:after="0" w:line="258" w:lineRule="auto"/>
        <w:tabs>
          <w:tab w:leader="none" w:pos="2546" w:val="left"/>
        </w:tabs>
        <w:numPr>
          <w:ilvl w:val="2"/>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have the right to reacquire the Unvested Shares upon termination of your Continuous Service for no monetary consideration (that is, for $0.00).</w:t>
      </w:r>
    </w:p>
    <w:p>
      <w:pPr>
        <w:spacing w:after="0" w:line="154" w:lineRule="exact"/>
        <w:rPr>
          <w:sz w:val="20"/>
          <w:szCs w:val="20"/>
          <w:color w:val="auto"/>
        </w:rPr>
      </w:pPr>
    </w:p>
    <w:p>
      <w:pPr>
        <w:ind w:firstLine="2246"/>
        <w:spacing w:after="0" w:line="262"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The shares of Common Stock issued under your Restricted Stock Award shall be held in escrow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the terms of the Joint Escrow Instructions attached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1379855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7" w:name="page58"/>
    <w:bookmarkEnd w:id="57"/>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this Agreement as </w:t>
      </w:r>
      <w:r>
        <w:rPr>
          <w:rFonts w:ascii="Times New Roman" w:cs="Times New Roman" w:eastAsia="Times New Roman" w:hAnsi="Times New Roman"/>
          <w:sz w:val="21"/>
          <w:szCs w:val="21"/>
          <w:b w:val="1"/>
          <w:bCs w:val="1"/>
          <w:color w:val="auto"/>
        </w:rPr>
        <w:t>Exhibit B</w:t>
      </w:r>
      <w:r>
        <w:rPr>
          <w:rFonts w:ascii="Times New Roman" w:cs="Times New Roman" w:eastAsia="Times New Roman" w:hAnsi="Times New Roman"/>
          <w:sz w:val="21"/>
          <w:szCs w:val="21"/>
          <w:color w:val="auto"/>
        </w:rPr>
        <w:t xml:space="preserve">. You agree to execute two (2) Assignment Separate From Certificate forms (with date and number of shares blank) substantially in the form attached to this Agreement as </w:t>
      </w:r>
      <w:r>
        <w:rPr>
          <w:rFonts w:ascii="Times New Roman" w:cs="Times New Roman" w:eastAsia="Times New Roman" w:hAnsi="Times New Roman"/>
          <w:sz w:val="21"/>
          <w:szCs w:val="21"/>
          <w:b w:val="1"/>
          <w:bCs w:val="1"/>
          <w:color w:val="auto"/>
        </w:rPr>
        <w:t>Exhibit A</w:t>
      </w:r>
      <w:r>
        <w:rPr>
          <w:rFonts w:ascii="Times New Roman" w:cs="Times New Roman" w:eastAsia="Times New Roman" w:hAnsi="Times New Roman"/>
          <w:sz w:val="21"/>
          <w:szCs w:val="21"/>
          <w:color w:val="auto"/>
        </w:rPr>
        <w:t xml:space="preserve"> and deliver the same, along with the certificate or certificates evidencing the shares, for use by the escrow agent pursuant to the terms of the Joint Escrow Instructions.</w:t>
      </w:r>
    </w:p>
    <w:p>
      <w:pPr>
        <w:spacing w:after="0" w:line="151"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Subject to the provisions of the Restricted Stock Award Agreement (including, without limitation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3 above), you shall, during the term of your Restricted Stock Award, exercise all rights and privileges of a stockholder of the Company with respect to the shares deposited in escrow.</w:t>
      </w:r>
    </w:p>
    <w:p>
      <w:pPr>
        <w:spacing w:after="0" w:line="171" w:lineRule="exact"/>
        <w:rPr>
          <w:sz w:val="20"/>
          <w:szCs w:val="20"/>
          <w:color w:val="auto"/>
        </w:rPr>
      </w:pPr>
    </w:p>
    <w:p>
      <w:pPr>
        <w:jc w:val="both"/>
        <w:ind w:firstLine="2254"/>
        <w:spacing w:after="0" w:line="236" w:lineRule="auto"/>
        <w:tabs>
          <w:tab w:leader="none" w:pos="2546" w:val="left"/>
        </w:tabs>
        <w:numPr>
          <w:ilvl w:val="2"/>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from time to time, there is any stock dividend, stock split or other change in the character or amount of any of the outstanding stock of the corporation, the stock of which is subject to the provisions of your Restricted Stock Award, then in such event any and all new, substituted or additional securities to which you are entitled by reason of your ownership of the shares of Common Stock acquired under your Restricted Stock Award shall, to the extent they relate to Unvested Shares, be immediately subject to the Reacquisition Right with the same force and effect as the Unvested Shares subject to this Reacquisition Right immediately before such event.</w:t>
      </w:r>
    </w:p>
    <w:p>
      <w:pPr>
        <w:spacing w:after="0" w:line="181" w:lineRule="exact"/>
        <w:rPr>
          <w:rFonts w:ascii="Times New Roman" w:cs="Times New Roman" w:eastAsia="Times New Roman" w:hAnsi="Times New Roman"/>
          <w:sz w:val="22"/>
          <w:szCs w:val="22"/>
          <w:b w:val="1"/>
          <w:bCs w:val="1"/>
          <w:color w:val="auto"/>
        </w:rPr>
      </w:pPr>
    </w:p>
    <w:p>
      <w:pPr>
        <w:jc w:val="both"/>
        <w:ind w:firstLine="2254"/>
        <w:spacing w:after="0" w:line="244" w:lineRule="auto"/>
        <w:tabs>
          <w:tab w:leader="none" w:pos="2617" w:val="left"/>
        </w:tabs>
        <w:numPr>
          <w:ilvl w:val="2"/>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addition to any other limitation on transfer created by applicable securities laws, you shall not sell, assign, hypothecate, donate, encumber, or otherwise dispose of any interest in the Common Stock while such shares of Common Stock are subject to the Reacquisition Right or continue to be held in the Joint Escrow.</w:t>
      </w:r>
    </w:p>
    <w:p>
      <w:pPr>
        <w:spacing w:after="0" w:line="169" w:lineRule="exact"/>
        <w:rPr>
          <w:rFonts w:ascii="Times New Roman" w:cs="Times New Roman" w:eastAsia="Times New Roman" w:hAnsi="Times New Roman"/>
          <w:sz w:val="22"/>
          <w:szCs w:val="22"/>
          <w:b w:val="1"/>
          <w:bCs w:val="1"/>
          <w:color w:val="auto"/>
        </w:rPr>
      </w:pPr>
    </w:p>
    <w:p>
      <w:pPr>
        <w:ind w:firstLine="757"/>
        <w:spacing w:after="0" w:line="262" w:lineRule="auto"/>
        <w:tabs>
          <w:tab w:leader="none" w:pos="1018"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estrictive</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egends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shares of Common Stock issued under your Restricted Stock Award shall be endorsed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appropriate legends determined by the Company.</w:t>
      </w:r>
    </w:p>
    <w:p>
      <w:pPr>
        <w:spacing w:after="0" w:line="149" w:lineRule="exact"/>
        <w:rPr>
          <w:rFonts w:ascii="Times New Roman" w:cs="Times New Roman" w:eastAsia="Times New Roman" w:hAnsi="Times New Roman"/>
          <w:sz w:val="22"/>
          <w:szCs w:val="22"/>
          <w:b w:val="1"/>
          <w:bCs w:val="1"/>
          <w:color w:val="auto"/>
        </w:rPr>
      </w:pPr>
    </w:p>
    <w:p>
      <w:pPr>
        <w:jc w:val="both"/>
        <w:ind w:firstLine="757"/>
        <w:spacing w:after="0" w:line="237" w:lineRule="auto"/>
        <w:tabs>
          <w:tab w:leader="none" w:pos="1018"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ward not a</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ervice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ontract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Restricted Stock Award is not an employment or service contract,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nothing in your Restricted Stock Award shall be deemed to create in any way whatsoever any obligation on your part to continue in the employ of the Company or an Affiliate, or on the part of the Company or an Affiliate to continue your employment. In addition, nothing in your Restricted Stock Award shall obligate the Company or an Affiliate, their respective stockholders, boards of directors, Officers or Employees to continue any relationship that you might have as a Director or Consultant for the Company or an Affiliate.</w:t>
      </w:r>
    </w:p>
    <w:p>
      <w:pPr>
        <w:spacing w:after="0" w:line="175"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1505"/>
        <w:spacing w:after="0" w:line="251" w:lineRule="auto"/>
        <w:tabs>
          <w:tab w:leader="none" w:pos="2036" w:val="left"/>
        </w:tabs>
        <w:numPr>
          <w:ilvl w:val="1"/>
          <w:numId w:val="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At the time your Restricted Stock Award is granted, or at any time thereafter as requested by the Company and as further provided in Section 8 of the Plan, you hereby authorize withholding from payroll and any other amounts payable to you, and otherwise agree to make adequate provision for any sums required to satisfy the federal, state, local and foreign tax withholding obligations of the Company or an Affiliate, if any, which arise in connection with your Restricted Stock Award (the “</w:t>
      </w:r>
      <w:r>
        <w:rPr>
          <w:rFonts w:ascii="Times New Roman" w:cs="Times New Roman" w:eastAsia="Times New Roman" w:hAnsi="Times New Roman"/>
          <w:sz w:val="21"/>
          <w:szCs w:val="21"/>
          <w:b w:val="1"/>
          <w:bCs w:val="1"/>
          <w:i w:val="1"/>
          <w:iCs w:val="1"/>
          <w:color w:val="auto"/>
        </w:rPr>
        <w:t>Withholding Obligation</w:t>
      </w:r>
      <w:r>
        <w:rPr>
          <w:rFonts w:ascii="Times New Roman" w:cs="Times New Roman" w:eastAsia="Times New Roman" w:hAnsi="Times New Roman"/>
          <w:sz w:val="21"/>
          <w:szCs w:val="21"/>
          <w:color w:val="auto"/>
        </w:rPr>
        <w:t>”) in accordance with the withholding procedures established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1388745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8" w:name="page59"/>
    <w:bookmarkEnd w:id="58"/>
    <w:p>
      <w:pPr>
        <w:jc w:val="both"/>
        <w:ind w:firstLine="1505"/>
        <w:spacing w:after="0" w:line="235" w:lineRule="auto"/>
        <w:tabs>
          <w:tab w:leader="none" w:pos="2036" w:val="left"/>
        </w:tabs>
        <w:numPr>
          <w:ilvl w:val="1"/>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Unless the Withholding Obligation is satisfied, the Company shall have no obligation to issue a certificate for such shares of Common Stock or release such shares of Common Stock from any escrow provided for herein. In the event the Withholding Obligation of the Company arises prior to the issuance of a certificate or release of shares of Common Stock from any escrow provided for herein, or it is determined after the issuance of a certificate to you or after the release of shares of Common Stock from any escrow to you that the amount of the Withholding Obligation was greater than the amount withheld by the Company, you agree to indemnify and hold the Company harmless from any failure by the Company to withhold the proper amount.</w:t>
      </w:r>
    </w:p>
    <w:p>
      <w:pPr>
        <w:spacing w:after="0" w:line="179" w:lineRule="exact"/>
        <w:rPr>
          <w:rFonts w:ascii="Times New Roman" w:cs="Times New Roman" w:eastAsia="Times New Roman" w:hAnsi="Times New Roman"/>
          <w:sz w:val="22"/>
          <w:szCs w:val="22"/>
          <w:b w:val="1"/>
          <w:bCs w:val="1"/>
          <w:color w:val="auto"/>
        </w:rPr>
      </w:pPr>
    </w:p>
    <w:p>
      <w:pPr>
        <w:jc w:val="both"/>
        <w:ind w:firstLine="757"/>
        <w:spacing w:after="0" w:line="283" w:lineRule="auto"/>
        <w:tabs>
          <w:tab w:leader="none" w:pos="1018"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orporate</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ransaction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Restricted Stock Award is subject to the terms of any agreement governing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Corporate Transaction involving the Company, including, without limitation, a provision for the appointment of a stockholder representative that is authorized to act on your behalf with respect to any escrow, indemnities and any contingent consideration.</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10.T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onsequences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505"/>
        <w:spacing w:after="0" w:line="233" w:lineRule="auto"/>
        <w:tabs>
          <w:tab w:leader="none" w:pos="2036"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You agree to review with your own tax advisors the federal, state, local and foreign tax consequences of this investment and the transactions contemplated by this Restricted Stock Award. You will rely solely on such advisors and not on any statements or representations of the Company or any of its agents. You understand that you (and not the Company) will be responsible for your own tax liability that may arise as a result of this investment or the transactions contemplated by this Restricted Stock Award. You understand that under Code Section 83, the excess of the fair market value of the shares of Common Stock subject to the Restricted Stock Award on the date any forfeiture restrictions applicable to such shares of Common Stock lapse over the amount, if any, paid for such shares of Common Stock will be reportable as ordinary income on the lapse date. For this purpose, the term </w:t>
      </w:r>
      <w:r>
        <w:rPr>
          <w:rFonts w:ascii="Times New Roman" w:cs="Times New Roman" w:eastAsia="Times New Roman" w:hAnsi="Times New Roman"/>
          <w:sz w:val="22"/>
          <w:szCs w:val="22"/>
          <w:b w:val="1"/>
          <w:bCs w:val="1"/>
          <w:i w:val="1"/>
          <w:iCs w:val="1"/>
          <w:color w:val="auto"/>
        </w:rPr>
        <w:t>“forfeiture restrictions”</w:t>
      </w:r>
      <w:r>
        <w:rPr>
          <w:rFonts w:ascii="Times New Roman" w:cs="Times New Roman" w:eastAsia="Times New Roman" w:hAnsi="Times New Roman"/>
          <w:sz w:val="22"/>
          <w:szCs w:val="22"/>
          <w:color w:val="auto"/>
        </w:rPr>
        <w:t xml:space="preserve"> includes the right of the Company to reacquire the Unvested Shares pursuant to the Reacquisition Right. You may elect under Code Section 83(b) to be taxed at the time the shares of Common Stock subject to the Restricted Stock Award are issued, rather than when and as such shares cease to be subject to such forfeiture restrictions. THE FORM FOR MAKING THIS ELECTION MAY BE OBTAINED FROM THE COMPANY UPON YOUR REQUEST. YOU UNDERSTAND THAT FAILURE TO MAKE THIS FILING WITHIN THE APPLICABLE THIRTY (30)-DAY PERIOD WILL RESULT IN THE RECOGNITION OF ORDINARY INCOME AS THE FORFEITURE RESTRICTIONS LAPSE.</w:t>
      </w:r>
    </w:p>
    <w:p>
      <w:pPr>
        <w:spacing w:after="0" w:line="175" w:lineRule="exact"/>
        <w:rPr>
          <w:rFonts w:ascii="Times New Roman" w:cs="Times New Roman" w:eastAsia="Times New Roman" w:hAnsi="Times New Roman"/>
          <w:sz w:val="22"/>
          <w:szCs w:val="22"/>
          <w:b w:val="1"/>
          <w:bCs w:val="1"/>
          <w:color w:val="auto"/>
        </w:rPr>
      </w:pPr>
    </w:p>
    <w:p>
      <w:pPr>
        <w:jc w:val="both"/>
        <w:ind w:right="20" w:firstLine="1505"/>
        <w:spacing w:after="0" w:line="243" w:lineRule="auto"/>
        <w:tabs>
          <w:tab w:leader="none" w:pos="2036"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FILING RESPONSIBILITY. </w:t>
      </w:r>
      <w:r>
        <w:rPr>
          <w:rFonts w:ascii="Times New Roman" w:cs="Times New Roman" w:eastAsia="Times New Roman" w:hAnsi="Times New Roman"/>
          <w:sz w:val="22"/>
          <w:szCs w:val="22"/>
          <w:color w:val="auto"/>
        </w:rPr>
        <w:t>YOU ACKNOWLEDGE THAT IT IS YOUR SOLE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RESPONSIBILITY, AND NOT THE COMPANY’S, TO FILE A TIMELY ELECTION UNDER CODE SECTION 83(b),</w:t>
      </w:r>
    </w:p>
    <w:p>
      <w:pPr>
        <w:spacing w:after="0" w:line="1"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EVEN IF YOU REQUEST THE COMPANY OR ITS REPRESENTATIVES TO MAKE THIS FILING ON YOUR BEHALF.</w:t>
      </w:r>
    </w:p>
    <w:p>
      <w:pPr>
        <w:spacing w:after="0" w:line="193"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As a condition to accepting the Restricted Stock Award, you hereby (i) agree to not make any claim against the Company, or any of its Officers, Directors, Employees or Affiliates related to tax liabilities arising from the Restricted Stock Award or other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1391920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9" w:name="page60"/>
    <w:bookmarkEnd w:id="59"/>
    <w:p>
      <w:pPr>
        <w:jc w:val="both"/>
        <w:spacing w:after="0" w:line="244" w:lineRule="auto"/>
        <w:rPr>
          <w:sz w:val="20"/>
          <w:szCs w:val="20"/>
          <w:color w:val="auto"/>
        </w:rPr>
      </w:pPr>
      <w:r>
        <w:rPr>
          <w:rFonts w:ascii="Times New Roman" w:cs="Times New Roman" w:eastAsia="Times New Roman" w:hAnsi="Times New Roman"/>
          <w:sz w:val="22"/>
          <w:szCs w:val="22"/>
          <w:color w:val="auto"/>
        </w:rPr>
        <w:t>compensation and (ii) acknowledge that you were advised to consult with your own personal tax, financial and other legal advisors regarding the tax consequences of the Restricted Stock Award and have either done so or knowingly and voluntarily declined to do so.</w:t>
      </w:r>
    </w:p>
    <w:p>
      <w:pPr>
        <w:spacing w:after="0" w:line="16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11.T</w:t>
      </w:r>
      <w:r>
        <w:rPr>
          <w:rFonts w:ascii="Times New Roman" w:cs="Times New Roman" w:eastAsia="Times New Roman" w:hAnsi="Times New Roman"/>
          <w:sz w:val="14"/>
          <w:szCs w:val="14"/>
          <w:b w:val="1"/>
          <w:bCs w:val="1"/>
          <w:color w:val="auto"/>
        </w:rPr>
        <w:t>ransferability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otherwise provided in the Plan, your Restricted Stock Award is not transferable, except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will or by the applicable laws of descent and distribution</w:t>
      </w:r>
    </w:p>
    <w:p>
      <w:pPr>
        <w:spacing w:after="0" w:line="15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12.S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any part of this Agreement or the Plan is declared by any court or governmental authority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13.O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hereby acknowledge receipt of or the right to receive a document providing the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by Rule 428(b)(1) promulgated under the Securities Act, which includes the Prospectus. In addition, you acknowledge receipt of the Company’s Trading Policy.</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14.M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firstLine="1505"/>
        <w:spacing w:after="0" w:line="258" w:lineRule="auto"/>
        <w:tabs>
          <w:tab w:leader="none" w:pos="2036"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agree upon request to execute any further documents or instruments necessary or desirable in the sole determination of the Company to carry out the purposes or intent of your Restricted Stock Award.</w:t>
      </w:r>
    </w:p>
    <w:p>
      <w:pPr>
        <w:spacing w:after="0" w:line="158"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acknowledge and agree that you have reviewed your Restricted Stock Award in its entirety, have had an opportunity to obtain the advice of counsel prior to executing and accepting your Restricted Stock Award and fully understand all provisions of your Restricted Stock Award.</w:t>
      </w:r>
    </w:p>
    <w:p>
      <w:pPr>
        <w:spacing w:after="0" w:line="173"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you have questions regarding these or any other terms and conditions applicable to your Restricted Stock Award, including a summary of the applicable federal income tax consequences, please see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1519555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14"/>
          <w:szCs w:val="14"/>
          <w:b w:val="1"/>
          <w:bCs w:val="1"/>
          <w:color w:val="auto"/>
        </w:rPr>
        <w:t>orm of</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ssignment</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eparate from</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ertificate</w:t>
      </w:r>
    </w:p>
    <w:p>
      <w:pPr>
        <w:spacing w:after="0" w:line="23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b w:val="1"/>
          <w:bCs w:val="1"/>
          <w:color w:val="auto"/>
        </w:rPr>
        <w:t>F</w:t>
      </w:r>
      <w:r>
        <w:rPr>
          <w:rFonts w:ascii="Times New Roman" w:cs="Times New Roman" w:eastAsia="Times New Roman" w:hAnsi="Times New Roman"/>
          <w:sz w:val="13"/>
          <w:szCs w:val="13"/>
          <w:b w:val="1"/>
          <w:bCs w:val="1"/>
          <w:color w:val="auto"/>
        </w:rPr>
        <w:t>or</w:t>
      </w:r>
      <w:r>
        <w:rPr>
          <w:rFonts w:ascii="Times New Roman" w:cs="Times New Roman" w:eastAsia="Times New Roman" w:hAnsi="Times New Roman"/>
          <w:sz w:val="20"/>
          <w:szCs w:val="20"/>
          <w:b w:val="1"/>
          <w:bCs w:val="1"/>
          <w:color w:val="auto"/>
        </w:rPr>
        <w:t xml:space="preserve"> V</w:t>
      </w:r>
      <w:r>
        <w:rPr>
          <w:rFonts w:ascii="Times New Roman" w:cs="Times New Roman" w:eastAsia="Times New Roman" w:hAnsi="Times New Roman"/>
          <w:sz w:val="13"/>
          <w:szCs w:val="13"/>
          <w:b w:val="1"/>
          <w:bCs w:val="1"/>
          <w:color w:val="auto"/>
        </w:rPr>
        <w:t>alue</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eceived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pursuant to that certain Restricted Stock Award Grant Notice and Restricted Stock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(the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______ hereby sells, assigns and transfers unto Tempus AI, Inc., a Delaware corporation (“</w:t>
      </w:r>
      <w:r>
        <w:rPr>
          <w:rFonts w:ascii="Times New Roman" w:cs="Times New Roman" w:eastAsia="Times New Roman" w:hAnsi="Times New Roman"/>
          <w:sz w:val="20"/>
          <w:szCs w:val="20"/>
          <w:b w:val="1"/>
          <w:bCs w:val="1"/>
          <w:i w:val="1"/>
          <w:iCs w:val="1"/>
          <w:color w:val="auto"/>
        </w:rPr>
        <w:t>Assignee</w:t>
      </w: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21"/>
          <w:szCs w:val="21"/>
          <w:color w:val="auto"/>
        </w:rPr>
        <w:t>_________________ (___) shares of the Common Stock of the Assignee, standing in the undersigned’s name on the books of the</w:t>
      </w:r>
    </w:p>
    <w:p>
      <w:pPr>
        <w:spacing w:after="0" w:line="231" w:lineRule="auto"/>
        <w:rPr>
          <w:sz w:val="20"/>
          <w:szCs w:val="20"/>
          <w:color w:val="auto"/>
        </w:rPr>
      </w:pPr>
      <w:r>
        <w:rPr>
          <w:rFonts w:ascii="Times New Roman" w:cs="Times New Roman" w:eastAsia="Times New Roman" w:hAnsi="Times New Roman"/>
          <w:sz w:val="22"/>
          <w:szCs w:val="22"/>
          <w:color w:val="auto"/>
        </w:rPr>
        <w:t>Company represented by Certificate No. _____ herewith and do hereby irrevocably constitute and appoint the Company’s</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Secretary as attorney-in-fact to transfer the said Common Stock on the books of the within named Company with full power of substitution in the premises. This Assignment may be used only in accordance with and subject to the terms and conditions of the Award, in connection with the reacquisition of shares of Common Stock of the Company issued to the undersigned pursuant to the Award, and only to the extent that such shares remain subject to the Company’s Reacquisition Right under the Award.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-13970</wp:posOffset>
            </wp:positionV>
            <wp:extent cx="1828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18288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Signature:_________________________________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294005</wp:posOffset>
            </wp:positionV>
            <wp:extent cx="274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(Print Name), Recipient</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nstruction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Please do not fill in any blanks other than the signature line. The purpose of this Assignment is to enable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to exercise its Reacquisition Right set forth in the Award without requiring additional signatures on your part.</w:t>
      </w: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1242695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B</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14"/>
          <w:szCs w:val="14"/>
          <w:b w:val="1"/>
          <w:bCs w:val="1"/>
          <w:color w:val="auto"/>
        </w:rPr>
        <w:t>orm of</w:t>
      </w:r>
      <w:r>
        <w:rPr>
          <w:rFonts w:ascii="Times New Roman" w:cs="Times New Roman" w:eastAsia="Times New Roman" w:hAnsi="Times New Roman"/>
          <w:sz w:val="22"/>
          <w:szCs w:val="22"/>
          <w:b w:val="1"/>
          <w:bCs w:val="1"/>
          <w:color w:val="auto"/>
        </w:rPr>
        <w:t xml:space="preserve"> J</w:t>
      </w:r>
      <w:r>
        <w:rPr>
          <w:rFonts w:ascii="Times New Roman" w:cs="Times New Roman" w:eastAsia="Times New Roman" w:hAnsi="Times New Roman"/>
          <w:sz w:val="14"/>
          <w:szCs w:val="14"/>
          <w:b w:val="1"/>
          <w:bCs w:val="1"/>
          <w:color w:val="auto"/>
        </w:rPr>
        <w:t>oint</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scrow</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nstructions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Secretary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230" w:lineRule="auto"/>
        <w:rPr>
          <w:sz w:val="20"/>
          <w:szCs w:val="20"/>
          <w:color w:val="auto"/>
        </w:rPr>
      </w:pPr>
      <w:r>
        <w:rPr>
          <w:rFonts w:ascii="Times New Roman" w:cs="Times New Roman" w:eastAsia="Times New Roman" w:hAnsi="Times New Roman"/>
          <w:sz w:val="22"/>
          <w:szCs w:val="22"/>
          <w:color w:val="auto"/>
        </w:rPr>
        <w:t>600 W. Chicago Avenue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 60654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Sir/Madam:</w:t>
      </w:r>
    </w:p>
    <w:p>
      <w:pPr>
        <w:spacing w:after="0" w:line="20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As Escrow Agent for both </w:t>
      </w:r>
      <w:r>
        <w:rPr>
          <w:rFonts w:ascii="Times New Roman" w:cs="Times New Roman" w:eastAsia="Times New Roman" w:hAnsi="Times New Roman"/>
          <w:sz w:val="21"/>
          <w:szCs w:val="21"/>
          <w:b w:val="1"/>
          <w:bCs w:val="1"/>
          <w:color w:val="auto"/>
        </w:rPr>
        <w:t>Tempus AI, Inc.</w:t>
      </w:r>
      <w:r>
        <w:rPr>
          <w:rFonts w:ascii="Times New Roman" w:cs="Times New Roman" w:eastAsia="Times New Roman" w:hAnsi="Times New Roman"/>
          <w:sz w:val="21"/>
          <w:szCs w:val="21"/>
          <w:color w:val="auto"/>
        </w:rPr>
        <w:t>, a Delaware corporation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and the undersigned recipient (“</w:t>
      </w:r>
      <w:r>
        <w:rPr>
          <w:rFonts w:ascii="Times New Roman" w:cs="Times New Roman" w:eastAsia="Times New Roman" w:hAnsi="Times New Roman"/>
          <w:sz w:val="21"/>
          <w:szCs w:val="21"/>
          <w:b w:val="1"/>
          <w:bCs w:val="1"/>
          <w:i w:val="1"/>
          <w:iCs w:val="1"/>
          <w:color w:val="auto"/>
        </w:rPr>
        <w:t>Recipient</w:t>
      </w:r>
      <w:r>
        <w:rPr>
          <w:rFonts w:ascii="Times New Roman" w:cs="Times New Roman" w:eastAsia="Times New Roman" w:hAnsi="Times New Roman"/>
          <w:sz w:val="21"/>
          <w:szCs w:val="21"/>
          <w:color w:val="auto"/>
        </w:rPr>
        <w:t>”) of Common Stock of the Company (the “</w:t>
      </w:r>
      <w:r>
        <w:rPr>
          <w:rFonts w:ascii="Times New Roman" w:cs="Times New Roman" w:eastAsia="Times New Roman" w:hAnsi="Times New Roman"/>
          <w:sz w:val="21"/>
          <w:szCs w:val="21"/>
          <w:b w:val="1"/>
          <w:bCs w:val="1"/>
          <w:i w:val="1"/>
          <w:iCs w:val="1"/>
          <w:color w:val="auto"/>
        </w:rPr>
        <w:t>Common Stock</w:t>
      </w:r>
      <w:r>
        <w:rPr>
          <w:rFonts w:ascii="Times New Roman" w:cs="Times New Roman" w:eastAsia="Times New Roman" w:hAnsi="Times New Roman"/>
          <w:sz w:val="21"/>
          <w:szCs w:val="21"/>
          <w:color w:val="auto"/>
        </w:rPr>
        <w:t>”), you are hereby authorized and directed to hold the documents delivered to you pursuant to the terms of the Restricted Stock Award Grant Notice (including all attachments and exhibits) dated ___________________ (the “</w:t>
      </w:r>
      <w:r>
        <w:rPr>
          <w:rFonts w:ascii="Times New Roman" w:cs="Times New Roman" w:eastAsia="Times New Roman" w:hAnsi="Times New Roman"/>
          <w:sz w:val="21"/>
          <w:szCs w:val="21"/>
          <w:b w:val="1"/>
          <w:bCs w:val="1"/>
          <w:i w:val="1"/>
          <w:iCs w:val="1"/>
          <w:color w:val="auto"/>
        </w:rPr>
        <w:t>Grant Documents</w:t>
      </w:r>
      <w:r>
        <w:rPr>
          <w:rFonts w:ascii="Times New Roman" w:cs="Times New Roman" w:eastAsia="Times New Roman" w:hAnsi="Times New Roman"/>
          <w:sz w:val="21"/>
          <w:szCs w:val="21"/>
          <w:color w:val="auto"/>
        </w:rPr>
        <w:t>”), to which a copy of these Joint Escrow Instructions is attached</w:t>
      </w:r>
    </w:p>
    <w:p>
      <w:pPr>
        <w:spacing w:after="0" w:line="4"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22"/>
          <w:szCs w:val="22"/>
          <w:color w:val="auto"/>
        </w:rPr>
        <w:t>as Exhibit B, in accordance with the following instructions. Capitalized terms not explicitly defined in these instructions but defined in the Company’s 2024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or in the Grant Documents shall have the same definitions as provided therein.</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15.</w:t>
      </w:r>
      <w:r>
        <w:rPr>
          <w:rFonts w:ascii="Times New Roman" w:cs="Times New Roman" w:eastAsia="Times New Roman" w:hAnsi="Times New Roman"/>
          <w:sz w:val="22"/>
          <w:szCs w:val="22"/>
          <w:color w:val="auto"/>
        </w:rPr>
        <w:t>In the event Recipient ceases to render services to the Company or an affiliate of the Company during the vesting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set forth in the Grant Documents, the Company or its assignee will give to Recipient and you a written notice specifying that the shares of Common Stock shall be transferred to the Company. Recipient and the Company hereby irrevocably authorize and direct you to close the transaction contemplated by such notice in accordance with the terms of said notice.</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16.</w:t>
      </w:r>
      <w:r>
        <w:rPr>
          <w:rFonts w:ascii="Times New Roman" w:cs="Times New Roman" w:eastAsia="Times New Roman" w:hAnsi="Times New Roman"/>
          <w:sz w:val="22"/>
          <w:szCs w:val="22"/>
          <w:color w:val="auto"/>
        </w:rPr>
        <w:t>At the closing you are directed (a) to date any stock assignments necessary for the transfer in question, (b) to fill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number of shares of Common Stock being transferred, and (c) to deliver same, together with the certificate evidencing the shares of Common Stock to be transferred, to the Company.</w:t>
      </w:r>
    </w:p>
    <w:p>
      <w:pPr>
        <w:spacing w:after="0" w:line="167" w:lineRule="exact"/>
        <w:rPr>
          <w:sz w:val="20"/>
          <w:szCs w:val="20"/>
          <w:color w:val="auto"/>
        </w:rPr>
      </w:pPr>
    </w:p>
    <w:p>
      <w:pPr>
        <w:jc w:val="both"/>
        <w:ind w:firstLine="749"/>
        <w:spacing w:after="0" w:line="255" w:lineRule="exact"/>
        <w:rPr>
          <w:sz w:val="20"/>
          <w:szCs w:val="20"/>
          <w:color w:val="auto"/>
        </w:rPr>
      </w:pPr>
      <w:r>
        <w:rPr>
          <w:rFonts w:ascii="Times New Roman" w:cs="Times New Roman" w:eastAsia="Times New Roman" w:hAnsi="Times New Roman"/>
          <w:sz w:val="22"/>
          <w:szCs w:val="22"/>
          <w:b w:val="1"/>
          <w:bCs w:val="1"/>
          <w:color w:val="auto"/>
        </w:rPr>
        <w:t>17.</w:t>
      </w:r>
      <w:r>
        <w:rPr>
          <w:rFonts w:ascii="Times New Roman" w:cs="Times New Roman" w:eastAsia="Times New Roman" w:hAnsi="Times New Roman"/>
          <w:sz w:val="22"/>
          <w:szCs w:val="22"/>
          <w:color w:val="auto"/>
        </w:rPr>
        <w:t>Recipient irrevocably authorizes the Company to deposit with you any certificates evidencing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to be held by you hereunder and any additions and substitutions to said shares as specified in the Grant Documents. Recipient does hereby irrevocably constitute and appoint you as Recipient’s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and agent for the term of this escrow to execute with respect to such securities and other property all documents of assignment and/or transfer and all stock certificates necessary or appropriate to make all securities negotiable and complete any transaction herein contemplated.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1395095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2" w:name="page63"/>
    <w:bookmarkEnd w:id="62"/>
    <w:p>
      <w:pPr>
        <w:ind w:left="760"/>
        <w:spacing w:after="0"/>
        <w:rPr>
          <w:sz w:val="20"/>
          <w:szCs w:val="20"/>
          <w:color w:val="auto"/>
        </w:rPr>
      </w:pPr>
      <w:r>
        <w:rPr>
          <w:rFonts w:ascii="Times New Roman" w:cs="Times New Roman" w:eastAsia="Times New Roman" w:hAnsi="Times New Roman"/>
          <w:sz w:val="22"/>
          <w:szCs w:val="22"/>
          <w:b w:val="1"/>
          <w:bCs w:val="1"/>
          <w:color w:val="auto"/>
        </w:rPr>
        <w:t>18.</w:t>
      </w:r>
      <w:r>
        <w:rPr>
          <w:rFonts w:ascii="Times New Roman" w:cs="Times New Roman" w:eastAsia="Times New Roman" w:hAnsi="Times New Roman"/>
          <w:sz w:val="22"/>
          <w:szCs w:val="22"/>
          <w:color w:val="auto"/>
        </w:rPr>
        <w:t>This escrow shall terminate upon vesting of the shares or upon the earlier return of the shares to the Company.</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19.</w:t>
      </w:r>
      <w:r>
        <w:rPr>
          <w:rFonts w:ascii="Times New Roman" w:cs="Times New Roman" w:eastAsia="Times New Roman" w:hAnsi="Times New Roman"/>
          <w:sz w:val="22"/>
          <w:szCs w:val="22"/>
          <w:color w:val="auto"/>
        </w:rPr>
        <w:t>If at the time of termination of this escrow you should have in your possession any documents, securities,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property belonging to Recipient, you shall deliver all of same to any pledgee entitled thereto or, if none, to Recipient and shall be discharged of all further obligations hereunder.</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20.</w:t>
      </w:r>
      <w:r>
        <w:rPr>
          <w:rFonts w:ascii="Times New Roman" w:cs="Times New Roman" w:eastAsia="Times New Roman" w:hAnsi="Times New Roman"/>
          <w:sz w:val="22"/>
          <w:szCs w:val="22"/>
          <w:color w:val="auto"/>
        </w:rPr>
        <w:t>Your duties hereunder may be altered, amended, modified or revoked only by a writing signed by all of the parties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hereto.</w:t>
      </w:r>
    </w:p>
    <w:p>
      <w:pPr>
        <w:spacing w:after="0" w:line="178" w:lineRule="exact"/>
        <w:rPr>
          <w:sz w:val="20"/>
          <w:szCs w:val="20"/>
          <w:color w:val="auto"/>
        </w:rPr>
      </w:pPr>
    </w:p>
    <w:p>
      <w:pPr>
        <w:jc w:val="both"/>
        <w:ind w:firstLine="749"/>
        <w:spacing w:after="0" w:line="255" w:lineRule="exact"/>
        <w:rPr>
          <w:sz w:val="20"/>
          <w:szCs w:val="20"/>
          <w:color w:val="auto"/>
        </w:rPr>
      </w:pPr>
      <w:r>
        <w:rPr>
          <w:rFonts w:ascii="Times New Roman" w:cs="Times New Roman" w:eastAsia="Times New Roman" w:hAnsi="Times New Roman"/>
          <w:sz w:val="22"/>
          <w:szCs w:val="22"/>
          <w:b w:val="1"/>
          <w:bCs w:val="1"/>
          <w:color w:val="auto"/>
        </w:rPr>
        <w:t>21.</w:t>
      </w:r>
      <w:r>
        <w:rPr>
          <w:rFonts w:ascii="Times New Roman" w:cs="Times New Roman" w:eastAsia="Times New Roman" w:hAnsi="Times New Roman"/>
          <w:sz w:val="22"/>
          <w:szCs w:val="22"/>
          <w:color w:val="auto"/>
        </w:rPr>
        <w:t>You shall be obligated only for the performance of such duties as are specifically set forth herein and may rely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protected in relying or refraining from acting on any instrument reasonably believed by you to be genuine and to have been signed or presented by the proper party or parties or their assignees. You shall not be personally liable for any act you may do or omit to do hereunder as Escrow Agent or as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for Recipient while acting in good faith and any act done or omitted by you pursuant to the advice of your own attorneys shall be conclusive evidence of such good faith.</w:t>
      </w:r>
    </w:p>
    <w:p>
      <w:pPr>
        <w:spacing w:after="0" w:line="17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22.</w:t>
      </w:r>
      <w:r>
        <w:rPr>
          <w:rFonts w:ascii="Times New Roman" w:cs="Times New Roman" w:eastAsia="Times New Roman" w:hAnsi="Times New Roman"/>
          <w:sz w:val="22"/>
          <w:szCs w:val="22"/>
          <w:color w:val="auto"/>
        </w:rPr>
        <w:t>You are hereby expressly authorized to disregard any and all warnings given by any of the parties hereto or by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person or corporation, excepting only orders or process of courts of law, and are hereby expressly authorized to comply with and obey orders, judgments or decrees of any court. In case you obey or comply with any such order, judgment or decree of any court, you shall not be liable to any of the parties hereto or to any other person, firm or corporation by reason of such compliance, notwithstanding any such order, judgment or decree being subsequently reversed, modified, annulled, set aside, vacated or found to have been entered without jurisdiction.</w:t>
      </w:r>
    </w:p>
    <w:p>
      <w:pPr>
        <w:spacing w:after="0" w:line="17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21"/>
          <w:szCs w:val="21"/>
          <w:b w:val="1"/>
          <w:bCs w:val="1"/>
          <w:color w:val="auto"/>
        </w:rPr>
        <w:t>23.</w:t>
      </w:r>
      <w:r>
        <w:rPr>
          <w:rFonts w:ascii="Times New Roman" w:cs="Times New Roman" w:eastAsia="Times New Roman" w:hAnsi="Times New Roman"/>
          <w:sz w:val="21"/>
          <w:szCs w:val="21"/>
          <w:color w:val="auto"/>
        </w:rPr>
        <w:t>You shall not be liable in any respect on account of the identity, authority or rights of the parties executing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delivering or purporting to execute or deliver the Grant Documents or any documents or papers deposited or called for hereunder.</w:t>
      </w:r>
    </w:p>
    <w:p>
      <w:pPr>
        <w:spacing w:after="0" w:line="12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24.</w:t>
      </w:r>
      <w:r>
        <w:rPr>
          <w:rFonts w:ascii="Times New Roman" w:cs="Times New Roman" w:eastAsia="Times New Roman" w:hAnsi="Times New Roman"/>
          <w:sz w:val="22"/>
          <w:szCs w:val="22"/>
          <w:color w:val="auto"/>
        </w:rPr>
        <w:t>You shall not be liable for the outlawing of any rights under any statute of limitations with respect to these Joint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Escrow Instructions or any documents deposited with you.</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25.</w:t>
      </w:r>
      <w:r>
        <w:rPr>
          <w:rFonts w:ascii="Times New Roman" w:cs="Times New Roman" w:eastAsia="Times New Roman" w:hAnsi="Times New Roman"/>
          <w:sz w:val="22"/>
          <w:szCs w:val="22"/>
          <w:color w:val="auto"/>
        </w:rPr>
        <w:t>You shall be entitled to employ such legal counsel and other experts as you may deem necessary properly to advise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in connection with your obligations hereunder, may rely upon the advice of such counsel, and may pay such counsel reasonable compensation therefor.</w:t>
      </w:r>
    </w:p>
    <w:p>
      <w:pPr>
        <w:spacing w:after="0" w:line="167" w:lineRule="exact"/>
        <w:rPr>
          <w:sz w:val="20"/>
          <w:szCs w:val="20"/>
          <w:color w:val="auto"/>
        </w:rPr>
      </w:pPr>
    </w:p>
    <w:p>
      <w:pPr>
        <w:jc w:val="both"/>
        <w:ind w:firstLine="749"/>
        <w:spacing w:after="0" w:line="265" w:lineRule="exact"/>
        <w:rPr>
          <w:sz w:val="20"/>
          <w:szCs w:val="20"/>
          <w:color w:val="auto"/>
        </w:rPr>
      </w:pPr>
      <w:r>
        <w:rPr>
          <w:rFonts w:ascii="Times New Roman" w:cs="Times New Roman" w:eastAsia="Times New Roman" w:hAnsi="Times New Roman"/>
          <w:sz w:val="22"/>
          <w:szCs w:val="22"/>
          <w:b w:val="1"/>
          <w:bCs w:val="1"/>
          <w:color w:val="auto"/>
        </w:rPr>
        <w:t>26.</w:t>
      </w:r>
      <w:r>
        <w:rPr>
          <w:rFonts w:ascii="Times New Roman" w:cs="Times New Roman" w:eastAsia="Times New Roman" w:hAnsi="Times New Roman"/>
          <w:sz w:val="22"/>
          <w:szCs w:val="22"/>
          <w:color w:val="auto"/>
        </w:rPr>
        <w:t>Your responsibilities as Escrow Agent hereunder shall terminate if you shall cease to be Secretary of the Company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you shall resign by written notice to each party. In the event of any such termination, the Company may appoint any officer or assistant officer of the Company as successor Escrow Agent and Recipient hereby confirms the appointment of such successor or successors as his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and agent to the full extent of your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1375410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3" w:name="page64"/>
    <w:bookmarkEnd w:id="63"/>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27.</w:t>
      </w:r>
      <w:r>
        <w:rPr>
          <w:rFonts w:ascii="Times New Roman" w:cs="Times New Roman" w:eastAsia="Times New Roman" w:hAnsi="Times New Roman"/>
          <w:sz w:val="22"/>
          <w:szCs w:val="22"/>
          <w:color w:val="auto"/>
        </w:rPr>
        <w:t>If you reasonably require other or further instruments in connection with these Joint Escrow Instructions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in respect hereto, the necessary parties hereto shall join in furnishing such instruments.</w:t>
      </w:r>
    </w:p>
    <w:p>
      <w:pPr>
        <w:spacing w:after="0" w:line="15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28.</w:t>
      </w:r>
      <w:r>
        <w:rPr>
          <w:rFonts w:ascii="Times New Roman" w:cs="Times New Roman" w:eastAsia="Times New Roman" w:hAnsi="Times New Roman"/>
          <w:sz w:val="22"/>
          <w:szCs w:val="22"/>
          <w:color w:val="auto"/>
        </w:rPr>
        <w:t>It is understood and agreed that should any dispute arise with respect to the delivery and/or ownership or right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possession of the securities, you are authorized and directed to retain in your possession without liability to anyone all or any part of said securities until such dispute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spacing w:after="0" w:line="17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29.</w:t>
      </w:r>
      <w:r>
        <w:rPr>
          <w:rFonts w:ascii="Times New Roman" w:cs="Times New Roman" w:eastAsia="Times New Roman" w:hAnsi="Times New Roman"/>
          <w:sz w:val="22"/>
          <w:szCs w:val="22"/>
          <w:color w:val="auto"/>
        </w:rPr>
        <w:t>Any notice or request required or permitted hereunder will be given in writing to each of the other parties hereto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deemed effectively given on the earlier of (i) the date of personal delivery, including delivery by express courier, or delivery via electronic means, or (ii) the date that is five days after deposit in the United States Post Office (whether or not actually received by the addressee), by registered or certified mail with postage and fees prepaid, addressed to each of the other parties hereunto entitled at the following addresses, or at such other addresses as a party may designate by 10 days’ advance written notice to each of the other parties hereto:</w:t>
      </w:r>
    </w:p>
    <w:p>
      <w:pPr>
        <w:sectPr>
          <w:pgSz w:w="11900" w:h="16838" w:orient="portrait"/>
          <w:cols w:equalWidth="0" w:num="1">
            <w:col w:w="11240"/>
          </w:cols>
          <w:pgMar w:left="320" w:top="1404" w:right="339" w:bottom="1440" w:gutter="0" w:footer="0" w:header="0"/>
        </w:sectPr>
      </w:pP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Company:</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600 W. Chicago Avenue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 60654</w:t>
      </w:r>
    </w:p>
    <w:p>
      <w:pPr>
        <w:spacing w:after="0" w:line="74" w:lineRule="exact"/>
        <w:rPr>
          <w:sz w:val="20"/>
          <w:szCs w:val="20"/>
          <w:color w:val="auto"/>
        </w:rPr>
      </w:pPr>
    </w:p>
    <w:p>
      <w:pPr>
        <w:sectPr>
          <w:pgSz w:w="11900" w:h="16838" w:orient="portrait"/>
          <w:cols w:equalWidth="0" w:num="2">
            <w:col w:w="1980" w:space="720"/>
            <w:col w:w="8540"/>
          </w:cols>
          <w:pgMar w:left="320" w:top="1404" w:right="339" w:bottom="1440" w:gutter="0" w:footer="0" w:header="0"/>
          <w:type w:val="continuous"/>
        </w:sectPr>
      </w:pPr>
    </w:p>
    <w:p>
      <w:pPr>
        <w:ind w:left="2700"/>
        <w:spacing w:after="0"/>
        <w:rPr>
          <w:sz w:val="20"/>
          <w:szCs w:val="20"/>
          <w:color w:val="auto"/>
        </w:rPr>
      </w:pPr>
      <w:r>
        <w:rPr>
          <w:rFonts w:ascii="Times New Roman" w:cs="Times New Roman" w:eastAsia="Times New Roman" w:hAnsi="Times New Roman"/>
          <w:sz w:val="21"/>
          <w:szCs w:val="21"/>
          <w:color w:val="auto"/>
        </w:rPr>
        <w:t>Attn: General Counsel / Chief Financial Officer</w:t>
      </w:r>
    </w:p>
    <w:p>
      <w:pPr>
        <w:spacing w:after="0" w:line="2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Recipient:</w:t>
      </w:r>
    </w:p>
    <w:p>
      <w:pPr>
        <w:sectPr>
          <w:pgSz w:w="11900" w:h="16838" w:orient="portrait"/>
          <w:cols w:equalWidth="0" w:num="1">
            <w:col w:w="11240"/>
          </w:cols>
          <w:pgMar w:left="320" w:top="14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Escrow Agent: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600 W Chicago Avenue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 60654</w:t>
      </w:r>
    </w:p>
    <w:p>
      <w:pPr>
        <w:spacing w:after="0" w:line="74" w:lineRule="exact"/>
        <w:rPr>
          <w:sz w:val="20"/>
          <w:szCs w:val="20"/>
          <w:color w:val="auto"/>
        </w:rPr>
      </w:pPr>
    </w:p>
    <w:p>
      <w:pPr>
        <w:sectPr>
          <w:pgSz w:w="11900" w:h="16838" w:orient="portrait"/>
          <w:cols w:equalWidth="0" w:num="2">
            <w:col w:w="2120" w:space="580"/>
            <w:col w:w="8540"/>
          </w:cols>
          <w:pgMar w:left="320" w:top="1404" w:right="339" w:bottom="1440" w:gutter="0" w:footer="0" w:header="0"/>
          <w:type w:val="continuous"/>
        </w:sectPr>
      </w:pPr>
    </w:p>
    <w:p>
      <w:pPr>
        <w:ind w:left="2700"/>
        <w:spacing w:after="0"/>
        <w:rPr>
          <w:sz w:val="20"/>
          <w:szCs w:val="20"/>
          <w:color w:val="auto"/>
        </w:rPr>
      </w:pPr>
      <w:r>
        <w:rPr>
          <w:rFonts w:ascii="Times New Roman" w:cs="Times New Roman" w:eastAsia="Times New Roman" w:hAnsi="Times New Roman"/>
          <w:sz w:val="21"/>
          <w:szCs w:val="21"/>
          <w:color w:val="auto"/>
        </w:rPr>
        <w:t>Attn: Corporate Secretary</w:t>
      </w:r>
    </w:p>
    <w:p>
      <w:pPr>
        <w:sectPr>
          <w:pgSz w:w="11900" w:h="16838" w:orient="portrait"/>
          <w:cols w:equalWidth="0" w:num="1">
            <w:col w:w="11240"/>
          </w:cols>
          <w:pgMar w:left="320" w:top="1404" w:right="339" w:bottom="1440" w:gutter="0" w:footer="0" w:header="0"/>
          <w:type w:val="continuous"/>
        </w:sectPr>
      </w:pPr>
    </w:p>
    <w:p>
      <w:pPr>
        <w:spacing w:after="0" w:line="24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30.</w:t>
      </w:r>
      <w:r>
        <w:rPr>
          <w:rFonts w:ascii="Times New Roman" w:cs="Times New Roman" w:eastAsia="Times New Roman" w:hAnsi="Times New Roman"/>
          <w:sz w:val="22"/>
          <w:szCs w:val="22"/>
          <w:color w:val="auto"/>
        </w:rPr>
        <w:t>By signing these Joint Escrow Instructions you become a party hereto only for the purpose of said Joint Escrow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Instructions; you do not become a party to the Grant Documents.</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31.</w:t>
      </w:r>
      <w:r>
        <w:rPr>
          <w:rFonts w:ascii="Times New Roman" w:cs="Times New Roman" w:eastAsia="Times New Roman" w:hAnsi="Times New Roman"/>
          <w:sz w:val="22"/>
          <w:szCs w:val="22"/>
          <w:color w:val="auto"/>
        </w:rPr>
        <w:t>This instrument will be binding upon and inure to the benefit of the parties hereto, and their respective successors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permitted assigns. It is understood and agreed that references to “you” or “your” herein refer to the original Escrow Agent and to any and all successor Escrow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type w:val="continuous"/>
        </w:sectPr>
      </w:pPr>
    </w:p>
    <w:bookmarkStart w:id="64" w:name="page65"/>
    <w:bookmarkEnd w:id="64"/>
    <w:p>
      <w:pPr>
        <w:jc w:val="both"/>
        <w:spacing w:after="0" w:line="258" w:lineRule="auto"/>
        <w:rPr>
          <w:sz w:val="20"/>
          <w:szCs w:val="20"/>
          <w:color w:val="auto"/>
        </w:rPr>
      </w:pPr>
      <w:r>
        <w:rPr>
          <w:rFonts w:ascii="Times New Roman" w:cs="Times New Roman" w:eastAsia="Times New Roman" w:hAnsi="Times New Roman"/>
          <w:sz w:val="22"/>
          <w:szCs w:val="22"/>
          <w:color w:val="auto"/>
        </w:rPr>
        <w:t>Agents. It is understood and agreed that the Company may at any time or from time to time assign its rights under the Grant Documents and these Joint Escrow Instructions in whole or in part.</w:t>
      </w:r>
    </w:p>
    <w:p>
      <w:pPr>
        <w:spacing w:after="0" w:line="15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32.</w:t>
      </w:r>
      <w:r>
        <w:rPr>
          <w:rFonts w:ascii="Times New Roman" w:cs="Times New Roman" w:eastAsia="Times New Roman" w:hAnsi="Times New Roman"/>
          <w:sz w:val="22"/>
          <w:szCs w:val="22"/>
          <w:color w:val="auto"/>
        </w:rPr>
        <w:t>These Joint Escrow Instructions will be governed by and interpreted and determined in accordance with the laws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State of Delaware without regard to that state’s conflicts of laws rules. The parties hereby expressly consent to the personal jurisdiction of the state and federal courts located in the county in which the Company has its principal offices for any lawsuit arising from or related to these Joint Escrow Instructions.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[Remainder of page intentionally left blank]</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33.</w:t>
      </w:r>
    </w:p>
    <w:p>
      <w:pPr>
        <w:spacing w:after="0" w:line="2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Tempus AI, Inc.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-13970</wp:posOffset>
            </wp:positionV>
            <wp:extent cx="1143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-13970</wp:posOffset>
            </wp:positionV>
            <wp:extent cx="2895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289560" cy="8255"/>
                    </a:xfrm>
                    <a:prstGeom prst="rect">
                      <a:avLst/>
                    </a:prstGeom>
                    <a:noFill/>
                  </pic:spPr>
                </pic:pic>
              </a:graphicData>
            </a:graphic>
          </wp:anchor>
        </w:drawing>
      </w:r>
    </w:p>
    <w:p>
      <w:pPr>
        <w:spacing w:after="0" w:line="18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553720</wp:posOffset>
            </wp:positionV>
            <wp:extent cx="274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448310</wp:posOffset>
            </wp:positionV>
            <wp:extent cx="274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(Print Name)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Escrow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553720</wp:posOffset>
            </wp:positionV>
            <wp:extent cx="274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274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1310005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5" w:name="page66"/>
    <w:bookmarkEnd w:id="65"/>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Lefkofsky, certify that:</w:t>
      </w:r>
    </w:p>
    <w:p>
      <w:pPr>
        <w:spacing w:after="0" w:line="117"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Tempus AI,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pursuant to Exchange Act Rule 13a-14(a)];</w:t>
      </w:r>
    </w:p>
    <w:p>
      <w:pPr>
        <w:spacing w:after="0" w:line="11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2025</w:t>
      </w:r>
    </w:p>
    <w:p>
      <w:pPr>
        <w:spacing w:after="0" w:line="25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Eric Lefkofsky</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 Founder and Chairman</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6" w:name="page67"/>
    <w:bookmarkEnd w:id="66"/>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Rogers, certify that:</w:t>
      </w:r>
    </w:p>
    <w:p>
      <w:pPr>
        <w:spacing w:after="0" w:line="117"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Tempus AI,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pursuant to Exchange Act Rule 13a-14(a)];</w:t>
      </w:r>
    </w:p>
    <w:p>
      <w:pPr>
        <w:spacing w:after="0" w:line="11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2025</w:t>
      </w:r>
    </w:p>
    <w:p>
      <w:pPr>
        <w:spacing w:after="0" w:line="25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James Rogers</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7" w:name="page68"/>
    <w:bookmarkEnd w:id="67"/>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Eric Lefkofsky, Chief Executive Officer of Tempus AI, Inc. (the “Company”), and James Rogers, Chief Financial Officer of the Company, each hereby certifies that, to the best of his knowledge:</w:t>
      </w:r>
    </w:p>
    <w:p>
      <w:pPr>
        <w:spacing w:after="0" w:line="68" w:lineRule="exact"/>
        <w:rPr>
          <w:sz w:val="20"/>
          <w:szCs w:val="20"/>
          <w:color w:val="auto"/>
        </w:rPr>
      </w:pPr>
    </w:p>
    <w:p>
      <w:pPr>
        <w:ind w:left="520" w:right="300" w:hanging="512"/>
        <w:spacing w:after="0" w:line="282" w:lineRule="auto"/>
        <w:tabs>
          <w:tab w:leader="none" w:pos="5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Quarterly Report on Form 10-Q for the period ended March 31, 2025, to which this Certification is attached as Exhibit 32.1 (the “Periodic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b w:val="1"/>
          <w:bCs w:val="1"/>
          <w:color w:val="auto"/>
        </w:rPr>
      </w:pPr>
    </w:p>
    <w:p>
      <w:pPr>
        <w:ind w:left="520" w:right="420" w:hanging="512"/>
        <w:spacing w:after="0" w:line="282" w:lineRule="auto"/>
        <w:tabs>
          <w:tab w:leader="none" w:pos="5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Dated: May 6, 2025</w:t>
            </w: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432"/>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Lefkofsky</w:t>
            </w:r>
          </w:p>
        </w:tc>
        <w:tc>
          <w:tcPr>
            <w:tcW w:w="112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Rogers</w:t>
            </w:r>
          </w:p>
        </w:tc>
      </w:tr>
      <w:tr>
        <w:trPr>
          <w:trHeight w:val="191"/>
        </w:trPr>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Eric Lefkofsky</w:t>
            </w:r>
          </w:p>
        </w:tc>
        <w:tc>
          <w:tcPr>
            <w:tcW w:w="112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Rogers</w:t>
            </w:r>
          </w:p>
        </w:tc>
      </w:tr>
      <w:tr>
        <w:trPr>
          <w:trHeight w:val="21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5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2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Tempus AI, Inc. under the Securities Act of 1933, as amended, or the Exchange Act,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8" w:name="page69"/>
    <w:bookmarkEnd w:id="6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2"/>
    </w:lvl>
  </w:abstractNum>
  <w:abstractNum w:abstractNumId="4">
    <w:nsid w:val="B03E0C6"/>
    <w:multiLevelType w:val="hybridMultilevel"/>
    <w:lvl w:ilvl="0">
      <w:lvlJc w:val="left"/>
      <w:lvlText w:val="%1."/>
      <w:numFmt w:val="decimal"/>
      <w:start w:val="3"/>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decimal"/>
      <w:start w:val="4"/>
    </w:lvl>
  </w:abstractNum>
  <w:abstractNum w:abstractNumId="7">
    <w:nsid w:val="71F32454"/>
    <w:multiLevelType w:val="hybridMultilevel"/>
    <w:lvl w:ilvl="0">
      <w:lvlJc w:val="left"/>
      <w:lvlText w:val="%1."/>
      <w:numFmt w:val="decimal"/>
      <w:start w:val="5"/>
    </w:lvl>
  </w:abstractNum>
  <w:abstractNum w:abstractNumId="8">
    <w:nsid w:val="2CA88611"/>
    <w:multiLevelType w:val="hybridMultilevel"/>
    <w:lvl w:ilvl="0">
      <w:lvlJc w:val="left"/>
      <w:lvlText w:val="%1."/>
      <w:numFmt w:val="decimal"/>
      <w:start w:val="6"/>
    </w:lvl>
  </w:abstractNum>
  <w:abstractNum w:abstractNumId="9">
    <w:nsid w:val="836C40E"/>
    <w:multiLevelType w:val="hybridMultilevel"/>
    <w:lvl w:ilvl="0">
      <w:lvlJc w:val="left"/>
      <w:lvlText w:val="%1."/>
      <w:numFmt w:val="decimal"/>
      <w:start w:val="7"/>
    </w:lvl>
  </w:abstractNum>
  <w:abstractNum w:abstractNumId="10">
    <w:nsid w:val="2901D82"/>
    <w:multiLevelType w:val="hybridMultilevel"/>
    <w:lvl w:ilvl="0">
      <w:lvlJc w:val="left"/>
      <w:lvlText w:val="%1."/>
      <w:numFmt w:val="decimal"/>
      <w:start w:val="8"/>
    </w:lvl>
  </w:abstractNum>
  <w:abstractNum w:abstractNumId="11">
    <w:nsid w:val="3A95F874"/>
    <w:multiLevelType w:val="hybridMultilevel"/>
    <w:lvl w:ilvl="0">
      <w:lvlJc w:val="left"/>
      <w:lvlText w:val="%1."/>
      <w:numFmt w:val="decimal"/>
      <w:start w:val="9"/>
    </w:lvl>
  </w:abstractNum>
  <w:abstractNum w:abstractNumId="12">
    <w:nsid w:val="8138641"/>
    <w:multiLevelType w:val="hybridMultilevel"/>
    <w:lvl w:ilvl="0">
      <w:lvlJc w:val="left"/>
      <w:lvlText w:val="%1."/>
      <w:numFmt w:val="decimal"/>
      <w:start w:val="10"/>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1)"/>
      <w:numFmt w:val="decimal"/>
      <w:start w:val="2"/>
    </w:lvl>
  </w:abstractNum>
  <w:abstractNum w:abstractNumId="16">
    <w:nsid w:val="6CEAF087"/>
    <w:multiLevelType w:val="hybridMultilevel"/>
    <w:lvl w:ilvl="0">
      <w:lvlJc w:val="left"/>
      <w:lvlText w:val="%1."/>
      <w:numFmt w:val="decimal"/>
      <w:start w:val="11"/>
    </w:lvl>
  </w:abstractNum>
  <w:abstractNum w:abstractNumId="17">
    <w:nsid w:val="22221A70"/>
    <w:multiLevelType w:val="hybridMultilevel"/>
    <w:lvl w:ilvl="0">
      <w:lvlJc w:val="left"/>
      <w:lvlText w:val="%1."/>
      <w:numFmt w:val="decimal"/>
      <w:start w:val="12"/>
    </w:lvl>
  </w:abstractNum>
  <w:abstractNum w:abstractNumId="18">
    <w:nsid w:val="4516DDE9"/>
    <w:multiLevelType w:val="hybridMultilevel"/>
    <w:lvl w:ilvl="0">
      <w:lvlJc w:val="left"/>
      <w:lvlText w:val="%1."/>
      <w:numFmt w:val="decimal"/>
      <w:start w:val="13"/>
    </w:lvl>
  </w:abstractNum>
  <w:abstractNum w:abstractNumId="19">
    <w:nsid w:val="3006C83E"/>
    <w:multiLevelType w:val="hybridMultilevel"/>
    <w:lvl w:ilvl="0">
      <w:lvlJc w:val="left"/>
      <w:lvlText w:val="(%1)"/>
      <w:numFmt w:val="lowerLetter"/>
      <w:start w:val="4"/>
    </w:lvl>
  </w:abstractNum>
  <w:abstractNum w:abstractNumId="20">
    <w:nsid w:val="614FD4A1"/>
    <w:multiLevelType w:val="hybridMultilevel"/>
    <w:lvl w:ilvl="0">
      <w:lvlJc w:val="left"/>
      <w:lvlText w:val="%1."/>
      <w:numFmt w:val="decimal"/>
      <w:start w:val="14"/>
    </w:lvl>
  </w:abstractNum>
  <w:abstractNum w:abstractNumId="21">
    <w:nsid w:val="419AC241"/>
    <w:multiLevelType w:val="hybridMultilevel"/>
    <w:lvl w:ilvl="0">
      <w:lvlJc w:val="left"/>
      <w:lvlText w:val="%1."/>
      <w:numFmt w:val="decimal"/>
      <w:start w:val="15"/>
    </w:lvl>
  </w:abstractNum>
  <w:abstractNum w:abstractNumId="22">
    <w:nsid w:val="5577F8E1"/>
    <w:multiLevelType w:val="hybridMultilevel"/>
    <w:lvl w:ilvl="0">
      <w:lvlJc w:val="left"/>
      <w:lvlText w:val="%1."/>
      <w:numFmt w:val="decimal"/>
      <w:start w:val="16"/>
    </w:lvl>
  </w:abstractNum>
  <w:abstractNum w:abstractNumId="23">
    <w:nsid w:val="440BADFC"/>
    <w:multiLevelType w:val="hybridMultilevel"/>
    <w:lvl w:ilvl="0">
      <w:lvlJc w:val="left"/>
      <w:lvlText w:val="%1."/>
      <w:numFmt w:val="decimal"/>
      <w:start w:val="17"/>
    </w:lvl>
  </w:abstractNum>
  <w:abstractNum w:abstractNumId="24">
    <w:nsid w:val="5072367"/>
    <w:multiLevelType w:val="hybridMultilevel"/>
    <w:lvl w:ilvl="0">
      <w:lvlJc w:val="left"/>
      <w:lvlText w:val="%1."/>
      <w:numFmt w:val="decimal"/>
      <w:start w:val="18"/>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lowerRoman"/>
      <w:start w:val="9"/>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lowerLetter"/>
      <w:start w:val="4"/>
    </w:lvl>
  </w:abstractNum>
  <w:abstractNum w:abstractNumId="30">
    <w:nsid w:val="5E884ADC"/>
    <w:multiLevelType w:val="hybridMultilevel"/>
    <w:lvl w:ilvl="0">
      <w:lvlJc w:val="left"/>
      <w:lvlText w:val="(%1)"/>
      <w:numFmt w:val="decimal"/>
      <w:start w:val="3"/>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1."/>
      <w:numFmt w:val="decimal"/>
      <w:start w:val="1"/>
    </w:lvl>
    <w:lvl w:ilvl="1">
      <w:lvlJc w:val="left"/>
      <w:lvlText w:val="(%2)"/>
      <w:numFmt w:val="lowerLetter"/>
      <w:start w:val="1"/>
    </w:lvl>
  </w:abstractNum>
  <w:abstractNum w:abstractNumId="36">
    <w:nsid w:val="70A64E2A"/>
    <w:multiLevelType w:val="hybridMultilevel"/>
    <w:lvl w:ilvl="0">
      <w:lvlJc w:val="left"/>
      <w:lvlText w:val="%1."/>
      <w:numFmt w:val="decimal"/>
      <w:start w:val="2"/>
    </w:lvl>
  </w:abstractNum>
  <w:abstractNum w:abstractNumId="37">
    <w:nsid w:val="6A2342E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8">
    <w:nsid w:val="2A487CB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39">
    <w:nsid w:val="1D4ED43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0">
    <w:nsid w:val="725A06FB"/>
    <w:multiLevelType w:val="hybridMultilevel"/>
    <w:lvl w:ilvl="0">
      <w:lvlJc w:val="left"/>
      <w:lvlText w:val="%1"/>
      <w:numFmt w:val="decimal"/>
      <w:start w:val="1"/>
    </w:lvl>
    <w:lvl w:ilvl="1">
      <w:lvlJc w:val="left"/>
      <w:lvlText w:val="(%2)"/>
      <w:numFmt w:val="lowerLetter"/>
      <w:start w:val="2"/>
    </w:lvl>
  </w:abstractNum>
  <w:abstractNum w:abstractNumId="41">
    <w:nsid w:val="2CD89A32"/>
    <w:multiLevelType w:val="hybridMultilevel"/>
    <w:lvl w:ilvl="0">
      <w:lvlJc w:val="left"/>
      <w:lvlText w:val="%1."/>
      <w:numFmt w:val="decimal"/>
      <w:start w:val="9"/>
    </w:lvl>
    <w:lvl w:ilvl="1">
      <w:lvlJc w:val="left"/>
      <w:lvlText w:val="%2"/>
      <w:numFmt w:val="lowerLetter"/>
      <w:start w:val="1"/>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37" Type="http://schemas.openxmlformats.org/officeDocument/2006/relationships/hyperlink" Target="https://www.sec.gov/Archives/edgar/data/1717115/000119312524162594/d665789dex31.htm" TargetMode="External"/><Relationship Id="rId238" Type="http://schemas.openxmlformats.org/officeDocument/2006/relationships/hyperlink" Target="https://www.sec.gov/Archives/edgar/data/1717115/000119312524162594/d665789dex32.htm" TargetMode="External"/><Relationship Id="rId239" Type="http://schemas.openxmlformats.org/officeDocument/2006/relationships/hyperlink" Target="https://www.sec.gov/Archives/edgar/data/1717115/000119312525019313/d84356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2025-05-06T15:24:51Z</dcterms:created>
  <dcterms:modified xsi:type="dcterms:W3CDTF">2025-05-06T15:24:51Z</dcterms:modified>
</cp:coreProperties>
</file>